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F75DF" w:rsidR="00707C99" w:rsidP="00272F4F" w:rsidRDefault="00201C0D" w14:paraId="19FE0E96" w14:textId="74DD858A">
      <w:pPr>
        <w:spacing w:after="0" w:line="240" w:lineRule="auto"/>
        <w:jc w:val="center"/>
        <w:rPr>
          <w:rFonts w:ascii="Times New Roman" w:hAnsi="Times New Roman" w:cs="Times New Roman"/>
          <w:b/>
          <w:sz w:val="24"/>
          <w:szCs w:val="24"/>
          <w:lang w:val="es-PE" w:eastAsia="ar-SA"/>
        </w:rPr>
      </w:pPr>
      <w:r w:rsidRPr="009F75DF">
        <w:rPr>
          <w:rFonts w:ascii="Times New Roman" w:hAnsi="Times New Roman" w:cs="Times New Roman"/>
          <w:b/>
          <w:sz w:val="24"/>
          <w:szCs w:val="24"/>
          <w:lang w:val="es-PE" w:eastAsia="ar-SA"/>
        </w:rPr>
        <w:t xml:space="preserve">RESOLUCIÓN DE RECURSO IMPUGNATIVO </w:t>
      </w:r>
      <w:proofErr w:type="spellStart"/>
      <w:r w:rsidRPr="009F75DF" w:rsidR="00707C99">
        <w:rPr>
          <w:rFonts w:ascii="Times New Roman" w:hAnsi="Times New Roman" w:cs="Times New Roman"/>
          <w:b/>
          <w:sz w:val="24"/>
          <w:szCs w:val="24"/>
          <w:lang w:val="es-PE" w:eastAsia="ar-SA"/>
        </w:rPr>
        <w:t>N°</w:t>
      </w:r>
      <w:proofErr w:type="spellEnd"/>
      <w:r w:rsidRPr="009F75DF" w:rsidR="00707C99">
        <w:rPr>
          <w:rFonts w:ascii="Times New Roman" w:hAnsi="Times New Roman" w:cs="Times New Roman"/>
          <w:b/>
          <w:sz w:val="24"/>
          <w:szCs w:val="24"/>
          <w:lang w:val="es-PE" w:eastAsia="ar-SA"/>
        </w:rPr>
        <w:t xml:space="preserve"> </w:t>
      </w:r>
      <w:r w:rsidRPr="009F75DF" w:rsidR="00516293">
        <w:rPr>
          <w:rFonts w:ascii="Times New Roman" w:hAnsi="Times New Roman" w:cs="Times New Roman"/>
          <w:b/>
          <w:sz w:val="24"/>
          <w:szCs w:val="24"/>
          <w:lang w:val="es-PE" w:eastAsia="ar-SA"/>
        </w:rPr>
        <w:t>0</w:t>
      </w:r>
      <w:r w:rsidRPr="009F75DF" w:rsidR="00D422AF">
        <w:rPr>
          <w:rFonts w:ascii="Times New Roman" w:hAnsi="Times New Roman" w:cs="Times New Roman"/>
          <w:b/>
          <w:sz w:val="24"/>
          <w:szCs w:val="24"/>
          <w:lang w:val="es-PE" w:eastAsia="ar-SA"/>
        </w:rPr>
        <w:t>4</w:t>
      </w:r>
      <w:r w:rsidRPr="009F75DF" w:rsidR="00286C15">
        <w:rPr>
          <w:rFonts w:ascii="Times New Roman" w:hAnsi="Times New Roman" w:cs="Times New Roman"/>
          <w:b/>
          <w:sz w:val="24"/>
          <w:szCs w:val="24"/>
          <w:lang w:val="es-PE" w:eastAsia="ar-SA"/>
        </w:rPr>
        <w:t>8</w:t>
      </w:r>
      <w:r w:rsidRPr="009F75DF" w:rsidR="00C671F5">
        <w:rPr>
          <w:rFonts w:ascii="Times New Roman" w:hAnsi="Times New Roman" w:cs="Times New Roman"/>
          <w:b/>
          <w:sz w:val="24"/>
          <w:szCs w:val="24"/>
          <w:lang w:val="es-PE" w:eastAsia="ar-SA"/>
        </w:rPr>
        <w:t>/2</w:t>
      </w:r>
      <w:r w:rsidRPr="009F75DF" w:rsidR="00AB7BFE">
        <w:rPr>
          <w:rFonts w:ascii="Times New Roman" w:hAnsi="Times New Roman" w:cs="Times New Roman"/>
          <w:b/>
          <w:sz w:val="24"/>
          <w:szCs w:val="24"/>
          <w:lang w:val="es-PE" w:eastAsia="ar-SA"/>
        </w:rPr>
        <w:t>3</w:t>
      </w:r>
    </w:p>
    <w:p w:rsidRPr="009F75DF" w:rsidR="009117F7" w:rsidP="009117F7" w:rsidRDefault="009117F7" w14:paraId="2A5107DD" w14:textId="77777777">
      <w:pPr>
        <w:spacing w:after="0" w:line="240" w:lineRule="auto"/>
        <w:jc w:val="both"/>
        <w:rPr>
          <w:rFonts w:ascii="Times New Roman" w:hAnsi="Times New Roman" w:cs="Times New Roman"/>
          <w:b/>
          <w:sz w:val="24"/>
          <w:szCs w:val="24"/>
          <w:lang w:val="es-PE"/>
        </w:rPr>
      </w:pPr>
    </w:p>
    <w:p w:rsidRPr="009F75DF" w:rsidR="009117F7" w:rsidP="009117F7" w:rsidRDefault="009117F7" w14:paraId="01A76CCD" w14:textId="77777777">
      <w:pPr>
        <w:spacing w:line="240" w:lineRule="auto"/>
        <w:jc w:val="both"/>
        <w:outlineLvl w:val="0"/>
        <w:rPr>
          <w:rFonts w:ascii="Times New Roman" w:hAnsi="Times New Roman" w:cs="Times New Roman"/>
          <w:b/>
          <w:bCs/>
          <w:sz w:val="24"/>
          <w:szCs w:val="24"/>
          <w:lang w:val="es-MX"/>
        </w:rPr>
      </w:pPr>
      <w:r w:rsidRPr="009F75DF">
        <w:rPr>
          <w:rFonts w:ascii="Times New Roman" w:hAnsi="Times New Roman" w:cs="Times New Roman"/>
          <w:b/>
          <w:bCs/>
          <w:sz w:val="24"/>
          <w:szCs w:val="24"/>
          <w:lang w:val="es-MX"/>
        </w:rPr>
        <w:t>VISTOS:</w:t>
      </w:r>
    </w:p>
    <w:p w:rsidRPr="009F75DF" w:rsidR="009117F7" w:rsidP="009117F7" w:rsidRDefault="009117F7" w14:paraId="0F059AD7" w14:textId="7819589C">
      <w:pPr>
        <w:spacing w:after="0" w:line="240" w:lineRule="auto"/>
        <w:jc w:val="both"/>
        <w:outlineLvl w:val="0"/>
        <w:rPr>
          <w:rFonts w:ascii="Times New Roman" w:hAnsi="Times New Roman" w:cs="Times New Roman"/>
          <w:sz w:val="24"/>
          <w:szCs w:val="24"/>
          <w:lang w:val="es-PE"/>
        </w:rPr>
      </w:pPr>
      <w:r>
        <w:rPr>
          <w:rFonts w:ascii="Times New Roman" w:hAnsi="Times New Roman"/>
          <w:sz w:val="24"/>
        </w:rPr>
        <w:t xml:space="preserve">El Recurso de Impugnación presentado por ................................. respecto de la Resolución Nro. 169/23, expedida por esta Defensoría, conforme a la cual se declaró FUNDADA la reclamación interpuesta por ........................................................................ respecto del siniestro ocurrido el 16 de octubre de 2022 al vehículo de placa ..................., asegurado bajo la Póliza de Seguro Vehicular Nº ..................................</w:t>
      </w:r>
    </w:p>
    <w:p w:rsidRPr="009F75DF" w:rsidR="009117F7" w:rsidP="009117F7" w:rsidRDefault="009117F7" w14:paraId="6511DD95" w14:textId="77777777">
      <w:pPr>
        <w:spacing w:after="0" w:line="240" w:lineRule="auto"/>
        <w:jc w:val="both"/>
        <w:outlineLvl w:val="0"/>
        <w:rPr>
          <w:rFonts w:ascii="Times New Roman" w:hAnsi="Times New Roman" w:cs="Times New Roman"/>
          <w:sz w:val="24"/>
          <w:szCs w:val="24"/>
          <w:lang w:val="es-PE"/>
        </w:rPr>
      </w:pPr>
    </w:p>
    <w:p w:rsidRPr="009F75DF" w:rsidR="009117F7" w:rsidP="009117F7" w:rsidRDefault="009117F7" w14:paraId="796E7A4D" w14:textId="1B2A39C9">
      <w:pPr>
        <w:pStyle w:val="Textoindependiente"/>
        <w:spacing w:line="240" w:lineRule="auto"/>
      </w:pPr>
      <w:r w:rsidR="009117F7">
        <w:rPr>
          <w:rFonts w:ascii="Times New Roman" w:hAnsi="Times New Roman"/>
          <w:sz w:val="24"/>
        </w:rPr>
        <w:t>Que, el indicado recurso se sustenta resumidamente en lo siguiente: a) el reclamo fue rechazado toda vez que la cobertura se encontraba suspendida por falta de pago de primas; b) han presentado el pantallazo del sistema “</w:t>
      </w:r>
      <w:r w:rsidR="009117F7">
        <w:rPr>
          <w:rFonts w:ascii="Times New Roman" w:hAnsi="Times New Roman"/>
          <w:sz w:val="24"/>
        </w:rPr>
        <w:t>Acselx</w:t>
      </w:r>
      <w:r w:rsidR="009117F7">
        <w:rPr>
          <w:rFonts w:ascii="Times New Roman" w:hAnsi="Times New Roman"/>
          <w:sz w:val="24"/>
        </w:rPr>
        <w:t xml:space="preserve">” en el cual se puede corroborar que la póliza se encontraba anulada por falta de pago; c) las comunicaciones sobre la suspensión de pago fueron remitidas el 09 de setiembre de 2022 y 09 de octubre de 2022, lo cual han acreditado con las constancias de envío de correos electrónicos a </w:t>
      </w:r>
      <w:r w:rsidR="52B447D5">
        <w:rPr>
          <w:rFonts w:ascii="Times New Roman" w:hAnsi="Times New Roman"/>
          <w:sz w:val="24"/>
        </w:rPr>
        <w:t>......................................................</w:t>
      </w:r>
    </w:p>
    <w:p w:rsidRPr="009F75DF" w:rsidR="009117F7" w:rsidP="009117F7" w:rsidRDefault="009117F7" w14:paraId="1E56C3FA" w14:textId="77777777">
      <w:pPr>
        <w:pStyle w:val="Textoindependiente"/>
        <w:spacing w:line="240" w:lineRule="auto"/>
      </w:pPr>
    </w:p>
    <w:p w:rsidRPr="009F75DF" w:rsidR="009117F7" w:rsidP="009117F7" w:rsidRDefault="009117F7" w14:paraId="01A905C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9F75DF">
        <w:rPr>
          <w:rFonts w:ascii="Times New Roman" w:hAnsi="Times New Roman" w:eastAsia="Times New Roman" w:cs="Times New Roman"/>
          <w:bCs/>
          <w:sz w:val="24"/>
          <w:szCs w:val="24"/>
          <w:lang w:val="es-MX" w:eastAsia="ar-SA"/>
        </w:rPr>
        <w:t>Que, habiéndosele corrido traslado de la señalada impugnación, la reclamante no se ha pronunciado hasta la fecha.</w:t>
      </w:r>
    </w:p>
    <w:p w:rsidRPr="009F75DF" w:rsidR="009117F7" w:rsidP="009117F7" w:rsidRDefault="009117F7" w14:paraId="4C500A85" w14:textId="77777777">
      <w:pPr>
        <w:suppressAutoHyphens/>
        <w:spacing w:after="0" w:line="240" w:lineRule="auto"/>
        <w:jc w:val="both"/>
        <w:rPr>
          <w:rFonts w:ascii="Times New Roman" w:hAnsi="Times New Roman" w:cs="Times New Roman"/>
          <w:bCs/>
          <w:sz w:val="24"/>
          <w:szCs w:val="24"/>
          <w:lang w:val="es-ES"/>
        </w:rPr>
      </w:pPr>
    </w:p>
    <w:p w:rsidRPr="009F75DF" w:rsidR="009117F7" w:rsidP="009117F7" w:rsidRDefault="009117F7" w14:paraId="35B07EFD" w14:textId="77777777">
      <w:pPr>
        <w:suppressAutoHyphens/>
        <w:spacing w:after="0" w:line="240" w:lineRule="auto"/>
        <w:jc w:val="both"/>
        <w:rPr>
          <w:rFonts w:ascii="Times New Roman" w:hAnsi="Times New Roman" w:cs="Times New Roman"/>
          <w:bCs/>
          <w:sz w:val="24"/>
          <w:szCs w:val="24"/>
          <w:lang w:val="es-ES"/>
        </w:rPr>
      </w:pPr>
      <w:r w:rsidRPr="009F75DF">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9F75DF" w:rsidR="009117F7" w:rsidP="009117F7" w:rsidRDefault="009117F7" w14:paraId="4F0479B7" w14:textId="77777777">
      <w:pPr>
        <w:spacing w:line="240" w:lineRule="auto"/>
        <w:jc w:val="both"/>
        <w:rPr>
          <w:rFonts w:ascii="Times New Roman" w:hAnsi="Times New Roman" w:cs="Times New Roman"/>
          <w:b/>
          <w:sz w:val="24"/>
          <w:szCs w:val="24"/>
          <w:u w:val="single"/>
          <w:lang w:val="es-ES"/>
        </w:rPr>
      </w:pPr>
    </w:p>
    <w:p w:rsidRPr="009F75DF" w:rsidR="009117F7" w:rsidP="009117F7" w:rsidRDefault="009117F7" w14:paraId="79BE3818"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9F75DF" w:rsidR="009117F7" w:rsidP="009117F7" w:rsidRDefault="009117F7" w14:paraId="117AF006"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9F75DF" w:rsidR="009117F7" w:rsidP="009117F7" w:rsidRDefault="009117F7" w14:paraId="3456E109"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0403DB5B" w14:textId="37142D11">
      <w:pPr>
        <w:spacing w:after="0" w:line="240" w:lineRule="auto"/>
        <w:jc w:val="both"/>
        <w:rPr>
          <w:rFonts w:ascii="Times New Roman" w:hAnsi="Times New Roman" w:cs="Times New Roman"/>
          <w:sz w:val="24"/>
          <w:szCs w:val="24"/>
          <w:lang w:val="es-PE"/>
        </w:rPr>
      </w:pPr>
      <w:r w:rsidRPr="61AA7E0C" w:rsidR="009117F7">
        <w:rPr>
          <w:rFonts w:ascii="Times New Roman" w:hAnsi="Times New Roman" w:cs="Times New Roman"/>
          <w:b w:val="1"/>
          <w:bCs w:val="1"/>
          <w:sz w:val="24"/>
          <w:szCs w:val="24"/>
          <w:u w:val="single"/>
          <w:lang w:val="es-PE"/>
        </w:rPr>
        <w:t>SEGUNDO:</w:t>
      </w:r>
      <w:r w:rsidRPr="61AA7E0C" w:rsidR="009117F7">
        <w:rPr>
          <w:rFonts w:ascii="Times New Roman" w:hAnsi="Times New Roman" w:cs="Times New Roman"/>
          <w:sz w:val="24"/>
          <w:szCs w:val="24"/>
          <w:lang w:val="es-PE"/>
        </w:rPr>
        <w:t xml:space="preserve"> Atendiendo a los fundamentos de la impugnación interpuesta con fecha 18 de setiembre de 2023, se aprecia que </w:t>
      </w:r>
      <w:r w:rsidRPr="61AA7E0C" w:rsidR="1C62719D">
        <w:rPr>
          <w:rFonts w:ascii="Times New Roman" w:hAnsi="Times New Roman" w:cs="Times New Roman"/>
          <w:sz w:val="24"/>
          <w:szCs w:val="24"/>
          <w:lang w:val="es-PE"/>
        </w:rPr>
        <w:t>.................................</w:t>
      </w:r>
      <w:r w:rsidRPr="61AA7E0C" w:rsidR="009117F7">
        <w:rPr>
          <w:rFonts w:ascii="Times New Roman" w:hAnsi="Times New Roman" w:cs="Times New Roman"/>
          <w:sz w:val="24"/>
          <w:szCs w:val="24"/>
          <w:lang w:val="es-PE"/>
        </w:rPr>
        <w:t xml:space="preserve"> reitera su posición ya expresada al presentar sus descargos a la reclamación, no presentando argumentos suficientes o prueba adicional alguna que permita a este colegiado apreciar y concluir que ha incurrido en error y que, por consiguiente, corresponde revocar lo resuelto.  </w:t>
      </w:r>
    </w:p>
    <w:p w:rsidRPr="009F75DF" w:rsidR="009117F7" w:rsidP="009117F7" w:rsidRDefault="009117F7" w14:paraId="2302F7AB"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43E42B25"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En efecto, la aseguradora cita las razones por las cuales se declaró fundado el reclamo, pero no se pronuncia sobre lo expuesto en la Resolución Impugnada, limitándose a reiterar que envió la comunicación de suspensión, pero no aclarando en su recurso impugnatorio que dicha comunicación fue enviada al corredor de seguros, mas no así a la empresa reclamante, así como tampoco aclarando las inconsistencias en el monto de la prima informada en la comunicación de suspensión, advertidas por este colegiado.</w:t>
      </w:r>
    </w:p>
    <w:p w:rsidRPr="009F75DF" w:rsidR="009117F7" w:rsidP="009117F7" w:rsidRDefault="009117F7" w14:paraId="235803FC"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029D9059" w14:textId="77777777">
      <w:pPr>
        <w:spacing w:after="0" w:line="240" w:lineRule="auto"/>
        <w:jc w:val="both"/>
        <w:rPr>
          <w:rFonts w:ascii="Times New Roman" w:hAnsi="Times New Roman" w:cs="Times New Roman"/>
          <w:sz w:val="24"/>
          <w:szCs w:val="24"/>
          <w:lang w:val="es-PE"/>
        </w:rPr>
      </w:pPr>
      <w:r w:rsidRPr="009F75DF">
        <w:rPr>
          <w:rFonts w:ascii="Times New Roman" w:hAnsi="Times New Roman" w:cs="Times New Roman"/>
          <w:sz w:val="24"/>
          <w:szCs w:val="24"/>
          <w:lang w:val="es-PE"/>
        </w:rPr>
        <w:lastRenderedPageBreak/>
        <w:t xml:space="preserve">Es recién con motivo de un escrito ampliatorio, presentado el 25 de setiembre último que la aseguradora hace referencia a que la comunicación al corredor de seguros, no corroboraría cuándo fue recibida por la empresa asegurada; y añadiendo que según, el Oficio </w:t>
      </w:r>
      <w:proofErr w:type="spellStart"/>
      <w:r w:rsidRPr="009F75DF">
        <w:rPr>
          <w:rFonts w:ascii="Times New Roman" w:hAnsi="Times New Roman" w:cs="Times New Roman"/>
          <w:sz w:val="24"/>
          <w:szCs w:val="24"/>
          <w:lang w:val="es-PE"/>
        </w:rPr>
        <w:t>Nº</w:t>
      </w:r>
      <w:proofErr w:type="spellEnd"/>
      <w:r w:rsidRPr="009F75DF">
        <w:rPr>
          <w:rFonts w:ascii="Times New Roman" w:hAnsi="Times New Roman" w:cs="Times New Roman"/>
          <w:sz w:val="24"/>
          <w:szCs w:val="24"/>
          <w:lang w:val="es-PE"/>
        </w:rPr>
        <w:t xml:space="preserve"> 500010-2015 de la SBS, la comunicación de suspensión a la empresa asegurada, solo es exigible tratándose del supuesto de “extinción” por falta de pago, en que la aseguradora no haya reclamado el pago de la prima, más no así al supuesto que nos ocupa que es de “suspensión” de la cobertura.</w:t>
      </w:r>
    </w:p>
    <w:p w:rsidRPr="009F75DF" w:rsidR="009117F7" w:rsidP="009117F7" w:rsidRDefault="009117F7" w14:paraId="71B769D7"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24645033" w14:textId="77777777">
      <w:pPr>
        <w:spacing w:after="0" w:line="240" w:lineRule="auto"/>
        <w:jc w:val="both"/>
        <w:rPr>
          <w:rFonts w:ascii="Times New Roman" w:hAnsi="Times New Roman" w:cs="Times New Roman"/>
          <w:sz w:val="24"/>
          <w:szCs w:val="24"/>
          <w:lang w:val="es-PE"/>
        </w:rPr>
      </w:pPr>
      <w:r w:rsidRPr="009F75DF">
        <w:rPr>
          <w:rFonts w:ascii="Times New Roman" w:hAnsi="Times New Roman" w:cs="Times New Roman"/>
          <w:sz w:val="24"/>
          <w:szCs w:val="24"/>
          <w:lang w:val="es-PE"/>
        </w:rPr>
        <w:t>El Oficio en mención señala lo siguiente:</w:t>
      </w:r>
    </w:p>
    <w:p w:rsidRPr="009F75DF" w:rsidR="009117F7" w:rsidP="009117F7" w:rsidRDefault="009117F7" w14:paraId="37657F15" w14:textId="77777777">
      <w:pPr>
        <w:spacing w:after="0" w:line="240" w:lineRule="auto"/>
        <w:jc w:val="both"/>
        <w:rPr>
          <w:rFonts w:ascii="Times New Roman" w:hAnsi="Times New Roman" w:cs="Times New Roman"/>
          <w:sz w:val="24"/>
          <w:szCs w:val="24"/>
          <w:lang w:val="es-PE"/>
        </w:rPr>
      </w:pPr>
    </w:p>
    <w:p w:rsidRPr="009F75DF" w:rsidR="009117F7" w:rsidP="009F75DF" w:rsidRDefault="009117F7" w14:paraId="4BC91834" w14:textId="51F07247">
      <w:pPr>
        <w:spacing w:after="0" w:line="240" w:lineRule="auto"/>
        <w:jc w:val="center"/>
        <w:rPr>
          <w:rFonts w:ascii="Times New Roman" w:hAnsi="Times New Roman" w:cs="Times New Roman"/>
          <w:sz w:val="24"/>
          <w:szCs w:val="24"/>
          <w:lang w:val="es-PE"/>
        </w:rPr>
      </w:pPr>
      <w:r>
        <w:rPr>
          <w:rFonts w:ascii="Times New Roman" w:hAnsi="Times New Roman"/>
          <w:sz w:val="24"/>
        </w:rPr>
        <w:t xml:space="preserve">…………………</w:t>
      </w:r>
    </w:p>
    <w:p w:rsidRPr="009F75DF" w:rsidR="009117F7" w:rsidP="009117F7" w:rsidRDefault="009117F7" w14:paraId="7CB258FB"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610C8A12" w14:textId="77777777">
      <w:pPr>
        <w:spacing w:after="0" w:line="240" w:lineRule="auto"/>
        <w:jc w:val="both"/>
        <w:rPr>
          <w:rFonts w:ascii="Times New Roman" w:hAnsi="Times New Roman" w:cs="Times New Roman"/>
          <w:sz w:val="24"/>
          <w:szCs w:val="24"/>
          <w:lang w:val="es-PE"/>
        </w:rPr>
      </w:pPr>
      <w:r w:rsidRPr="009F75DF">
        <w:rPr>
          <w:rFonts w:ascii="Times New Roman" w:hAnsi="Times New Roman" w:cs="Times New Roman"/>
          <w:sz w:val="24"/>
          <w:szCs w:val="24"/>
          <w:lang w:val="es-PE"/>
        </w:rPr>
        <w:t>Conforme puede apreciarse, el mismo se refiere exclusivamente a la situación de extinción por falta de pago, la que se produce ante la falta de envío de la comunicación de suspensión, pero no regula la posibilidad que tiene la aseguradora de suspender la cobertura por falta de pago, antes de producida la extinción; posibilidad que solo se activa, en caso curse una comunicación de suspensión conforme a lo regulado en el artículo 21 de la Ley del Contrato de Seguro, que es expresa respecto de a quién debe enviarse dicha comunicación.</w:t>
      </w:r>
    </w:p>
    <w:p w:rsidRPr="009F75DF" w:rsidR="009117F7" w:rsidP="009117F7" w:rsidRDefault="009117F7" w14:paraId="3919BC2A"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2B54791E"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En este sentido, se reitera lo expuesto en la Resolución Impugnada, cuya parte pertinente en lo que se refiere a la falta de comunicación de la carta de suspensión a la empresa …………………:</w:t>
      </w:r>
    </w:p>
    <w:p w:rsidRPr="009F75DF" w:rsidR="009117F7" w:rsidP="009117F7" w:rsidRDefault="009117F7" w14:paraId="62B72FEA"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28B610CE" w14:textId="51F74002">
      <w:pPr>
        <w:spacing w:after="0" w:line="240" w:lineRule="auto"/>
        <w:ind w:left="720"/>
        <w:jc w:val="both"/>
        <w:rPr>
          <w:rFonts w:ascii="Times New Roman" w:hAnsi="Times New Roman" w:cs="Times New Roman"/>
          <w:sz w:val="24"/>
          <w:szCs w:val="24"/>
          <w:lang w:val="es-PE"/>
        </w:rPr>
      </w:pPr>
      <w:r>
        <w:rPr>
          <w:rFonts w:ascii="Times New Roman" w:hAnsi="Times New Roman"/>
          <w:sz w:val="24"/>
        </w:rPr>
        <w:t xml:space="preserve">…………………</w:t>
      </w:r>
    </w:p>
    <w:p w:rsidRPr="009F75DF" w:rsidR="009117F7" w:rsidP="009117F7" w:rsidRDefault="009117F7" w14:paraId="6BAF7EC8"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469FB797" w14:textId="77777777">
      <w:pPr>
        <w:spacing w:after="0" w:line="240" w:lineRule="auto"/>
        <w:jc w:val="both"/>
        <w:rPr>
          <w:rFonts w:ascii="Times New Roman" w:hAnsi="Times New Roman" w:cs="Times New Roman"/>
          <w:sz w:val="24"/>
          <w:szCs w:val="24"/>
          <w:lang w:val="es-PE"/>
        </w:rPr>
      </w:pPr>
      <w:proofErr w:type="gramStart"/>
      <w:r w:rsidRPr="009F75DF">
        <w:rPr>
          <w:rFonts w:ascii="Times New Roman" w:hAnsi="Times New Roman" w:cs="Times New Roman"/>
          <w:sz w:val="24"/>
          <w:szCs w:val="24"/>
          <w:lang w:val="es-PE"/>
        </w:rPr>
        <w:t>En virtud a</w:t>
      </w:r>
      <w:proofErr w:type="gramEnd"/>
      <w:r w:rsidRPr="009F75DF">
        <w:rPr>
          <w:rFonts w:ascii="Times New Roman" w:hAnsi="Times New Roman" w:cs="Times New Roman"/>
          <w:sz w:val="24"/>
          <w:szCs w:val="24"/>
          <w:lang w:val="es-PE"/>
        </w:rPr>
        <w:t xml:space="preserve"> lo expuesto, este colegiado aprecia que no existe mérito para revocar la señalada resolución; por lo tanto,</w:t>
      </w:r>
    </w:p>
    <w:p w:rsidRPr="009F75DF" w:rsidR="009117F7" w:rsidP="009117F7" w:rsidRDefault="009117F7" w14:paraId="7852FC49" w14:textId="77777777">
      <w:pPr>
        <w:spacing w:after="0" w:line="240" w:lineRule="auto"/>
        <w:jc w:val="both"/>
        <w:rPr>
          <w:rFonts w:ascii="Times New Roman" w:hAnsi="Times New Roman" w:cs="Times New Roman"/>
          <w:b/>
          <w:bCs/>
          <w:sz w:val="24"/>
          <w:szCs w:val="24"/>
          <w:lang w:val="es-PE"/>
        </w:rPr>
      </w:pPr>
    </w:p>
    <w:p w:rsidRPr="009F75DF" w:rsidR="009117F7" w:rsidP="009117F7" w:rsidRDefault="009117F7" w14:paraId="22A573F5" w14:textId="77777777">
      <w:pPr>
        <w:spacing w:after="0" w:line="240" w:lineRule="auto"/>
        <w:jc w:val="both"/>
        <w:rPr>
          <w:rFonts w:ascii="Times New Roman" w:hAnsi="Times New Roman" w:cs="Times New Roman"/>
          <w:b/>
          <w:bCs/>
          <w:sz w:val="24"/>
          <w:szCs w:val="24"/>
          <w:lang w:val="es-PE"/>
        </w:rPr>
      </w:pPr>
      <w:r w:rsidRPr="009F75DF">
        <w:rPr>
          <w:rFonts w:ascii="Times New Roman" w:hAnsi="Times New Roman" w:cs="Times New Roman"/>
          <w:b/>
          <w:bCs/>
          <w:sz w:val="24"/>
          <w:szCs w:val="24"/>
          <w:lang w:val="es-PE"/>
        </w:rPr>
        <w:t>Resuelve:</w:t>
      </w:r>
    </w:p>
    <w:p w:rsidRPr="009F75DF" w:rsidR="009117F7" w:rsidP="009117F7" w:rsidRDefault="009117F7" w14:paraId="405E4629" w14:textId="77777777">
      <w:pPr>
        <w:spacing w:after="0" w:line="240" w:lineRule="auto"/>
        <w:jc w:val="both"/>
        <w:rPr>
          <w:rFonts w:ascii="Times New Roman" w:hAnsi="Times New Roman" w:cs="Times New Roman"/>
          <w:sz w:val="24"/>
          <w:szCs w:val="24"/>
          <w:lang w:val="es-PE"/>
        </w:rPr>
      </w:pPr>
    </w:p>
    <w:p w:rsidRPr="009F75DF" w:rsidR="009117F7" w:rsidP="009117F7" w:rsidRDefault="009117F7" w14:paraId="7BB669A8" w14:textId="53E86982">
      <w:pPr>
        <w:spacing w:after="0" w:line="240" w:lineRule="auto"/>
        <w:jc w:val="both"/>
        <w:rPr>
          <w:rFonts w:ascii="Times New Roman" w:hAnsi="Times New Roman" w:cs="Times New Roman"/>
          <w:sz w:val="24"/>
          <w:szCs w:val="24"/>
          <w:lang w:val="es-PE"/>
        </w:rPr>
      </w:pPr>
      <w:r w:rsidRPr="61AA7E0C" w:rsidR="009117F7">
        <w:rPr>
          <w:rFonts w:ascii="Times New Roman" w:hAnsi="Times New Roman" w:cs="Times New Roman"/>
          <w:sz w:val="24"/>
          <w:szCs w:val="24"/>
          <w:lang w:val="es-PE"/>
        </w:rPr>
        <w:t xml:space="preserve">Declarar INFUNDADO el recurso impugnativo interpuesto por </w:t>
      </w:r>
      <w:r w:rsidRPr="61AA7E0C" w:rsidR="1C62719D">
        <w:rPr>
          <w:rFonts w:ascii="Times New Roman" w:hAnsi="Times New Roman" w:cs="Times New Roman"/>
          <w:sz w:val="24"/>
          <w:szCs w:val="24"/>
          <w:lang w:val="es-PE"/>
        </w:rPr>
        <w:t>.................................</w:t>
      </w:r>
      <w:r w:rsidRPr="61AA7E0C" w:rsidR="009117F7">
        <w:rPr>
          <w:rFonts w:ascii="Times New Roman" w:hAnsi="Times New Roman" w:cs="Times New Roman"/>
          <w:sz w:val="24"/>
          <w:szCs w:val="24"/>
          <w:lang w:val="es-PE"/>
        </w:rPr>
        <w:t xml:space="preserve"> y, por consiguiente, ratificar la Resolución Nro. 169/23, de fecha 11 de setiembre de 2023, que declaró FUNDADA la reclamación.</w:t>
      </w:r>
    </w:p>
    <w:p w:rsidRPr="009F75DF" w:rsidR="004C1C34" w:rsidP="003C1581" w:rsidRDefault="004C1C34" w14:paraId="5CCCCFFD" w14:textId="77777777">
      <w:pPr>
        <w:pStyle w:val="Default"/>
        <w:spacing w:line="240" w:lineRule="auto"/>
        <w:jc w:val="both"/>
        <w:rPr>
          <w:rFonts w:ascii="Times New Roman" w:hAnsi="Times New Roman" w:cs="Times New Roman"/>
          <w:b/>
        </w:rPr>
      </w:pPr>
    </w:p>
    <w:p w:rsidRPr="009F75DF" w:rsidR="00231C58" w:rsidP="005A40A4" w:rsidRDefault="0091528B" w14:paraId="2B9BAAC8" w14:textId="4D2F2511">
      <w:pPr>
        <w:suppressAutoHyphens/>
        <w:spacing w:after="0" w:line="240" w:lineRule="auto"/>
        <w:jc w:val="right"/>
        <w:outlineLvl w:val="0"/>
        <w:rPr>
          <w:rFonts w:ascii="Times New Roman" w:hAnsi="Times New Roman" w:eastAsia="Arial Unicode MS" w:cs="Times New Roman"/>
          <w:sz w:val="24"/>
          <w:szCs w:val="24"/>
          <w:lang w:val="es-PE" w:eastAsia="ar-SA"/>
        </w:rPr>
      </w:pPr>
      <w:r w:rsidRPr="009F75DF">
        <w:rPr>
          <w:rFonts w:ascii="Times New Roman" w:hAnsi="Times New Roman" w:eastAsia="Arial Unicode MS" w:cs="Times New Roman"/>
          <w:sz w:val="24"/>
          <w:szCs w:val="24"/>
          <w:lang w:val="es-PE" w:eastAsia="ar-SA"/>
        </w:rPr>
        <w:t xml:space="preserve">Lima, </w:t>
      </w:r>
      <w:r w:rsidRPr="009F75DF" w:rsidR="00286C15">
        <w:rPr>
          <w:rFonts w:ascii="Times New Roman" w:hAnsi="Times New Roman" w:eastAsia="Arial Unicode MS" w:cs="Times New Roman"/>
          <w:sz w:val="24"/>
          <w:szCs w:val="24"/>
          <w:lang w:val="es-PE" w:eastAsia="ar-SA"/>
        </w:rPr>
        <w:t>11</w:t>
      </w:r>
      <w:r w:rsidRPr="009F75DF" w:rsidR="00701639">
        <w:rPr>
          <w:rFonts w:ascii="Times New Roman" w:hAnsi="Times New Roman" w:eastAsia="Arial Unicode MS" w:cs="Times New Roman"/>
          <w:sz w:val="24"/>
          <w:szCs w:val="24"/>
          <w:lang w:val="es-PE" w:eastAsia="ar-SA"/>
        </w:rPr>
        <w:t xml:space="preserve"> </w:t>
      </w:r>
      <w:r w:rsidRPr="009F75DF" w:rsidR="00707C99">
        <w:rPr>
          <w:rFonts w:ascii="Times New Roman" w:hAnsi="Times New Roman" w:eastAsia="Arial Unicode MS" w:cs="Times New Roman"/>
          <w:sz w:val="24"/>
          <w:szCs w:val="24"/>
          <w:lang w:val="es-PE" w:eastAsia="ar-SA"/>
        </w:rPr>
        <w:t xml:space="preserve">de </w:t>
      </w:r>
      <w:r w:rsidRPr="009F75DF" w:rsidR="00286C15">
        <w:rPr>
          <w:rFonts w:ascii="Times New Roman" w:hAnsi="Times New Roman" w:eastAsia="Arial Unicode MS" w:cs="Times New Roman"/>
          <w:sz w:val="24"/>
          <w:szCs w:val="24"/>
          <w:lang w:val="es-PE" w:eastAsia="ar-SA"/>
        </w:rPr>
        <w:t>octubre</w:t>
      </w:r>
      <w:r w:rsidRPr="009F75DF" w:rsidR="002F478E">
        <w:rPr>
          <w:rFonts w:ascii="Times New Roman" w:hAnsi="Times New Roman" w:eastAsia="Arial Unicode MS" w:cs="Times New Roman"/>
          <w:sz w:val="24"/>
          <w:szCs w:val="24"/>
          <w:lang w:val="es-PE" w:eastAsia="ar-SA"/>
        </w:rPr>
        <w:t xml:space="preserve"> </w:t>
      </w:r>
      <w:r w:rsidRPr="009F75DF" w:rsidR="00F06498">
        <w:rPr>
          <w:rFonts w:ascii="Times New Roman" w:hAnsi="Times New Roman" w:eastAsia="Arial Unicode MS" w:cs="Times New Roman"/>
          <w:sz w:val="24"/>
          <w:szCs w:val="24"/>
          <w:lang w:val="es-PE" w:eastAsia="ar-SA"/>
        </w:rPr>
        <w:t>de 202</w:t>
      </w:r>
      <w:r w:rsidRPr="009F75DF" w:rsidR="00B340D4">
        <w:rPr>
          <w:rFonts w:ascii="Times New Roman" w:hAnsi="Times New Roman" w:eastAsia="Arial Unicode MS" w:cs="Times New Roman"/>
          <w:sz w:val="24"/>
          <w:szCs w:val="24"/>
          <w:lang w:val="es-PE" w:eastAsia="ar-SA"/>
        </w:rPr>
        <w:t>3</w:t>
      </w:r>
      <w:r w:rsidRPr="009F75DF" w:rsidR="00707C99">
        <w:rPr>
          <w:rFonts w:ascii="Times New Roman" w:hAnsi="Times New Roman" w:eastAsia="Times New Roman" w:cs="Times New Roman"/>
          <w:sz w:val="24"/>
          <w:szCs w:val="24"/>
          <w:lang w:val="es-PE" w:eastAsia="ar-SA"/>
        </w:rPr>
        <w:t xml:space="preserve"> </w:t>
      </w:r>
    </w:p>
    <w:p w:rsidRPr="009F75DF"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F75DF"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9F75D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F75DF"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9F75DF"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9F75DF">
        <w:rPr>
          <w:rFonts w:ascii="Times New Roman" w:hAnsi="Times New Roman" w:cs="Times New Roman"/>
          <w:b/>
          <w:bCs/>
          <w:sz w:val="24"/>
          <w:szCs w:val="24"/>
          <w:lang w:val="es-PE"/>
        </w:rPr>
        <w:t xml:space="preserve">Rolando Eyzaguirre </w:t>
      </w:r>
      <w:proofErr w:type="spellStart"/>
      <w:r w:rsidRPr="009F75DF">
        <w:rPr>
          <w:rFonts w:ascii="Times New Roman" w:hAnsi="Times New Roman" w:cs="Times New Roman"/>
          <w:b/>
          <w:bCs/>
          <w:sz w:val="24"/>
          <w:szCs w:val="24"/>
          <w:lang w:val="es-PE"/>
        </w:rPr>
        <w:t>Maccan</w:t>
      </w:r>
      <w:proofErr w:type="spellEnd"/>
      <w:r w:rsidRPr="009F75DF">
        <w:rPr>
          <w:rFonts w:ascii="Times New Roman" w:hAnsi="Times New Roman" w:cs="Times New Roman"/>
          <w:b/>
          <w:bCs/>
          <w:sz w:val="24"/>
          <w:szCs w:val="24"/>
          <w:lang w:val="es-PE"/>
        </w:rPr>
        <w:t xml:space="preserve"> – </w:t>
      </w:r>
      <w:proofErr w:type="gramStart"/>
      <w:r w:rsidRPr="009F75DF">
        <w:rPr>
          <w:rFonts w:ascii="Times New Roman" w:hAnsi="Times New Roman" w:cs="Times New Roman"/>
          <w:b/>
          <w:bCs/>
          <w:sz w:val="24"/>
          <w:szCs w:val="24"/>
          <w:lang w:val="es-PE"/>
        </w:rPr>
        <w:t>Presidente</w:t>
      </w:r>
      <w:proofErr w:type="gramEnd"/>
    </w:p>
    <w:p w:rsidRPr="009F75DF"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9F75DF">
        <w:rPr>
          <w:rFonts w:ascii="Times New Roman" w:hAnsi="Times New Roman" w:cs="Times New Roman"/>
          <w:b/>
          <w:bCs/>
          <w:sz w:val="24"/>
          <w:szCs w:val="24"/>
          <w:lang w:val="es-PE"/>
        </w:rPr>
        <w:t>María Eugenia Valdez Fernández Baca – Vocal</w:t>
      </w:r>
    </w:p>
    <w:p w:rsidRPr="009F75DF"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9F75DF">
        <w:rPr>
          <w:rFonts w:ascii="Times New Roman" w:hAnsi="Times New Roman" w:cs="Times New Roman"/>
          <w:b/>
          <w:bCs/>
          <w:sz w:val="24"/>
          <w:szCs w:val="24"/>
          <w:lang w:val="es-PE"/>
        </w:rPr>
        <w:t>Omar Alfaro Villanueva – Vocal</w:t>
      </w:r>
    </w:p>
    <w:p w:rsidRPr="009F75DF"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9F75DF">
        <w:rPr>
          <w:rFonts w:ascii="Times New Roman" w:hAnsi="Times New Roman" w:cs="Times New Roman"/>
          <w:b/>
          <w:bCs/>
          <w:sz w:val="24"/>
          <w:szCs w:val="24"/>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10"/>
      <w:footerReference w:type="default" r:id="rId11"/>
      <w:headerReference w:type="first" r:id="rId14"/>
      <w:footerReference w:type="first" r:id="rId15"/>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1704" w:rsidP="00784355" w:rsidRDefault="006C1704" w14:paraId="5B2C63E4" w14:textId="77777777">
      <w:pPr>
        <w:spacing w:after="0" w:line="240" w:lineRule="auto"/>
      </w:pPr>
      <w:r>
        <w:separator/>
      </w:r>
    </w:p>
  </w:endnote>
  <w:endnote w:type="continuationSeparator" w:id="0">
    <w:p w:rsidR="006C1704" w:rsidP="00784355" w:rsidRDefault="006C1704" w14:paraId="3147585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1704" w:rsidP="00784355" w:rsidRDefault="006C1704" w14:paraId="249FC95A" w14:textId="77777777">
      <w:pPr>
        <w:spacing w:after="0" w:line="240" w:lineRule="auto"/>
      </w:pPr>
      <w:r>
        <w:separator/>
      </w:r>
    </w:p>
  </w:footnote>
  <w:footnote w:type="continuationSeparator" w:id="0">
    <w:p w:rsidR="006C1704" w:rsidP="00784355" w:rsidRDefault="006C1704" w14:paraId="0922ED0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3"/>
  </w:num>
  <w:num w:numId="3" w16cid:durableId="333261791">
    <w:abstractNumId w:val="11"/>
  </w:num>
  <w:num w:numId="4" w16cid:durableId="1770345525">
    <w:abstractNumId w:val="10"/>
  </w:num>
  <w:num w:numId="5" w16cid:durableId="1816144979">
    <w:abstractNumId w:val="12"/>
  </w:num>
  <w:num w:numId="6" w16cid:durableId="1304313350">
    <w:abstractNumId w:val="0"/>
  </w:num>
  <w:num w:numId="7" w16cid:durableId="16682880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 w:numId="17" w16cid:durableId="17998823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A718F"/>
    <w:rsid w:val="004B155C"/>
    <w:rsid w:val="004B27E2"/>
    <w:rsid w:val="004B51ED"/>
    <w:rsid w:val="004C1C34"/>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760D"/>
    <w:rsid w:val="008D1D39"/>
    <w:rsid w:val="008D5049"/>
    <w:rsid w:val="008D6DDF"/>
    <w:rsid w:val="008D721C"/>
    <w:rsid w:val="008E33FD"/>
    <w:rsid w:val="008F1161"/>
    <w:rsid w:val="008F479E"/>
    <w:rsid w:val="009011F1"/>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A3C9F4F"/>
    <w:rsid w:val="1BA3F347"/>
    <w:rsid w:val="1C62719D"/>
    <w:rsid w:val="2A8FC5D4"/>
    <w:rsid w:val="38479851"/>
    <w:rsid w:val="52B447D5"/>
    <w:rsid w:val="53BDD6C3"/>
    <w:rsid w:val="61AA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CCF4F04-671A-4E3F-9D3B-B659603CCA58}"/>
</file>

<file path=customXml/itemProps3.xml><?xml version="1.0" encoding="utf-8"?>
<ds:datastoreItem xmlns:ds="http://schemas.openxmlformats.org/officeDocument/2006/customXml" ds:itemID="{FE09EC0F-B815-4C25-A2FD-7E377AB61215}"/>
</file>

<file path=customXml/itemProps4.xml><?xml version="1.0" encoding="utf-8"?>
<ds:datastoreItem xmlns:ds="http://schemas.openxmlformats.org/officeDocument/2006/customXml" ds:itemID="{10CFBD30-21DE-41D7-B791-52DB4FF9B9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160</cp:revision>
  <cp:lastPrinted>2023-10-11T16:32:00Z</cp:lastPrinted>
  <dcterms:created xsi:type="dcterms:W3CDTF">2023-02-14T22:37:00Z</dcterms:created>
  <dcterms:modified xsi:type="dcterms:W3CDTF">2025-12-04T19:45:31Z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