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202F1" w:rsidR="00707C99" w:rsidP="00272F4F" w:rsidRDefault="00201C0D" w14:paraId="19FE0E96" w14:textId="686CDB09">
      <w:pPr>
        <w:spacing w:after="0" w:line="240" w:lineRule="auto"/>
        <w:jc w:val="center"/>
        <w:rPr>
          <w:rFonts w:ascii="Times New Roman" w:hAnsi="Times New Roman" w:cs="Times New Roman"/>
          <w:b/>
          <w:sz w:val="24"/>
          <w:szCs w:val="24"/>
          <w:lang w:val="es-PE" w:eastAsia="ar-SA"/>
        </w:rPr>
      </w:pPr>
      <w:r w:rsidRPr="00C202F1">
        <w:rPr>
          <w:rFonts w:ascii="Times New Roman" w:hAnsi="Times New Roman" w:cs="Times New Roman"/>
          <w:b/>
          <w:sz w:val="24"/>
          <w:szCs w:val="24"/>
          <w:lang w:val="es-PE" w:eastAsia="ar-SA"/>
        </w:rPr>
        <w:t xml:space="preserve">RESOLUCIÓN DE RECURSO IMPUGNATIVO </w:t>
      </w:r>
      <w:proofErr w:type="spellStart"/>
      <w:r w:rsidRPr="00C202F1" w:rsidR="00707C99">
        <w:rPr>
          <w:rFonts w:ascii="Times New Roman" w:hAnsi="Times New Roman" w:cs="Times New Roman"/>
          <w:b/>
          <w:sz w:val="24"/>
          <w:szCs w:val="24"/>
          <w:lang w:val="es-PE" w:eastAsia="ar-SA"/>
        </w:rPr>
        <w:t>N°</w:t>
      </w:r>
      <w:proofErr w:type="spellEnd"/>
      <w:r w:rsidRPr="00C202F1" w:rsidR="00707C99">
        <w:rPr>
          <w:rFonts w:ascii="Times New Roman" w:hAnsi="Times New Roman" w:cs="Times New Roman"/>
          <w:b/>
          <w:sz w:val="24"/>
          <w:szCs w:val="24"/>
          <w:lang w:val="es-PE" w:eastAsia="ar-SA"/>
        </w:rPr>
        <w:t xml:space="preserve"> </w:t>
      </w:r>
      <w:r w:rsidRPr="00C202F1" w:rsidR="00516293">
        <w:rPr>
          <w:rFonts w:ascii="Times New Roman" w:hAnsi="Times New Roman" w:cs="Times New Roman"/>
          <w:b/>
          <w:sz w:val="24"/>
          <w:szCs w:val="24"/>
          <w:lang w:val="es-PE" w:eastAsia="ar-SA"/>
        </w:rPr>
        <w:t>0</w:t>
      </w:r>
      <w:r w:rsidRPr="00C202F1" w:rsidR="00BA3C20">
        <w:rPr>
          <w:rFonts w:ascii="Times New Roman" w:hAnsi="Times New Roman" w:cs="Times New Roman"/>
          <w:b/>
          <w:sz w:val="24"/>
          <w:szCs w:val="24"/>
          <w:lang w:val="es-PE" w:eastAsia="ar-SA"/>
        </w:rPr>
        <w:t>50</w:t>
      </w:r>
      <w:r w:rsidRPr="00C202F1" w:rsidR="00C671F5">
        <w:rPr>
          <w:rFonts w:ascii="Times New Roman" w:hAnsi="Times New Roman" w:cs="Times New Roman"/>
          <w:b/>
          <w:sz w:val="24"/>
          <w:szCs w:val="24"/>
          <w:lang w:val="es-PE" w:eastAsia="ar-SA"/>
        </w:rPr>
        <w:t>/2</w:t>
      </w:r>
      <w:r w:rsidRPr="00C202F1" w:rsidR="00AB7BFE">
        <w:rPr>
          <w:rFonts w:ascii="Times New Roman" w:hAnsi="Times New Roman" w:cs="Times New Roman"/>
          <w:b/>
          <w:sz w:val="24"/>
          <w:szCs w:val="24"/>
          <w:lang w:val="es-PE" w:eastAsia="ar-SA"/>
        </w:rPr>
        <w:t>3</w:t>
      </w:r>
    </w:p>
    <w:p w:rsidR="00C202F1" w:rsidP="00C202F1" w:rsidRDefault="00C202F1" w14:paraId="07656E09" w14:textId="77777777">
      <w:pPr>
        <w:spacing w:after="0" w:line="240" w:lineRule="auto"/>
        <w:jc w:val="both"/>
        <w:rPr>
          <w:rFonts w:ascii="Times New Roman" w:hAnsi="Times New Roman" w:cs="Times New Roman"/>
          <w:b/>
          <w:sz w:val="24"/>
          <w:szCs w:val="24"/>
          <w:lang w:val="es-PE"/>
        </w:rPr>
      </w:pPr>
    </w:p>
    <w:p w:rsidRPr="00C202F1" w:rsidR="00C202F1" w:rsidP="00C202F1" w:rsidRDefault="00C202F1" w14:paraId="43D6B4A2" w14:textId="2470687E">
      <w:pPr>
        <w:spacing w:after="0" w:line="240" w:lineRule="auto"/>
        <w:jc w:val="both"/>
        <w:rPr>
          <w:rFonts w:ascii="Times New Roman" w:hAnsi="Times New Roman" w:cs="Times New Roman"/>
          <w:sz w:val="24"/>
          <w:szCs w:val="24"/>
          <w:lang w:val="es-PE"/>
        </w:rPr>
      </w:pPr>
      <w:r w:rsidRPr="00C202F1">
        <w:rPr>
          <w:rFonts w:ascii="Times New Roman" w:hAnsi="Times New Roman" w:cs="Times New Roman"/>
          <w:b/>
          <w:sz w:val="24"/>
          <w:szCs w:val="24"/>
          <w:lang w:val="es-PE"/>
        </w:rPr>
        <w:t xml:space="preserve">Vistos: </w:t>
      </w:r>
    </w:p>
    <w:p w:rsidRPr="00C202F1" w:rsidR="00C202F1" w:rsidP="00C202F1" w:rsidRDefault="00C202F1" w14:paraId="1EDC7F4C" w14:textId="77777777">
      <w:pPr>
        <w:spacing w:after="0" w:line="240" w:lineRule="auto"/>
        <w:jc w:val="both"/>
        <w:rPr>
          <w:rFonts w:ascii="Times New Roman" w:hAnsi="Times New Roman" w:cs="Times New Roman"/>
          <w:sz w:val="24"/>
          <w:szCs w:val="24"/>
          <w:lang w:val="es-PE"/>
        </w:rPr>
      </w:pPr>
    </w:p>
    <w:p w:rsidRPr="00C202F1" w:rsidR="00C202F1" w:rsidP="00C202F1" w:rsidRDefault="00C202F1" w14:paraId="0C0C554A" w14:textId="6C365137">
      <w:pPr>
        <w:spacing w:line="240" w:lineRule="auto"/>
        <w:jc w:val="both"/>
        <w:rPr>
          <w:rFonts w:ascii="Times New Roman" w:hAnsi="Times New Roman" w:cs="Times New Roman"/>
          <w:sz w:val="24"/>
          <w:szCs w:val="24"/>
          <w:lang w:val="es-PE"/>
        </w:rPr>
      </w:pPr>
      <w:r w:rsidRPr="4AC432C8" w:rsidR="00C202F1">
        <w:rPr>
          <w:rFonts w:ascii="Times New Roman" w:hAnsi="Times New Roman" w:cs="Times New Roman"/>
          <w:sz w:val="24"/>
          <w:szCs w:val="24"/>
          <w:lang w:val="es-PE"/>
        </w:rPr>
        <w:t xml:space="preserve">El Recurso Impugnativo presentado el 24 de julio de 2023 por </w:t>
      </w:r>
      <w:r w:rsidRPr="4AC432C8" w:rsidR="727A75EA">
        <w:rPr>
          <w:rFonts w:ascii="Times New Roman" w:hAnsi="Times New Roman" w:cs="Times New Roman"/>
          <w:sz w:val="24"/>
          <w:szCs w:val="24"/>
          <w:lang w:val="es-PE"/>
        </w:rPr>
        <w:t>......................................................................................</w:t>
      </w:r>
      <w:r w:rsidRPr="4AC432C8" w:rsidR="00C202F1">
        <w:rPr>
          <w:rFonts w:ascii="Times New Roman" w:hAnsi="Times New Roman" w:cs="Times New Roman"/>
          <w:sz w:val="24"/>
          <w:szCs w:val="24"/>
          <w:lang w:val="es-PE"/>
        </w:rPr>
        <w:t xml:space="preserve"> respecto de la Resolución </w:t>
      </w:r>
      <w:r w:rsidRPr="4AC432C8" w:rsidR="00C202F1">
        <w:rPr>
          <w:rFonts w:ascii="Times New Roman" w:hAnsi="Times New Roman" w:cs="Times New Roman"/>
          <w:sz w:val="24"/>
          <w:szCs w:val="24"/>
          <w:lang w:val="es-PE"/>
        </w:rPr>
        <w:t>N°</w:t>
      </w:r>
      <w:r w:rsidRPr="4AC432C8" w:rsidR="00C202F1">
        <w:rPr>
          <w:rFonts w:ascii="Times New Roman" w:hAnsi="Times New Roman" w:cs="Times New Roman"/>
          <w:sz w:val="24"/>
          <w:szCs w:val="24"/>
          <w:lang w:val="es-PE"/>
        </w:rPr>
        <w:t xml:space="preserve"> 144/23 de fecha 17 de julio de 2023 emitida por esta Defensoría del Asegurado (DEFASEG) que declaró INFUNDADA la reclamación interpuesta, sobre otorgamiento de cobertura al siniestro ocurrido por Responsabilidad Civil, bajo la Póliza de Seguro de Vehículos contratada.</w:t>
      </w:r>
    </w:p>
    <w:p w:rsidRPr="00C202F1" w:rsidR="00C202F1" w:rsidP="00C202F1" w:rsidRDefault="00C202F1" w14:paraId="5030A0B8" w14:textId="77777777">
      <w:pPr>
        <w:spacing w:line="240" w:lineRule="auto"/>
        <w:jc w:val="both"/>
        <w:rPr>
          <w:rFonts w:ascii="Times New Roman" w:hAnsi="Times New Roman" w:cs="Times New Roman"/>
          <w:sz w:val="24"/>
          <w:szCs w:val="24"/>
          <w:lang w:val="es-PE"/>
        </w:rPr>
      </w:pPr>
      <w:r w:rsidRPr="00C202F1">
        <w:rPr>
          <w:rFonts w:ascii="Times New Roman" w:hAnsi="Times New Roman" w:cs="Times New Roman"/>
          <w:sz w:val="24"/>
          <w:szCs w:val="24"/>
          <w:lang w:val="es-PE"/>
        </w:rPr>
        <w:t>Que el señalado Recurso Impugnativo se fundamenta resumidamente en lo siguiente: 1) Que, la asegurada sustenta su pretensión impugnatoria en mérito a lo prescrito por el artículo 124° del Procedimiento Administrativo General. 2) Que, en la resolución apelada, se advierte que la decisión de rechazar la reclamación se sustenta en el siguiente argumento:</w:t>
      </w:r>
    </w:p>
    <w:p w:rsidRPr="00C202F1" w:rsidR="00C202F1" w:rsidP="00C202F1" w:rsidRDefault="00C202F1" w14:paraId="74928C75" w14:textId="77777777">
      <w:pPr>
        <w:spacing w:line="240" w:lineRule="auto"/>
        <w:jc w:val="both"/>
        <w:rPr>
          <w:rFonts w:ascii="Times New Roman" w:hAnsi="Times New Roman" w:cs="Times New Roman"/>
          <w:i/>
          <w:iCs/>
          <w:sz w:val="24"/>
          <w:szCs w:val="24"/>
          <w:lang w:val="es-PE"/>
        </w:rPr>
      </w:pPr>
      <w:r w:rsidRPr="00C202F1">
        <w:rPr>
          <w:rFonts w:ascii="Times New Roman" w:hAnsi="Times New Roman" w:cs="Times New Roman"/>
          <w:sz w:val="24"/>
          <w:szCs w:val="24"/>
          <w:lang w:val="es-PE"/>
        </w:rPr>
        <w:t>“</w:t>
      </w:r>
      <w:r w:rsidRPr="00C202F1">
        <w:rPr>
          <w:rFonts w:ascii="Times New Roman" w:hAnsi="Times New Roman" w:cs="Times New Roman"/>
          <w:i/>
          <w:iCs/>
          <w:sz w:val="24"/>
          <w:szCs w:val="24"/>
          <w:lang w:val="es-PE"/>
        </w:rPr>
        <w:t xml:space="preserve">6. Que, la DEFASEG ya ha concluido en reiterados pronunciamientos anteriores que la manera de interpretar dicha exclusión de </w:t>
      </w:r>
      <w:proofErr w:type="gramStart"/>
      <w:r w:rsidRPr="00C202F1">
        <w:rPr>
          <w:rFonts w:ascii="Times New Roman" w:hAnsi="Times New Roman" w:cs="Times New Roman"/>
          <w:i/>
          <w:iCs/>
          <w:sz w:val="24"/>
          <w:szCs w:val="24"/>
          <w:lang w:val="es-PE"/>
        </w:rPr>
        <w:t>NEGLIGENCIA,</w:t>
      </w:r>
      <w:proofErr w:type="gramEnd"/>
      <w:r w:rsidRPr="00C202F1">
        <w:rPr>
          <w:rFonts w:ascii="Times New Roman" w:hAnsi="Times New Roman" w:cs="Times New Roman"/>
          <w:i/>
          <w:iCs/>
          <w:sz w:val="24"/>
          <w:szCs w:val="24"/>
          <w:lang w:val="es-PE"/>
        </w:rPr>
        <w:t xml:space="preserve"> es que se excluyen de cobertura los supuestos de negligencia grave, mas no los de negligencia leve, resultando la cláusula totalmente valida contrariamente a lo alegado por el asegurado. Que, en el presente caso, como se ha señalado líneas arriba, el siniestro se produjo debido a un actuar del conductor del vehículo asegurado que es categorizado como NEGLIGENCIA GRAVE.</w:t>
      </w:r>
    </w:p>
    <w:p w:rsidRPr="00C202F1" w:rsidR="00C202F1" w:rsidP="00C202F1" w:rsidRDefault="00C202F1" w14:paraId="352347A3" w14:textId="77777777">
      <w:pPr>
        <w:spacing w:line="240" w:lineRule="auto"/>
        <w:jc w:val="both"/>
        <w:rPr>
          <w:rFonts w:ascii="Times New Roman" w:hAnsi="Times New Roman" w:cs="Times New Roman"/>
          <w:sz w:val="24"/>
          <w:szCs w:val="24"/>
          <w:lang w:val="es-PE"/>
        </w:rPr>
      </w:pPr>
      <w:r w:rsidRPr="00C202F1">
        <w:rPr>
          <w:rFonts w:ascii="Times New Roman" w:hAnsi="Times New Roman" w:cs="Times New Roman"/>
          <w:sz w:val="24"/>
          <w:szCs w:val="24"/>
          <w:lang w:val="es-PE"/>
        </w:rPr>
        <w:t xml:space="preserve">3) Que, en tal sentido, equipara la conducta del conductor como NEGLIGENCIA GRAVE, sin antes definir la misma o indicar </w:t>
      </w:r>
      <w:proofErr w:type="spellStart"/>
      <w:r w:rsidRPr="00C202F1">
        <w:rPr>
          <w:rFonts w:ascii="Times New Roman" w:hAnsi="Times New Roman" w:cs="Times New Roman"/>
          <w:sz w:val="24"/>
          <w:szCs w:val="24"/>
          <w:lang w:val="es-PE"/>
        </w:rPr>
        <w:t>el porque</w:t>
      </w:r>
      <w:proofErr w:type="spellEnd"/>
      <w:r w:rsidRPr="00C202F1">
        <w:rPr>
          <w:rFonts w:ascii="Times New Roman" w:hAnsi="Times New Roman" w:cs="Times New Roman"/>
          <w:sz w:val="24"/>
          <w:szCs w:val="24"/>
          <w:lang w:val="es-PE"/>
        </w:rPr>
        <w:t xml:space="preserve"> su actuar se equipara a una negligencia grave y no a una negligencia leve</w:t>
      </w:r>
      <w:r w:rsidRPr="00C202F1">
        <w:rPr>
          <w:rFonts w:ascii="Times New Roman" w:hAnsi="Times New Roman" w:cs="Times New Roman"/>
          <w:i/>
          <w:iCs/>
          <w:sz w:val="24"/>
          <w:szCs w:val="24"/>
          <w:lang w:val="es-PE"/>
        </w:rPr>
        <w:t xml:space="preserve"> </w:t>
      </w:r>
      <w:r w:rsidRPr="00C202F1">
        <w:rPr>
          <w:rFonts w:ascii="Times New Roman" w:hAnsi="Times New Roman" w:cs="Times New Roman"/>
          <w:sz w:val="24"/>
          <w:szCs w:val="24"/>
          <w:lang w:val="es-PE"/>
        </w:rPr>
        <w:t xml:space="preserve">afectando el derecho de la asegurada a obtener una decisión debidamente motivada. 4) Que, la conclusión arribada por la Defensoría no se sustenta en ningún precepto normativo, pues se limita a indicar que la DEFASEG ya ha concluido en reiterados pronunciamientos anteriores (…), por ende, la conclusión arribada no resulta ser específicamente esclarecedora como para determinar que la conducta del conductor se configura como negligencia grave. 5) Que, el término Negligencia no especifica si esta debe ser grave o leve y, al estar frente a una cláusula cuyos términos no son del todo claros, esta debe ser interpretada con el alcance </w:t>
      </w:r>
      <w:proofErr w:type="spellStart"/>
      <w:r w:rsidRPr="00C202F1">
        <w:rPr>
          <w:rFonts w:ascii="Times New Roman" w:hAnsi="Times New Roman" w:cs="Times New Roman"/>
          <w:sz w:val="24"/>
          <w:szCs w:val="24"/>
          <w:lang w:val="es-PE"/>
        </w:rPr>
        <w:t>mas</w:t>
      </w:r>
      <w:proofErr w:type="spellEnd"/>
      <w:r w:rsidRPr="00C202F1">
        <w:rPr>
          <w:rFonts w:ascii="Times New Roman" w:hAnsi="Times New Roman" w:cs="Times New Roman"/>
          <w:sz w:val="24"/>
          <w:szCs w:val="24"/>
          <w:lang w:val="es-PE"/>
        </w:rPr>
        <w:t xml:space="preserve"> favorable para el asegurado, de conformidad a lo prescrito por el artículo IV de la Ley 29946 – Ley de Contrato de Seguro. 6) Que, adicionalmente, al no haberse pronunciado la aseguradora dentro del plazo de 30 días, se debe entender que el siniestro fue consentido.</w:t>
      </w:r>
    </w:p>
    <w:p w:rsidRPr="00C202F1" w:rsidR="00C202F1" w:rsidP="00C202F1" w:rsidRDefault="00C202F1" w14:paraId="257FF7AE" w14:textId="0F6F82CD">
      <w:pPr>
        <w:spacing w:line="240" w:lineRule="auto"/>
        <w:jc w:val="both"/>
        <w:rPr>
          <w:rFonts w:ascii="Times New Roman" w:hAnsi="Times New Roman" w:cs="Times New Roman"/>
          <w:sz w:val="24"/>
          <w:szCs w:val="24"/>
          <w:lang w:val="es-PE"/>
        </w:rPr>
      </w:pPr>
      <w:r w:rsidRPr="4AC432C8" w:rsidR="00C202F1">
        <w:rPr>
          <w:rFonts w:ascii="Times New Roman" w:hAnsi="Times New Roman" w:cs="Times New Roman"/>
          <w:sz w:val="24"/>
          <w:szCs w:val="24"/>
          <w:lang w:val="es-PE"/>
        </w:rPr>
        <w:t xml:space="preserve">Que, habiéndose corrido traslado a </w:t>
      </w:r>
      <w:r w:rsidRPr="4AC432C8" w:rsidR="5583F2AB">
        <w:rPr>
          <w:rFonts w:ascii="Times New Roman" w:hAnsi="Times New Roman" w:cs="Times New Roman"/>
          <w:sz w:val="24"/>
          <w:szCs w:val="24"/>
          <w:lang w:val="es-PE"/>
        </w:rPr>
        <w:t>........................................</w:t>
      </w:r>
      <w:r w:rsidRPr="4AC432C8" w:rsidR="00C202F1">
        <w:rPr>
          <w:rFonts w:ascii="Times New Roman" w:hAnsi="Times New Roman" w:cs="Times New Roman"/>
          <w:sz w:val="24"/>
          <w:szCs w:val="24"/>
          <w:lang w:val="es-PE"/>
        </w:rPr>
        <w:t xml:space="preserve"> del referido Recurso impugnatorio, la aseguradora ha presentado contestación al mismo, manifestando lo siguiente: 1) Que, la resolución emitida si estuvo debidamente motivada en base a las pruebas ofrecidas y los argumentos de ambas partes, siendo que el </w:t>
      </w:r>
      <w:r w:rsidRPr="4AC432C8" w:rsidR="00C202F1">
        <w:rPr>
          <w:rFonts w:ascii="Times New Roman" w:hAnsi="Times New Roman" w:cs="Times New Roman"/>
          <w:sz w:val="24"/>
          <w:szCs w:val="24"/>
          <w:lang w:val="es-PE"/>
        </w:rPr>
        <w:t>porque</w:t>
      </w:r>
      <w:r w:rsidRPr="4AC432C8" w:rsidR="00C202F1">
        <w:rPr>
          <w:rFonts w:ascii="Times New Roman" w:hAnsi="Times New Roman" w:cs="Times New Roman"/>
          <w:sz w:val="24"/>
          <w:szCs w:val="24"/>
          <w:lang w:val="es-PE"/>
        </w:rPr>
        <w:t xml:space="preserve"> de la conducta del conductor es tipificada como negligencia grave se desprende claramente del contenido del informe policial que obra como prueba en el expediente, en el cual se concluyó lo siguiente:</w:t>
      </w:r>
    </w:p>
    <w:p w:rsidRPr="00C202F1" w:rsidR="00C202F1" w:rsidP="00C202F1" w:rsidRDefault="00C202F1" w14:paraId="394DA248" w14:textId="77777777">
      <w:pPr>
        <w:spacing w:line="240" w:lineRule="auto"/>
        <w:jc w:val="both"/>
        <w:rPr>
          <w:rFonts w:ascii="Times New Roman" w:hAnsi="Times New Roman" w:cs="Times New Roman"/>
          <w:sz w:val="24"/>
          <w:szCs w:val="24"/>
          <w:lang w:val="es-PE"/>
        </w:rPr>
      </w:pPr>
      <w:r w:rsidRPr="00C202F1">
        <w:rPr>
          <w:rFonts w:ascii="Times New Roman" w:hAnsi="Times New Roman" w:cs="Times New Roman"/>
          <w:sz w:val="24"/>
          <w:szCs w:val="24"/>
          <w:lang w:val="es-PE"/>
        </w:rPr>
        <w:t>“CONCLUSIONES</w:t>
      </w:r>
    </w:p>
    <w:p w:rsidRPr="00C202F1" w:rsidR="00C202F1" w:rsidP="00C202F1" w:rsidRDefault="00C202F1" w14:paraId="7257765A" w14:textId="77777777">
      <w:pPr>
        <w:spacing w:line="240" w:lineRule="auto"/>
        <w:jc w:val="both"/>
        <w:rPr>
          <w:rFonts w:ascii="Times New Roman" w:hAnsi="Times New Roman" w:cs="Times New Roman"/>
          <w:sz w:val="24"/>
          <w:szCs w:val="24"/>
          <w:lang w:val="es-PE"/>
        </w:rPr>
      </w:pPr>
      <w:r w:rsidRPr="00C202F1">
        <w:rPr>
          <w:rFonts w:ascii="Times New Roman" w:hAnsi="Times New Roman" w:cs="Times New Roman"/>
          <w:sz w:val="24"/>
          <w:szCs w:val="24"/>
          <w:lang w:val="es-PE"/>
        </w:rPr>
        <w:t>FACTORES INTERVINIENTES</w:t>
      </w:r>
    </w:p>
    <w:p w:rsidRPr="00C202F1" w:rsidR="00C202F1" w:rsidP="00C202F1" w:rsidRDefault="00C202F1" w14:paraId="20643E81" w14:textId="77777777">
      <w:pPr>
        <w:spacing w:line="240" w:lineRule="auto"/>
        <w:jc w:val="both"/>
        <w:rPr>
          <w:rFonts w:ascii="Times New Roman" w:hAnsi="Times New Roman" w:cs="Times New Roman"/>
          <w:sz w:val="24"/>
          <w:szCs w:val="24"/>
          <w:lang w:val="es-PE"/>
        </w:rPr>
      </w:pPr>
      <w:r w:rsidRPr="00C202F1">
        <w:rPr>
          <w:rFonts w:ascii="Times New Roman" w:hAnsi="Times New Roman" w:cs="Times New Roman"/>
          <w:sz w:val="24"/>
          <w:szCs w:val="24"/>
          <w:lang w:val="es-PE"/>
        </w:rPr>
        <w:t>2. Factor predominante</w:t>
      </w:r>
    </w:p>
    <w:p w:rsidRPr="00C202F1" w:rsidR="00C202F1" w:rsidP="00C202F1" w:rsidRDefault="00C202F1" w14:paraId="40BE8C3E" w14:textId="77777777">
      <w:pPr>
        <w:spacing w:line="240" w:lineRule="auto"/>
        <w:jc w:val="both"/>
        <w:rPr>
          <w:rFonts w:ascii="Times New Roman" w:hAnsi="Times New Roman" w:cs="Times New Roman"/>
          <w:sz w:val="24"/>
          <w:szCs w:val="24"/>
          <w:lang w:val="es-PE"/>
        </w:rPr>
      </w:pPr>
      <w:r w:rsidRPr="00C202F1">
        <w:rPr>
          <w:rFonts w:ascii="Times New Roman" w:hAnsi="Times New Roman" w:cs="Times New Roman"/>
          <w:sz w:val="24"/>
          <w:szCs w:val="24"/>
          <w:lang w:val="es-PE"/>
        </w:rPr>
        <w:t xml:space="preserve">La acción operativa negligente e imprudente del conductor de la UT-1 (ómnibus), al no tomar sus medidas de precaución, aunado a un marcado exceso de confianza, al detener el vehículo y </w:t>
      </w:r>
      <w:r w:rsidRPr="00C202F1">
        <w:rPr>
          <w:rFonts w:ascii="Times New Roman" w:hAnsi="Times New Roman" w:cs="Times New Roman"/>
          <w:sz w:val="24"/>
          <w:szCs w:val="24"/>
          <w:lang w:val="es-PE"/>
        </w:rPr>
        <w:lastRenderedPageBreak/>
        <w:t>reiniciar la marcha cuando la UT-2 se encontraba descendiendo el último peldaño de la puerta de descenso de los pasajeros, sin que este haya culminado dicho descenso, acción que provocó que la UT-2 cayera a la zona de tierra de la vía, produciéndose lesiones graves al tura del cráneo, las mismas que por la gravedad le causara la muerte.”</w:t>
      </w:r>
    </w:p>
    <w:p w:rsidRPr="00C202F1" w:rsidR="00C202F1" w:rsidP="00C202F1" w:rsidRDefault="00C202F1" w14:paraId="6916F4E5" w14:textId="77777777">
      <w:pPr>
        <w:spacing w:line="240" w:lineRule="auto"/>
        <w:jc w:val="both"/>
        <w:rPr>
          <w:rFonts w:ascii="Times New Roman" w:hAnsi="Times New Roman" w:cs="Times New Roman"/>
          <w:sz w:val="24"/>
          <w:szCs w:val="24"/>
          <w:lang w:val="es-PE"/>
        </w:rPr>
      </w:pPr>
      <w:r w:rsidRPr="00C202F1">
        <w:rPr>
          <w:rFonts w:ascii="Times New Roman" w:hAnsi="Times New Roman" w:cs="Times New Roman"/>
          <w:sz w:val="24"/>
          <w:szCs w:val="24"/>
          <w:lang w:val="es-PE"/>
        </w:rPr>
        <w:t xml:space="preserve">2) Que, se debe tener en cuenta que dicho informe policial no ha sido cuestionado por el asegurado y tampoco ha ofrecido prueba en contra que demuestre que el conductor no fue negligente de manera grave. 3) Que, en relación al supuesto siniestro consentido, la aseguradora mediante comunicación de fecha 27 de octubre de 2021 solicitó al asegurado la presentación de las Conclusiones Policiales, siendo que recién el 1° de julio de 2022 el  asegurado presentó una notificación judicial que había recibido en la medida que el conductor se encontraba siendo investigado por la fiscalía competente por la presenta comisión del delito de homicidio culposo, además de presentar posteriormente el 21 de setiembre de 2022 las conclusiones policiales solicitadas. </w:t>
      </w:r>
    </w:p>
    <w:p w:rsidRPr="00C202F1" w:rsidR="00C202F1" w:rsidP="00C202F1" w:rsidRDefault="00C202F1" w14:paraId="30BDF53F" w14:textId="77777777">
      <w:pPr>
        <w:spacing w:line="240" w:lineRule="auto"/>
        <w:jc w:val="both"/>
        <w:rPr>
          <w:rFonts w:ascii="Times New Roman" w:hAnsi="Times New Roman" w:cs="Times New Roman"/>
          <w:sz w:val="24"/>
          <w:szCs w:val="24"/>
          <w:lang w:val="es-PE"/>
        </w:rPr>
      </w:pPr>
      <w:r w:rsidRPr="00C202F1">
        <w:rPr>
          <w:rFonts w:ascii="Times New Roman" w:hAnsi="Times New Roman" w:cs="Times New Roman"/>
          <w:sz w:val="24"/>
          <w:szCs w:val="24"/>
          <w:lang w:val="es-PE"/>
        </w:rPr>
        <w:t>En consecuencia y atendiendo a lo expuesto, esta Defensoría resuelve finalmente lo siguiente:</w:t>
      </w:r>
    </w:p>
    <w:p w:rsidRPr="00C202F1" w:rsidR="00C202F1" w:rsidP="00C202F1" w:rsidRDefault="00C202F1" w14:paraId="027635A0" w14:textId="4492A543">
      <w:pPr>
        <w:spacing w:line="240" w:lineRule="auto"/>
        <w:jc w:val="both"/>
        <w:rPr>
          <w:rFonts w:ascii="Times New Roman" w:hAnsi="Times New Roman" w:cs="Times New Roman"/>
          <w:sz w:val="24"/>
          <w:szCs w:val="24"/>
          <w:lang w:val="es-PE"/>
        </w:rPr>
      </w:pPr>
      <w:r w:rsidRPr="4AC432C8" w:rsidR="00C202F1">
        <w:rPr>
          <w:rFonts w:ascii="Times New Roman" w:hAnsi="Times New Roman" w:cs="Times New Roman"/>
          <w:b w:val="1"/>
          <w:bCs w:val="1"/>
          <w:sz w:val="24"/>
          <w:szCs w:val="24"/>
          <w:lang w:val="es-PE"/>
        </w:rPr>
        <w:t>PRIMERO:</w:t>
      </w:r>
      <w:r w:rsidRPr="4AC432C8" w:rsidR="00C202F1">
        <w:rPr>
          <w:rFonts w:ascii="Times New Roman" w:hAnsi="Times New Roman" w:cs="Times New Roman"/>
          <w:sz w:val="24"/>
          <w:szCs w:val="24"/>
          <w:lang w:val="es-PE"/>
        </w:rPr>
        <w:t xml:space="preserve"> Que el artículo 10 (Procedimiento) del Reglamento de la DEFASEG (</w:t>
      </w:r>
      <w:hyperlink r:id="R90386263876f4d9b">
        <w:r w:rsidRPr="4AC432C8" w:rsidR="00C202F1">
          <w:rPr>
            <w:rStyle w:val="Hipervnculo"/>
            <w:rFonts w:ascii="Times New Roman" w:hAnsi="Times New Roman" w:cs="Times New Roman"/>
            <w:sz w:val="24"/>
            <w:szCs w:val="24"/>
            <w:lang w:val="es-PE"/>
          </w:rPr>
          <w:t>http://www.defaseg.com.pe/reglamento</w:t>
        </w:r>
      </w:hyperlink>
      <w:r w:rsidRPr="4AC432C8" w:rsidR="00C202F1">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4AC432C8" w:rsidR="727A75EA">
        <w:rPr>
          <w:rFonts w:ascii="Times New Roman" w:hAnsi="Times New Roman" w:cs="Times New Roman"/>
          <w:sz w:val="24"/>
          <w:szCs w:val="24"/>
          <w:lang w:val="es-PE"/>
        </w:rPr>
        <w:t>......................................................................................</w:t>
      </w:r>
      <w:r w:rsidRPr="4AC432C8" w:rsidR="00C202F1">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C202F1" w:rsidR="00C202F1" w:rsidP="00C202F1" w:rsidRDefault="00C202F1" w14:paraId="0BF3F666" w14:textId="77777777">
      <w:pPr>
        <w:spacing w:line="240" w:lineRule="auto"/>
        <w:jc w:val="both"/>
        <w:rPr>
          <w:rFonts w:ascii="Times New Roman" w:hAnsi="Times New Roman" w:cs="Times New Roman"/>
          <w:sz w:val="24"/>
          <w:szCs w:val="24"/>
          <w:lang w:val="es-PE"/>
        </w:rPr>
      </w:pPr>
      <w:r w:rsidRPr="00C202F1">
        <w:rPr>
          <w:rFonts w:ascii="Times New Roman" w:hAnsi="Times New Roman" w:cs="Times New Roman"/>
          <w:b/>
          <w:sz w:val="24"/>
          <w:szCs w:val="24"/>
          <w:lang w:val="es-PE"/>
        </w:rPr>
        <w:t>SEGUNDO:</w:t>
      </w:r>
      <w:r w:rsidRPr="00C202F1">
        <w:rPr>
          <w:rFonts w:ascii="Times New Roman" w:hAnsi="Times New Roman" w:cs="Times New Roman"/>
          <w:sz w:val="24"/>
          <w:szCs w:val="24"/>
          <w:lang w:val="es-PE"/>
        </w:rPr>
        <w:t xml:space="preserve"> Que, de la lectura del Recurso Impugnativo interpuesto se aprecia que la asegurada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rsidRPr="00C202F1" w:rsidR="00C202F1" w:rsidP="00C202F1" w:rsidRDefault="00C202F1" w14:paraId="29404E2C"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Que, sin perjuicio de lo anterior, esta Defensoría considera oportuno mencionar nuevamente que, la Resolución Impugnada que considera negligencia grave la causa de lo ocurrido, se sustenta en lo mencionado en el documento de investigación policial, por lo que, en atención a las consideraciones precedentes, este colegiado no aprecia mérito ni razón objetiva para revocar la resolución recurrida y, por lo tanto</w:t>
      </w:r>
    </w:p>
    <w:p w:rsidRPr="00C202F1" w:rsidR="00C202F1" w:rsidP="00C202F1" w:rsidRDefault="00C202F1" w14:paraId="2303B16A" w14:textId="77777777">
      <w:pPr>
        <w:spacing w:line="240" w:lineRule="auto"/>
        <w:jc w:val="both"/>
        <w:rPr>
          <w:rFonts w:ascii="Times New Roman" w:hAnsi="Times New Roman" w:cs="Times New Roman"/>
          <w:sz w:val="24"/>
          <w:szCs w:val="24"/>
          <w:lang w:val="es-PE"/>
        </w:rPr>
      </w:pPr>
      <w:r w:rsidRPr="00C202F1">
        <w:rPr>
          <w:rFonts w:ascii="Times New Roman" w:hAnsi="Times New Roman" w:cs="Times New Roman"/>
          <w:b/>
          <w:sz w:val="24"/>
          <w:szCs w:val="24"/>
          <w:lang w:val="es-PE"/>
        </w:rPr>
        <w:t xml:space="preserve">RESUELVE: </w:t>
      </w:r>
    </w:p>
    <w:p w:rsidRPr="00C202F1" w:rsidR="00C202F1" w:rsidP="00C202F1" w:rsidRDefault="00C202F1" w14:paraId="5FB9E604" w14:textId="552A8596">
      <w:pPr>
        <w:spacing w:line="240" w:lineRule="auto"/>
        <w:jc w:val="both"/>
        <w:rPr>
          <w:rFonts w:ascii="Times New Roman" w:hAnsi="Times New Roman" w:cs="Times New Roman"/>
          <w:sz w:val="24"/>
          <w:szCs w:val="24"/>
          <w:lang w:val="es-PE"/>
        </w:rPr>
      </w:pPr>
      <w:r w:rsidRPr="4AC432C8" w:rsidR="00C202F1">
        <w:rPr>
          <w:rFonts w:ascii="Times New Roman" w:hAnsi="Times New Roman" w:cs="Times New Roman"/>
          <w:sz w:val="24"/>
          <w:szCs w:val="24"/>
          <w:lang w:val="es-PE"/>
        </w:rPr>
        <w:t xml:space="preserve">Declarar </w:t>
      </w:r>
      <w:r w:rsidRPr="4AC432C8" w:rsidR="00C202F1">
        <w:rPr>
          <w:rFonts w:ascii="Times New Roman" w:hAnsi="Times New Roman" w:cs="Times New Roman"/>
          <w:b w:val="1"/>
          <w:bCs w:val="1"/>
          <w:sz w:val="24"/>
          <w:szCs w:val="24"/>
          <w:lang w:val="es-PE"/>
        </w:rPr>
        <w:t>INFUNDADO</w:t>
      </w:r>
      <w:r w:rsidRPr="4AC432C8" w:rsidR="00C202F1">
        <w:rPr>
          <w:rFonts w:ascii="Times New Roman" w:hAnsi="Times New Roman" w:cs="Times New Roman"/>
          <w:sz w:val="24"/>
          <w:szCs w:val="24"/>
          <w:lang w:val="es-PE"/>
        </w:rPr>
        <w:t xml:space="preserve"> el Recurso Impugnativo interpuesto y, por consiguiente, ratificar la Resolución </w:t>
      </w:r>
      <w:r w:rsidRPr="4AC432C8" w:rsidR="00C202F1">
        <w:rPr>
          <w:rFonts w:ascii="Times New Roman" w:hAnsi="Times New Roman" w:cs="Times New Roman"/>
          <w:sz w:val="24"/>
          <w:szCs w:val="24"/>
          <w:lang w:val="es-PE"/>
        </w:rPr>
        <w:t>N°</w:t>
      </w:r>
      <w:r w:rsidRPr="4AC432C8" w:rsidR="00C202F1">
        <w:rPr>
          <w:rFonts w:ascii="Times New Roman" w:hAnsi="Times New Roman" w:cs="Times New Roman"/>
          <w:sz w:val="24"/>
          <w:szCs w:val="24"/>
          <w:lang w:val="es-PE"/>
        </w:rPr>
        <w:t xml:space="preserve"> 144/23 que declaró</w:t>
      </w:r>
      <w:r w:rsidRPr="4AC432C8" w:rsidR="00C202F1">
        <w:rPr>
          <w:rFonts w:ascii="Times New Roman" w:hAnsi="Times New Roman" w:cs="Times New Roman"/>
          <w:b w:val="1"/>
          <w:bCs w:val="1"/>
          <w:sz w:val="24"/>
          <w:szCs w:val="24"/>
          <w:lang w:val="es-PE"/>
        </w:rPr>
        <w:t xml:space="preserve"> INFUNDADA </w:t>
      </w:r>
      <w:r w:rsidRPr="4AC432C8" w:rsidR="00C202F1">
        <w:rPr>
          <w:rFonts w:ascii="Times New Roman" w:hAnsi="Times New Roman" w:cs="Times New Roman"/>
          <w:sz w:val="24"/>
          <w:szCs w:val="24"/>
          <w:lang w:val="es-PE"/>
        </w:rPr>
        <w:t>la reclamación interpuesta</w:t>
      </w:r>
      <w:r w:rsidRPr="4AC432C8" w:rsidR="00C202F1">
        <w:rPr>
          <w:rFonts w:ascii="Times New Roman" w:hAnsi="Times New Roman" w:cs="Times New Roman"/>
          <w:b w:val="1"/>
          <w:bCs w:val="1"/>
          <w:sz w:val="24"/>
          <w:szCs w:val="24"/>
          <w:lang w:val="es-PE"/>
        </w:rPr>
        <w:t xml:space="preserve"> </w:t>
      </w:r>
      <w:r w:rsidRPr="4AC432C8" w:rsidR="00C202F1">
        <w:rPr>
          <w:rFonts w:ascii="Times New Roman" w:hAnsi="Times New Roman" w:cs="Times New Roman"/>
          <w:sz w:val="24"/>
          <w:szCs w:val="24"/>
          <w:lang w:val="es-PE"/>
        </w:rPr>
        <w:t>contra</w:t>
      </w:r>
      <w:r w:rsidRPr="4AC432C8" w:rsidR="00C202F1">
        <w:rPr>
          <w:rFonts w:ascii="Times New Roman" w:hAnsi="Times New Roman" w:cs="Times New Roman"/>
          <w:b w:val="1"/>
          <w:bCs w:val="1"/>
          <w:sz w:val="24"/>
          <w:szCs w:val="24"/>
          <w:lang w:val="es-PE"/>
        </w:rPr>
        <w:t xml:space="preserve"> </w:t>
      </w:r>
      <w:r w:rsidRPr="4AC432C8" w:rsidR="5583F2AB">
        <w:rPr>
          <w:rFonts w:ascii="Times New Roman" w:hAnsi="Times New Roman" w:cs="Times New Roman"/>
          <w:b w:val="1"/>
          <w:bCs w:val="1"/>
          <w:sz w:val="24"/>
          <w:szCs w:val="24"/>
          <w:lang w:val="es-PE"/>
        </w:rPr>
        <w:t>........................................</w:t>
      </w:r>
      <w:r w:rsidRPr="4AC432C8" w:rsidR="00C202F1">
        <w:rPr>
          <w:rFonts w:ascii="Times New Roman" w:hAnsi="Times New Roman" w:cs="Times New Roman"/>
          <w:b w:val="1"/>
          <w:bCs w:val="1"/>
          <w:sz w:val="24"/>
          <w:szCs w:val="24"/>
          <w:lang w:val="es-PE"/>
        </w:rPr>
        <w:t xml:space="preserve">. </w:t>
      </w:r>
    </w:p>
    <w:p w:rsidRPr="00C202F1" w:rsidR="00231C58" w:rsidP="005A40A4" w:rsidRDefault="0091528B" w14:paraId="2B9BAAC8" w14:textId="2B2186F2">
      <w:pPr>
        <w:suppressAutoHyphens/>
        <w:spacing w:after="0" w:line="240" w:lineRule="auto"/>
        <w:jc w:val="right"/>
        <w:outlineLvl w:val="0"/>
        <w:rPr>
          <w:rFonts w:ascii="Times New Roman" w:hAnsi="Times New Roman" w:eastAsia="Arial Unicode MS" w:cs="Times New Roman"/>
          <w:sz w:val="24"/>
          <w:szCs w:val="24"/>
          <w:lang w:val="es-PE" w:eastAsia="ar-SA"/>
        </w:rPr>
      </w:pPr>
      <w:r w:rsidRPr="00C202F1">
        <w:rPr>
          <w:rFonts w:ascii="Times New Roman" w:hAnsi="Times New Roman" w:eastAsia="Arial Unicode MS" w:cs="Times New Roman"/>
          <w:sz w:val="24"/>
          <w:szCs w:val="24"/>
          <w:lang w:val="es-PE" w:eastAsia="ar-SA"/>
        </w:rPr>
        <w:t xml:space="preserve">Lima, </w:t>
      </w:r>
      <w:r w:rsidRPr="00C202F1" w:rsidR="00286C15">
        <w:rPr>
          <w:rFonts w:ascii="Times New Roman" w:hAnsi="Times New Roman" w:eastAsia="Arial Unicode MS" w:cs="Times New Roman"/>
          <w:sz w:val="24"/>
          <w:szCs w:val="24"/>
          <w:lang w:val="es-PE" w:eastAsia="ar-SA"/>
        </w:rPr>
        <w:t>1</w:t>
      </w:r>
      <w:r w:rsidRPr="00C202F1" w:rsidR="00B9570E">
        <w:rPr>
          <w:rFonts w:ascii="Times New Roman" w:hAnsi="Times New Roman" w:eastAsia="Arial Unicode MS" w:cs="Times New Roman"/>
          <w:sz w:val="24"/>
          <w:szCs w:val="24"/>
          <w:lang w:val="es-PE" w:eastAsia="ar-SA"/>
        </w:rPr>
        <w:t>3</w:t>
      </w:r>
      <w:r w:rsidRPr="00C202F1" w:rsidR="00701639">
        <w:rPr>
          <w:rFonts w:ascii="Times New Roman" w:hAnsi="Times New Roman" w:eastAsia="Arial Unicode MS" w:cs="Times New Roman"/>
          <w:sz w:val="24"/>
          <w:szCs w:val="24"/>
          <w:lang w:val="es-PE" w:eastAsia="ar-SA"/>
        </w:rPr>
        <w:t xml:space="preserve"> </w:t>
      </w:r>
      <w:r w:rsidRPr="00C202F1" w:rsidR="00707C99">
        <w:rPr>
          <w:rFonts w:ascii="Times New Roman" w:hAnsi="Times New Roman" w:eastAsia="Arial Unicode MS" w:cs="Times New Roman"/>
          <w:sz w:val="24"/>
          <w:szCs w:val="24"/>
          <w:lang w:val="es-PE" w:eastAsia="ar-SA"/>
        </w:rPr>
        <w:t xml:space="preserve">de </w:t>
      </w:r>
      <w:r w:rsidRPr="00C202F1" w:rsidR="00286C15">
        <w:rPr>
          <w:rFonts w:ascii="Times New Roman" w:hAnsi="Times New Roman" w:eastAsia="Arial Unicode MS" w:cs="Times New Roman"/>
          <w:sz w:val="24"/>
          <w:szCs w:val="24"/>
          <w:lang w:val="es-PE" w:eastAsia="ar-SA"/>
        </w:rPr>
        <w:t>octubre</w:t>
      </w:r>
      <w:r w:rsidRPr="00C202F1" w:rsidR="002F478E">
        <w:rPr>
          <w:rFonts w:ascii="Times New Roman" w:hAnsi="Times New Roman" w:eastAsia="Arial Unicode MS" w:cs="Times New Roman"/>
          <w:sz w:val="24"/>
          <w:szCs w:val="24"/>
          <w:lang w:val="es-PE" w:eastAsia="ar-SA"/>
        </w:rPr>
        <w:t xml:space="preserve"> </w:t>
      </w:r>
      <w:r w:rsidRPr="00C202F1" w:rsidR="00F06498">
        <w:rPr>
          <w:rFonts w:ascii="Times New Roman" w:hAnsi="Times New Roman" w:eastAsia="Arial Unicode MS" w:cs="Times New Roman"/>
          <w:sz w:val="24"/>
          <w:szCs w:val="24"/>
          <w:lang w:val="es-PE" w:eastAsia="ar-SA"/>
        </w:rPr>
        <w:t>de 202</w:t>
      </w:r>
      <w:r w:rsidRPr="00C202F1" w:rsidR="00B340D4">
        <w:rPr>
          <w:rFonts w:ascii="Times New Roman" w:hAnsi="Times New Roman" w:eastAsia="Arial Unicode MS" w:cs="Times New Roman"/>
          <w:sz w:val="24"/>
          <w:szCs w:val="24"/>
          <w:lang w:val="es-PE" w:eastAsia="ar-SA"/>
        </w:rPr>
        <w:t>3</w:t>
      </w:r>
      <w:r w:rsidRPr="00C202F1" w:rsidR="00707C99">
        <w:rPr>
          <w:rFonts w:ascii="Times New Roman" w:hAnsi="Times New Roman" w:eastAsia="Times New Roman" w:cs="Times New Roman"/>
          <w:sz w:val="24"/>
          <w:szCs w:val="24"/>
          <w:lang w:val="es-PE" w:eastAsia="ar-SA"/>
        </w:rPr>
        <w:t xml:space="preserve"> </w:t>
      </w:r>
    </w:p>
    <w:p w:rsidRPr="00C202F1"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C202F1"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C202F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C202F1"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C202F1"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C202F1">
        <w:rPr>
          <w:rFonts w:ascii="Times New Roman" w:hAnsi="Times New Roman" w:cs="Times New Roman"/>
          <w:b/>
          <w:bCs/>
          <w:sz w:val="24"/>
          <w:szCs w:val="24"/>
          <w:lang w:val="es-PE"/>
        </w:rPr>
        <w:t xml:space="preserve">Rolando Eyzaguirre </w:t>
      </w:r>
      <w:proofErr w:type="spellStart"/>
      <w:r w:rsidRPr="00C202F1">
        <w:rPr>
          <w:rFonts w:ascii="Times New Roman" w:hAnsi="Times New Roman" w:cs="Times New Roman"/>
          <w:b/>
          <w:bCs/>
          <w:sz w:val="24"/>
          <w:szCs w:val="24"/>
          <w:lang w:val="es-PE"/>
        </w:rPr>
        <w:t>Maccan</w:t>
      </w:r>
      <w:proofErr w:type="spellEnd"/>
      <w:r w:rsidRPr="00C202F1">
        <w:rPr>
          <w:rFonts w:ascii="Times New Roman" w:hAnsi="Times New Roman" w:cs="Times New Roman"/>
          <w:b/>
          <w:bCs/>
          <w:sz w:val="24"/>
          <w:szCs w:val="24"/>
          <w:lang w:val="es-PE"/>
        </w:rPr>
        <w:t xml:space="preserve"> – </w:t>
      </w:r>
      <w:proofErr w:type="gramStart"/>
      <w:r w:rsidRPr="00C202F1">
        <w:rPr>
          <w:rFonts w:ascii="Times New Roman" w:hAnsi="Times New Roman" w:cs="Times New Roman"/>
          <w:b/>
          <w:bCs/>
          <w:sz w:val="24"/>
          <w:szCs w:val="24"/>
          <w:lang w:val="es-PE"/>
        </w:rPr>
        <w:t>Presidente</w:t>
      </w:r>
      <w:proofErr w:type="gramEnd"/>
    </w:p>
    <w:p w:rsidRPr="00C202F1"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C202F1">
        <w:rPr>
          <w:rFonts w:ascii="Times New Roman" w:hAnsi="Times New Roman" w:cs="Times New Roman"/>
          <w:b/>
          <w:bCs/>
          <w:sz w:val="24"/>
          <w:szCs w:val="24"/>
          <w:lang w:val="es-PE"/>
        </w:rPr>
        <w:t>María Eugenia Valdez Fernández Baca – Vocal</w:t>
      </w:r>
    </w:p>
    <w:p w:rsidRPr="00C202F1"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C202F1">
        <w:rPr>
          <w:rFonts w:ascii="Times New Roman" w:hAnsi="Times New Roman" w:cs="Times New Roman"/>
          <w:b/>
          <w:bCs/>
          <w:sz w:val="24"/>
          <w:szCs w:val="24"/>
          <w:lang w:val="es-PE"/>
        </w:rPr>
        <w:t>Omar Alfaro Villanueva – Vocal</w:t>
      </w:r>
    </w:p>
    <w:p w:rsidRPr="00C202F1"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C202F1">
        <w:rPr>
          <w:rFonts w:ascii="Times New Roman" w:hAnsi="Times New Roman" w:cs="Times New Roman"/>
          <w:b/>
          <w:bCs/>
          <w:sz w:val="24"/>
          <w:szCs w:val="24"/>
          <w:lang w:val="es-PE"/>
        </w:rPr>
        <w:t>Gonzalo Abad del Busto – Vocal</w:t>
      </w:r>
    </w:p>
    <w:p w:rsidRPr="009F75DF"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34C5C" w:rsidP="00784355" w:rsidRDefault="00C34C5C" w14:paraId="2F426AF5" w14:textId="77777777">
      <w:pPr>
        <w:spacing w:after="0" w:line="240" w:lineRule="auto"/>
      </w:pPr>
      <w:r>
        <w:separator/>
      </w:r>
    </w:p>
  </w:endnote>
  <w:endnote w:type="continuationSeparator" w:id="0">
    <w:p w:rsidR="00C34C5C" w:rsidP="00784355" w:rsidRDefault="00C34C5C" w14:paraId="0CD6C99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34C5C" w:rsidP="00784355" w:rsidRDefault="00C34C5C" w14:paraId="25EE1CC6" w14:textId="77777777">
      <w:pPr>
        <w:spacing w:after="0" w:line="240" w:lineRule="auto"/>
      </w:pPr>
      <w:r>
        <w:separator/>
      </w:r>
    </w:p>
  </w:footnote>
  <w:footnote w:type="continuationSeparator" w:id="0">
    <w:p w:rsidR="00C34C5C" w:rsidP="00784355" w:rsidRDefault="00C34C5C" w14:paraId="3C5A2E0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9"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4"/>
  </w:num>
  <w:num w:numId="3" w16cid:durableId="333261791">
    <w:abstractNumId w:val="12"/>
  </w:num>
  <w:num w:numId="4" w16cid:durableId="1770345525">
    <w:abstractNumId w:val="11"/>
  </w:num>
  <w:num w:numId="5" w16cid:durableId="1816144979">
    <w:abstractNumId w:val="13"/>
  </w:num>
  <w:num w:numId="6" w16cid:durableId="1304313350">
    <w:abstractNumId w:val="0"/>
  </w:num>
  <w:num w:numId="7" w16cid:durableId="16682880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7"/>
  </w:num>
  <w:num w:numId="17" w16cid:durableId="17998823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91C09"/>
    <w:rsid w:val="00092684"/>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3EC"/>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A718F"/>
    <w:rsid w:val="004B155C"/>
    <w:rsid w:val="004B27E2"/>
    <w:rsid w:val="004B51ED"/>
    <w:rsid w:val="004C1C34"/>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47AE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760D"/>
    <w:rsid w:val="008D1D39"/>
    <w:rsid w:val="008D5049"/>
    <w:rsid w:val="008D6DDF"/>
    <w:rsid w:val="008D721C"/>
    <w:rsid w:val="008E33FD"/>
    <w:rsid w:val="008F1161"/>
    <w:rsid w:val="008F479E"/>
    <w:rsid w:val="009011F1"/>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103B"/>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4AC432C8"/>
    <w:rsid w:val="513E5847"/>
    <w:rsid w:val="5583F2AB"/>
    <w:rsid w:val="727A7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90386263876f4d9b" Type="http://schemas.openxmlformats.org/officeDocument/2006/relationships/hyperlink" Target="http://www.defaseg.com.pe/reglament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01B9990-76F9-4CD7-8209-D79DA93C77B7}"/>
</file>

<file path=customXml/itemProps3.xml><?xml version="1.0" encoding="utf-8"?>
<ds:datastoreItem xmlns:ds="http://schemas.openxmlformats.org/officeDocument/2006/customXml" ds:itemID="{63123062-8A43-4D8C-9147-7D661C2C9AF6}"/>
</file>

<file path=customXml/itemProps4.xml><?xml version="1.0" encoding="utf-8"?>
<ds:datastoreItem xmlns:ds="http://schemas.openxmlformats.org/officeDocument/2006/customXml" ds:itemID="{B68BB408-F79C-4BF3-8CDA-95AA7B13557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167</cp:revision>
  <cp:lastPrinted>2023-10-16T20:19:00Z</cp:lastPrinted>
  <dcterms:created xsi:type="dcterms:W3CDTF">2023-02-14T22:37:00Z</dcterms:created>
  <dcterms:modified xsi:type="dcterms:W3CDTF">2025-12-02T20:13:31Z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