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07954" w:rsidR="00707C99" w:rsidP="00272F4F" w:rsidRDefault="00201C0D" w14:paraId="19FE0E96" w14:textId="7B4563A7">
      <w:pPr>
        <w:spacing w:after="0" w:line="240" w:lineRule="auto"/>
        <w:jc w:val="center"/>
        <w:rPr>
          <w:rFonts w:ascii="Times New Roman" w:hAnsi="Times New Roman" w:cs="Times New Roman"/>
          <w:b/>
          <w:sz w:val="23"/>
          <w:szCs w:val="23"/>
          <w:lang w:val="es-PE" w:eastAsia="ar-SA"/>
        </w:rPr>
      </w:pPr>
      <w:r w:rsidRPr="00007954">
        <w:rPr>
          <w:rFonts w:ascii="Times New Roman" w:hAnsi="Times New Roman" w:cs="Times New Roman"/>
          <w:b/>
          <w:sz w:val="24"/>
          <w:szCs w:val="23"/>
          <w:lang w:val="es-PE" w:eastAsia="ar-SA"/>
        </w:rPr>
        <w:t xml:space="preserve">RESOLUCIÓN DE RECURSO IMPUGNATIVO </w:t>
      </w:r>
      <w:proofErr w:type="spellStart"/>
      <w:r w:rsidRPr="00007954" w:rsidR="00707C99">
        <w:rPr>
          <w:rFonts w:ascii="Times New Roman" w:hAnsi="Times New Roman" w:cs="Times New Roman"/>
          <w:b/>
          <w:sz w:val="24"/>
          <w:szCs w:val="23"/>
          <w:lang w:val="es-PE" w:eastAsia="ar-SA"/>
        </w:rPr>
        <w:t>N°</w:t>
      </w:r>
      <w:proofErr w:type="spellEnd"/>
      <w:r w:rsidRPr="00007954" w:rsidR="00707C99">
        <w:rPr>
          <w:rFonts w:ascii="Times New Roman" w:hAnsi="Times New Roman" w:cs="Times New Roman"/>
          <w:b/>
          <w:sz w:val="24"/>
          <w:szCs w:val="23"/>
          <w:lang w:val="es-PE" w:eastAsia="ar-SA"/>
        </w:rPr>
        <w:t xml:space="preserve"> </w:t>
      </w:r>
      <w:r w:rsidRPr="00007954" w:rsidR="00516293">
        <w:rPr>
          <w:rFonts w:ascii="Times New Roman" w:hAnsi="Times New Roman" w:cs="Times New Roman"/>
          <w:b/>
          <w:sz w:val="24"/>
          <w:szCs w:val="23"/>
          <w:lang w:val="es-PE" w:eastAsia="ar-SA"/>
        </w:rPr>
        <w:t>0</w:t>
      </w:r>
      <w:r w:rsidRPr="00007954" w:rsidR="00BA3C20">
        <w:rPr>
          <w:rFonts w:ascii="Times New Roman" w:hAnsi="Times New Roman" w:cs="Times New Roman"/>
          <w:b/>
          <w:sz w:val="24"/>
          <w:szCs w:val="23"/>
          <w:lang w:val="es-PE" w:eastAsia="ar-SA"/>
        </w:rPr>
        <w:t>5</w:t>
      </w:r>
      <w:r w:rsidRPr="00007954" w:rsidR="00901835">
        <w:rPr>
          <w:rFonts w:ascii="Times New Roman" w:hAnsi="Times New Roman" w:cs="Times New Roman"/>
          <w:b/>
          <w:sz w:val="24"/>
          <w:szCs w:val="23"/>
          <w:lang w:val="es-PE" w:eastAsia="ar-SA"/>
        </w:rPr>
        <w:t>2</w:t>
      </w:r>
      <w:r w:rsidRPr="00007954" w:rsidR="00C671F5">
        <w:rPr>
          <w:rFonts w:ascii="Times New Roman" w:hAnsi="Times New Roman" w:cs="Times New Roman"/>
          <w:b/>
          <w:sz w:val="24"/>
          <w:szCs w:val="23"/>
          <w:lang w:val="es-PE" w:eastAsia="ar-SA"/>
        </w:rPr>
        <w:t>/2</w:t>
      </w:r>
      <w:r w:rsidRPr="00007954" w:rsidR="00AB7BFE">
        <w:rPr>
          <w:rFonts w:ascii="Times New Roman" w:hAnsi="Times New Roman" w:cs="Times New Roman"/>
          <w:b/>
          <w:sz w:val="24"/>
          <w:szCs w:val="23"/>
          <w:lang w:val="es-PE" w:eastAsia="ar-SA"/>
        </w:rPr>
        <w:t>3</w:t>
      </w:r>
    </w:p>
    <w:p w:rsidRPr="00007954" w:rsidR="00C202F1" w:rsidP="00C202F1" w:rsidRDefault="00C202F1" w14:paraId="07656E09" w14:textId="77777777">
      <w:pPr>
        <w:spacing w:after="0" w:line="240" w:lineRule="auto"/>
        <w:jc w:val="both"/>
        <w:rPr>
          <w:rFonts w:ascii="Times New Roman" w:hAnsi="Times New Roman" w:cs="Times New Roman"/>
          <w:b/>
          <w:sz w:val="23"/>
          <w:szCs w:val="23"/>
          <w:lang w:val="es-PE"/>
        </w:rPr>
      </w:pPr>
    </w:p>
    <w:p w:rsidRPr="00007954" w:rsidR="004F0319" w:rsidP="004F0319" w:rsidRDefault="004F0319" w14:paraId="742CBB6A" w14:textId="77777777">
      <w:pPr>
        <w:spacing w:line="240" w:lineRule="auto"/>
        <w:jc w:val="both"/>
        <w:outlineLvl w:val="0"/>
        <w:rPr>
          <w:rFonts w:ascii="Times New Roman" w:hAnsi="Times New Roman" w:cs="Times New Roman"/>
          <w:b/>
          <w:bCs/>
          <w:sz w:val="23"/>
          <w:szCs w:val="23"/>
          <w:lang w:val="es-MX"/>
        </w:rPr>
      </w:pPr>
      <w:r w:rsidRPr="00007954">
        <w:rPr>
          <w:rFonts w:ascii="Times New Roman" w:hAnsi="Times New Roman" w:cs="Times New Roman"/>
          <w:b/>
          <w:bCs/>
          <w:sz w:val="24"/>
          <w:szCs w:val="23"/>
          <w:lang w:val="es-MX"/>
        </w:rPr>
        <w:t>VISTOS:</w:t>
      </w:r>
    </w:p>
    <w:p w:rsidRPr="00007954" w:rsidR="004F0319" w:rsidP="004F0319" w:rsidRDefault="004F0319" w14:paraId="731EB4EF" w14:textId="60E7E0A7">
      <w:pPr>
        <w:spacing w:after="0" w:line="240" w:lineRule="auto"/>
        <w:jc w:val="both"/>
        <w:outlineLvl w:val="0"/>
        <w:rPr>
          <w:rFonts w:ascii="Times New Roman" w:hAnsi="Times New Roman" w:cs="Times New Roman"/>
          <w:sz w:val="23"/>
          <w:szCs w:val="23"/>
          <w:lang w:val="es-PE"/>
        </w:rPr>
      </w:pPr>
      <w:r>
        <w:rPr>
          <w:rFonts w:ascii="Times New Roman" w:hAnsi="Times New Roman"/>
          <w:sz w:val="24"/>
        </w:rPr>
        <w:t xml:space="preserve">El Recurso de Impugnación presentado por .................................. respecto de la Resolución Nro. 175/23, expedida por esta Defensoría, conforme a la cual se declaró FUNDADA la reclamación interpuesta por doña .................................................. como consecuencia del atropello y fallecimiento de su cónyuge ................................................. por parte del vehículo de placa ................. asegurado bajo la póliza SOAT.</w:t>
      </w:r>
    </w:p>
    <w:p w:rsidRPr="00007954" w:rsidR="004F0319" w:rsidP="7340F4EB" w:rsidRDefault="004F0319" w14:paraId="7C103686" w14:textId="14B8214C">
      <w:pPr>
        <w:pStyle w:val="Normal"/>
        <w:spacing w:after="0" w:line="240" w:lineRule="auto"/>
        <w:jc w:val="both"/>
        <w:outlineLvl w:val="0"/>
        <w:rPr>
          <w:rFonts w:ascii="Times New Roman" w:hAnsi="Times New Roman" w:cs="Times New Roman"/>
          <w:sz w:val="23"/>
          <w:szCs w:val="23"/>
          <w:lang w:val="es-PE"/>
        </w:rPr>
      </w:pPr>
    </w:p>
    <w:p w:rsidRPr="00007954" w:rsidR="004F0319" w:rsidP="004F0319" w:rsidRDefault="004F0319" w14:paraId="15089CB5" w14:textId="77777777">
      <w:pPr>
        <w:pStyle w:val="Textoindependiente"/>
        <w:spacing w:line="240" w:lineRule="auto"/>
        <w:rPr>
          <w:sz w:val="23"/>
          <w:szCs w:val="23"/>
        </w:rPr>
      </w:pPr>
      <w:r>
        <w:rPr>
          <w:rFonts w:ascii="Times New Roman" w:hAnsi="Times New Roman"/>
          <w:sz w:val="24"/>
        </w:rPr>
        <w:t xml:space="preserve">Que, el indicado recurso se sustenta resumidamente en lo siguiente: a) consideran que sí  han probado que estamos ante un caso de suicidio, pues la denuncia policial hace referencia a declaraciones de testigos; b) que aun cuando no se cuente con la declaración firmada por dichos testigos, dicha denuncia policial es un documento público que cuenta con eficacia probatoria suficiente; c) que la Resolución Impugnada desconozca la veracidad del contenido de la denuncia policial supone un reconocimiento tácito que hubo cierta manipulación en la denuncia policial respecto a la información del siniestro, caso contrario hubiera reconocido dicho documento como verídico y suficiente para acreditar la postura de la aseguradora; d) que en ningún momento se ha desvirtuado la afirmación de la hija contenida en la denuncia policial que refiere que su padre sufría de depresión, por lo que no se trata de simples especulaciones sino de los propios testimonios recogidos por la Policía dotados de veracidad.</w:t>
      </w:r>
    </w:p>
    <w:p w:rsidRPr="00007954" w:rsidR="004F0319" w:rsidP="004F0319" w:rsidRDefault="004F0319" w14:paraId="06708022" w14:textId="77777777">
      <w:pPr>
        <w:pStyle w:val="Textoindependiente"/>
        <w:spacing w:line="240" w:lineRule="auto"/>
        <w:rPr>
          <w:sz w:val="23"/>
          <w:szCs w:val="23"/>
        </w:rPr>
      </w:pPr>
    </w:p>
    <w:p w:rsidRPr="00007954" w:rsidR="004F0319" w:rsidP="004F0319" w:rsidRDefault="004F0319" w14:paraId="24F04A8E" w14:textId="77777777">
      <w:pPr>
        <w:suppressAutoHyphens/>
        <w:spacing w:after="0" w:line="240" w:lineRule="auto"/>
        <w:jc w:val="both"/>
        <w:rPr>
          <w:rFonts w:ascii="Times New Roman" w:hAnsi="Times New Roman" w:eastAsia="Times New Roman" w:cs="Times New Roman"/>
          <w:bCs/>
          <w:sz w:val="23"/>
          <w:szCs w:val="23"/>
          <w:lang w:val="es-MX" w:eastAsia="ar-SA"/>
        </w:rPr>
      </w:pPr>
      <w:r>
        <w:rPr>
          <w:rFonts w:ascii="Times New Roman" w:hAnsi="Times New Roman"/>
          <w:sz w:val="24"/>
        </w:rPr>
        <w:t xml:space="preserve">Que, habiéndosele corrido traslado de la señalada impugnación, la reclamante presentó un escrito solicitando se confirme la resolución emitida, señalando resumidamente lo siguiente: a) la carga de la prueba corresponde a quien afirma hechos; b) las manifestaciones de los moradores a los que se refiere la denuncia N° ………………… como evidencia legítima ni como manifestación; c) la denuncia fue emitida con posterioridad al evento; c) el cadáver fue visto en la segunda calzada; d) la denuncia policial no es un documento público suficiente, pues en un accidente de tránsito recién se está recaudando información, la policía está en la obligación de tomar la manifestación a fin de aclarar los hechos, lo que no ha ocurrido en este caso </w:t>
      </w:r>
    </w:p>
    <w:p w:rsidRPr="00007954" w:rsidR="004F0319" w:rsidP="004F0319" w:rsidRDefault="004F0319" w14:paraId="3168F7E3" w14:textId="77777777">
      <w:pPr>
        <w:pStyle w:val="Textoindependiente"/>
        <w:spacing w:line="240" w:lineRule="auto"/>
        <w:rPr>
          <w:bCs w:val="0"/>
          <w:color w:val="000000"/>
          <w:sz w:val="23"/>
          <w:szCs w:val="23"/>
          <w:lang w:val="es-PE" w:eastAsia="es-PE"/>
        </w:rPr>
      </w:pPr>
    </w:p>
    <w:p w:rsidRPr="00007954" w:rsidR="004F0319" w:rsidP="004F0319" w:rsidRDefault="004F0319" w14:paraId="22FA9230" w14:textId="77777777">
      <w:pPr>
        <w:suppressAutoHyphens/>
        <w:spacing w:after="0" w:line="240" w:lineRule="auto"/>
        <w:jc w:val="both"/>
        <w:rPr>
          <w:rFonts w:ascii="Times New Roman" w:hAnsi="Times New Roman" w:cs="Times New Roman"/>
          <w:bCs/>
          <w:sz w:val="23"/>
          <w:szCs w:val="23"/>
          <w:lang w:val="es-ES"/>
        </w:rPr>
      </w:pPr>
      <w:r w:rsidRPr="00007954">
        <w:rPr>
          <w:rFonts w:ascii="Times New Roman" w:hAnsi="Times New Roman" w:cs="Times New Roman"/>
          <w:bCs/>
          <w:sz w:val="24"/>
          <w:szCs w:val="23"/>
          <w:lang w:val="es-ES"/>
        </w:rPr>
        <w:t>Que, ambas partes han tenido la oportunidad para ejercer su derecho de defensa con relación a la resolución recurrida, siendo que este colegiado estima que se encuentra suficientemente informado para resolver de manera definitiva;</w:t>
      </w:r>
    </w:p>
    <w:p w:rsidRPr="00007954" w:rsidR="004F0319" w:rsidP="004F0319" w:rsidRDefault="004F0319" w14:paraId="01C7034C" w14:textId="77777777">
      <w:pPr>
        <w:spacing w:line="240" w:lineRule="auto"/>
        <w:jc w:val="both"/>
        <w:rPr>
          <w:rFonts w:ascii="Times New Roman" w:hAnsi="Times New Roman" w:cs="Times New Roman"/>
          <w:b/>
          <w:sz w:val="23"/>
          <w:szCs w:val="23"/>
          <w:u w:val="single"/>
          <w:lang w:val="es-ES"/>
        </w:rPr>
      </w:pPr>
    </w:p>
    <w:p w:rsidRPr="00007954" w:rsidR="004F0319" w:rsidP="004F0319" w:rsidRDefault="004F0319" w14:paraId="4AD63581" w14:textId="77777777">
      <w:pPr>
        <w:spacing w:line="240" w:lineRule="auto"/>
        <w:jc w:val="both"/>
        <w:rPr>
          <w:rFonts w:ascii="Times New Roman" w:hAnsi="Times New Roman" w:cs="Times New Roman"/>
          <w:sz w:val="23"/>
          <w:szCs w:val="23"/>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rsidRPr="00007954" w:rsidR="004F0319" w:rsidP="004F0319" w:rsidRDefault="004F0319" w14:paraId="16CF66DE" w14:textId="77777777">
      <w:pPr>
        <w:spacing w:after="0" w:line="240" w:lineRule="auto"/>
        <w:jc w:val="both"/>
        <w:rPr>
          <w:rFonts w:ascii="Times New Roman" w:hAnsi="Times New Roman" w:cs="Times New Roman"/>
          <w:sz w:val="23"/>
          <w:szCs w:val="23"/>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rsidRPr="00007954" w:rsidR="004F0319" w:rsidP="004F0319" w:rsidRDefault="004F0319" w14:paraId="2DAA0454" w14:textId="77777777">
      <w:pPr>
        <w:spacing w:after="0" w:line="240" w:lineRule="auto"/>
        <w:jc w:val="both"/>
        <w:rPr>
          <w:rFonts w:ascii="Times New Roman" w:hAnsi="Times New Roman" w:cs="Times New Roman"/>
          <w:sz w:val="23"/>
          <w:szCs w:val="23"/>
          <w:lang w:val="es-PE"/>
        </w:rPr>
      </w:pPr>
    </w:p>
    <w:p w:rsidRPr="00007954" w:rsidR="004F0319" w:rsidP="004F0319" w:rsidRDefault="004F0319" w14:paraId="6E74CE66" w14:textId="270F4029">
      <w:pPr>
        <w:spacing w:after="0" w:line="240" w:lineRule="auto"/>
        <w:jc w:val="both"/>
        <w:rPr>
          <w:rFonts w:ascii="Times New Roman" w:hAnsi="Times New Roman" w:cs="Times New Roman"/>
          <w:sz w:val="23"/>
          <w:szCs w:val="23"/>
          <w:lang w:val="es-PE"/>
        </w:rPr>
      </w:pPr>
      <w:r w:rsidRPr="7340F4EB" w:rsidR="004F0319">
        <w:rPr>
          <w:rFonts w:ascii="Times New Roman" w:hAnsi="Times New Roman" w:cs="Times New Roman"/>
          <w:b w:val="1"/>
          <w:bCs w:val="1"/>
          <w:sz w:val="24"/>
          <w:szCs w:val="23"/>
          <w:u w:val="single"/>
          <w:lang w:val="es-PE"/>
        </w:rPr>
        <w:t>SEGUNDO:</w:t>
      </w:r>
      <w:r w:rsidRPr="7340F4EB" w:rsidR="004F0319">
        <w:rPr>
          <w:rFonts w:ascii="Times New Roman" w:hAnsi="Times New Roman" w:cs="Times New Roman"/>
          <w:sz w:val="24"/>
          <w:szCs w:val="23"/>
          <w:lang w:val="es-PE"/>
        </w:rPr>
        <w:t xml:space="preserve"> Atendiendo a los fundamentos de la impugnación interpuesta, se aprecia que </w:t>
      </w:r>
      <w:r w:rsidRPr="7340F4EB" w:rsidR="1CD39F92">
        <w:rPr>
          <w:rFonts w:ascii="Times New Roman" w:hAnsi="Times New Roman" w:cs="Times New Roman"/>
          <w:sz w:val="24"/>
          <w:szCs w:val="23"/>
          <w:lang w:val="es-PE"/>
        </w:rPr>
        <w:t>..................................</w:t>
      </w:r>
      <w:r w:rsidRPr="7340F4EB" w:rsidR="004F0319">
        <w:rPr>
          <w:rFonts w:ascii="Times New Roman" w:hAnsi="Times New Roman" w:cs="Times New Roman"/>
          <w:sz w:val="24"/>
          <w:szCs w:val="23"/>
          <w:lang w:val="es-PE"/>
        </w:rPr>
        <w:t xml:space="preserve"> reitera su posición ya expresada al presentar sus descargos a la reclamación, no presentando argumentos suficientes o prueba adicional alguna que permita a este colegiado apreciar y concluir que ha incurrido en error y que, por consiguiente, corresponde revocar lo resuelto.  </w:t>
      </w:r>
    </w:p>
    <w:p w:rsidRPr="00007954" w:rsidR="004F0319" w:rsidP="004F0319" w:rsidRDefault="004F0319" w14:paraId="121F0EA0" w14:textId="77777777">
      <w:pPr>
        <w:spacing w:after="0" w:line="240" w:lineRule="auto"/>
        <w:jc w:val="both"/>
        <w:rPr>
          <w:rFonts w:ascii="Times New Roman" w:hAnsi="Times New Roman" w:cs="Times New Roman"/>
          <w:sz w:val="23"/>
          <w:szCs w:val="23"/>
          <w:lang w:val="es-PE"/>
        </w:rPr>
      </w:pPr>
    </w:p>
    <w:p w:rsidRPr="00007954" w:rsidR="004F0319" w:rsidP="004F0319" w:rsidRDefault="004F0319" w14:paraId="4C80D56F" w14:textId="77777777">
      <w:pPr>
        <w:spacing w:after="0" w:line="240" w:lineRule="auto"/>
        <w:jc w:val="both"/>
        <w:rPr>
          <w:rFonts w:ascii="Times New Roman" w:hAnsi="Times New Roman" w:cs="Times New Roman"/>
          <w:sz w:val="23"/>
          <w:szCs w:val="23"/>
          <w:lang w:val="es-PE"/>
        </w:rPr>
      </w:pPr>
      <w:r w:rsidRPr="00007954">
        <w:rPr>
          <w:rFonts w:ascii="Times New Roman" w:hAnsi="Times New Roman" w:cs="Times New Roman"/>
          <w:sz w:val="24"/>
          <w:szCs w:val="23"/>
          <w:lang w:val="es-PE"/>
        </w:rPr>
        <w:lastRenderedPageBreak/>
        <w:t>En efecto, la aseguradora sostiene que la denuncia policial es prueba suficiente para acreditar el suicidio, respecto a lo cual este colegiado se ha pronunciado expresamente señalando lo siguiente:</w:t>
      </w:r>
    </w:p>
    <w:p w:rsidRPr="00007954" w:rsidR="004F0319" w:rsidP="004F0319" w:rsidRDefault="004F0319" w14:paraId="0588DDD7" w14:textId="77777777">
      <w:pPr>
        <w:spacing w:after="0" w:line="240" w:lineRule="auto"/>
        <w:jc w:val="both"/>
        <w:rPr>
          <w:rFonts w:ascii="Times New Roman" w:hAnsi="Times New Roman" w:cs="Times New Roman"/>
          <w:sz w:val="23"/>
          <w:szCs w:val="23"/>
          <w:lang w:val="es-PE"/>
        </w:rPr>
      </w:pPr>
    </w:p>
    <w:p w:rsidRPr="00007954" w:rsidR="004F0319" w:rsidP="004F0319" w:rsidRDefault="004F0319" w14:paraId="6EB344C3" w14:textId="77777777">
      <w:pPr>
        <w:autoSpaceDE w:val="0"/>
        <w:autoSpaceDN w:val="0"/>
        <w:adjustRightInd w:val="0"/>
        <w:spacing w:after="0" w:line="240" w:lineRule="auto"/>
        <w:ind w:left="720"/>
        <w:jc w:val="both"/>
        <w:rPr>
          <w:rFonts w:ascii="Times New Roman" w:hAnsi="Times New Roman" w:cs="Times New Roman"/>
          <w:i/>
          <w:iCs/>
          <w:color w:val="000000"/>
          <w:sz w:val="23"/>
          <w:szCs w:val="23"/>
          <w:lang w:val="es-PE"/>
        </w:rPr>
      </w:pPr>
      <w:r w:rsidRPr="00007954">
        <w:rPr>
          <w:rFonts w:ascii="Times New Roman" w:hAnsi="Times New Roman" w:cs="Times New Roman"/>
          <w:i/>
          <w:iCs/>
          <w:color w:val="000000"/>
          <w:sz w:val="24"/>
          <w:szCs w:val="23"/>
          <w:lang w:val="es-PE"/>
        </w:rPr>
        <w:t xml:space="preserve">“Que, en la denuncia policial se refiere tanto que la hija padecía de dolores en el cuerpo que ocasionaría depresión, como que los moradores del lugar refieren que el sujeto se habría arrojado hacia el vehículo en movimiento. Mas no se hace una conclusión respecto a un probable suicidio. </w:t>
      </w:r>
    </w:p>
    <w:p w:rsidRPr="00007954" w:rsidR="004F0319" w:rsidP="004F0319" w:rsidRDefault="004F0319" w14:paraId="6E61EDDD" w14:textId="77777777">
      <w:pPr>
        <w:autoSpaceDE w:val="0"/>
        <w:autoSpaceDN w:val="0"/>
        <w:adjustRightInd w:val="0"/>
        <w:spacing w:after="0" w:line="240" w:lineRule="auto"/>
        <w:ind w:left="720"/>
        <w:jc w:val="both"/>
        <w:rPr>
          <w:rFonts w:ascii="Times New Roman" w:hAnsi="Times New Roman" w:cs="Times New Roman"/>
          <w:i/>
          <w:iCs/>
          <w:color w:val="000000"/>
          <w:sz w:val="23"/>
          <w:szCs w:val="23"/>
          <w:lang w:val="es-PE"/>
        </w:rPr>
      </w:pPr>
      <w:r w:rsidRPr="00007954">
        <w:rPr>
          <w:rFonts w:ascii="Times New Roman" w:hAnsi="Times New Roman" w:cs="Times New Roman"/>
          <w:i/>
          <w:iCs/>
          <w:color w:val="000000"/>
          <w:sz w:val="24"/>
          <w:szCs w:val="23"/>
          <w:lang w:val="es-PE"/>
        </w:rPr>
        <w:t xml:space="preserve">Que la aseguradora no cumplió con absolver el requerimiento referido al atestado policial completo y/o a información sobre si existía alguna investigación en fiscalía. </w:t>
      </w:r>
    </w:p>
    <w:p w:rsidRPr="00007954" w:rsidR="004F0319" w:rsidP="004F0319" w:rsidRDefault="004F0319" w14:paraId="3DEF2F65" w14:textId="77777777">
      <w:pPr>
        <w:spacing w:after="0" w:line="240" w:lineRule="auto"/>
        <w:ind w:left="720"/>
        <w:jc w:val="both"/>
        <w:rPr>
          <w:rFonts w:ascii="Times New Roman" w:hAnsi="Times New Roman" w:cs="Times New Roman"/>
          <w:i/>
          <w:iCs/>
          <w:sz w:val="23"/>
          <w:szCs w:val="23"/>
          <w:lang w:val="es-PE"/>
        </w:rPr>
      </w:pPr>
      <w:r w:rsidRPr="00007954">
        <w:rPr>
          <w:rFonts w:ascii="Times New Roman" w:hAnsi="Times New Roman" w:cs="Times New Roman"/>
          <w:i/>
          <w:iCs/>
          <w:color w:val="000000"/>
          <w:sz w:val="24"/>
          <w:szCs w:val="23"/>
          <w:lang w:val="es-PE"/>
        </w:rPr>
        <w:t>Que no obra en el expediente las manifestaciones a las que se refiere la denuncia. Al respecto es importante señalar que tal como ha sido referido en resoluciones previas emitidas por esta Defensoría, los documentos policiales no constituyen prueba plena, sino documentos que se valoran en conjunto con las otras pruebas que las partes presentan, manifestaciones y/o declaraciones que en este caso no han sido presentadas por la compañía de seguros a quien corresponde la carga de la prueba del rechazo de siniestro.”</w:t>
      </w:r>
    </w:p>
    <w:p w:rsidRPr="00007954" w:rsidR="004F0319" w:rsidP="004F0319" w:rsidRDefault="004F0319" w14:paraId="1BFA1620" w14:textId="77777777">
      <w:pPr>
        <w:spacing w:after="0" w:line="240" w:lineRule="auto"/>
        <w:jc w:val="both"/>
        <w:rPr>
          <w:rFonts w:ascii="Times New Roman" w:hAnsi="Times New Roman" w:cs="Times New Roman"/>
          <w:sz w:val="23"/>
          <w:szCs w:val="23"/>
          <w:lang w:val="es-PE"/>
        </w:rPr>
      </w:pPr>
    </w:p>
    <w:p w:rsidRPr="00007954" w:rsidR="004F0319" w:rsidP="004F0319" w:rsidRDefault="004F0319" w14:paraId="642F9AB2" w14:textId="77777777">
      <w:pPr>
        <w:spacing w:after="0" w:line="240" w:lineRule="auto"/>
        <w:jc w:val="both"/>
        <w:rPr>
          <w:rFonts w:ascii="Times New Roman" w:hAnsi="Times New Roman" w:cs="Times New Roman"/>
          <w:sz w:val="23"/>
          <w:szCs w:val="23"/>
          <w:lang w:val="es-PE"/>
        </w:rPr>
      </w:pPr>
      <w:r w:rsidRPr="00007954">
        <w:rPr>
          <w:rFonts w:ascii="Times New Roman" w:hAnsi="Times New Roman" w:cs="Times New Roman"/>
          <w:sz w:val="24"/>
          <w:szCs w:val="23"/>
          <w:lang w:val="es-PE"/>
        </w:rPr>
        <w:t>Llama la atención la ligereza con la que la aseguradora afirma que esta Defensoría estaría reconociendo tácitamente que hubo cierta manipulación en la denuncia policial respecto a la información del siniestro. En ningún momento se ha efectuado o insinuado dicha aseveración. El que la DEFASEG no comparta la opinión de la aseguradora respecto a que el suicidio, en este caso, queda totalmente acreditado en base a las manifestaciones “referidas” en la denuncia policial, no significa que estemos reconociendo, ni insinuando, una manipulación, lo cual se descarta; sino que consideramos que estamos ante una prueba insuficiente para acreditar un suicidio; por lo que se exhorta a la aseguradora a tener mayor cuidado con sus aseveraciones.</w:t>
      </w:r>
    </w:p>
    <w:p w:rsidRPr="00007954" w:rsidR="004F0319" w:rsidP="004F0319" w:rsidRDefault="004F0319" w14:paraId="114E8D09" w14:textId="77777777">
      <w:pPr>
        <w:spacing w:after="0" w:line="240" w:lineRule="auto"/>
        <w:jc w:val="both"/>
        <w:rPr>
          <w:rFonts w:ascii="Times New Roman" w:hAnsi="Times New Roman" w:cs="Times New Roman"/>
          <w:sz w:val="23"/>
          <w:szCs w:val="23"/>
          <w:lang w:val="es-PE"/>
        </w:rPr>
      </w:pPr>
    </w:p>
    <w:p w:rsidRPr="00007954" w:rsidR="004F0319" w:rsidP="004F0319" w:rsidRDefault="004F0319" w14:paraId="0D855B1A" w14:textId="7DD19E44">
      <w:pPr>
        <w:spacing w:after="0" w:line="240" w:lineRule="auto"/>
        <w:jc w:val="both"/>
        <w:rPr>
          <w:rFonts w:ascii="Times New Roman" w:hAnsi="Times New Roman" w:cs="Times New Roman"/>
          <w:sz w:val="23"/>
          <w:szCs w:val="23"/>
          <w:lang w:val="es-PE"/>
        </w:rPr>
      </w:pPr>
      <w:r w:rsidRPr="7340F4EB" w:rsidR="004F0319">
        <w:rPr>
          <w:rFonts w:ascii="Times New Roman" w:hAnsi="Times New Roman" w:cs="Times New Roman"/>
          <w:sz w:val="24"/>
          <w:szCs w:val="23"/>
          <w:lang w:val="es-PE"/>
        </w:rPr>
        <w:t xml:space="preserve">Sobre el particular, este colegiado tiene a bien reiterar lo expuesto en otras resoluciones emitidas por esta DEFASEG que señalan que los documentos policiales no constituyen prueba plena. En efecto, en este sentido, y pronunciándose sobre el valor probatorio del atestado policial, el  Tribunal Constitucional ha señalado que </w:t>
      </w:r>
      <w:r w:rsidRPr="7340F4EB" w:rsidR="004F0319">
        <w:rPr>
          <w:rFonts w:ascii="Times New Roman" w:hAnsi="Times New Roman" w:cs="Times New Roman"/>
          <w:i w:val="1"/>
          <w:iCs w:val="1"/>
          <w:sz w:val="24"/>
          <w:szCs w:val="23"/>
          <w:lang w:val="es-PE"/>
        </w:rPr>
        <w:t>“(…) El valor probatorio del mencionado atestado, en caso de ser considerado como prueba, deberá estar corroborado con otras pruebas de igual naturaleza, lo cual deberá mencionarse expresamente en la sentencia a expedirse; de ello se infiere que el valor probatorio atribuido al atestado policial no es concreto; por lo que no puede ser materia de evaluación en sede constitucional, por constituir un tema netamente jurisdiccional”</w:t>
      </w:r>
      <w:r w:rsidRPr="7340F4EB" w:rsidR="004F0319">
        <w:rPr>
          <w:rFonts w:ascii="Times New Roman" w:hAnsi="Times New Roman" w:cs="Times New Roman"/>
          <w:sz w:val="24"/>
          <w:szCs w:val="23"/>
          <w:lang w:val="es-PE"/>
        </w:rPr>
        <w:t xml:space="preserve"> (</w:t>
      </w:r>
      <w:r w:rsidRPr="7340F4EB" w:rsidR="6A8A5084">
        <w:rPr>
          <w:rFonts w:ascii="Times New Roman" w:hAnsi="Times New Roman" w:cs="Times New Roman"/>
          <w:sz w:val="24"/>
          <w:szCs w:val="23"/>
          <w:lang w:val="es-PE"/>
        </w:rPr>
        <w:t>..................................................................................................................................................</w:t>
      </w:r>
      <w:r w:rsidRPr="7340F4EB" w:rsidR="004F0319">
        <w:rPr>
          <w:rFonts w:ascii="Times New Roman" w:hAnsi="Times New Roman" w:cs="Times New Roman"/>
          <w:sz w:val="24"/>
          <w:szCs w:val="23"/>
          <w:lang w:val="es-PE"/>
        </w:rPr>
        <w:t>).</w:t>
      </w:r>
    </w:p>
    <w:p w:rsidRPr="00007954" w:rsidR="004F0319" w:rsidP="004F0319" w:rsidRDefault="004F0319" w14:paraId="5004BD33" w14:textId="77777777">
      <w:pPr>
        <w:spacing w:after="0" w:line="240" w:lineRule="auto"/>
        <w:jc w:val="both"/>
        <w:rPr>
          <w:rFonts w:ascii="Times New Roman" w:hAnsi="Times New Roman" w:cs="Times New Roman"/>
          <w:sz w:val="23"/>
          <w:szCs w:val="23"/>
          <w:lang w:val="es-PE"/>
        </w:rPr>
      </w:pPr>
    </w:p>
    <w:p w:rsidRPr="00007954" w:rsidR="004F0319" w:rsidP="004F0319" w:rsidRDefault="004F0319" w14:paraId="60DB35AD" w14:textId="77777777">
      <w:pPr>
        <w:spacing w:after="0" w:line="240" w:lineRule="auto"/>
        <w:jc w:val="both"/>
        <w:rPr>
          <w:rFonts w:ascii="Times New Roman" w:hAnsi="Times New Roman" w:cs="Times New Roman"/>
          <w:sz w:val="23"/>
          <w:szCs w:val="23"/>
          <w:lang w:val="es-PE"/>
        </w:rPr>
      </w:pPr>
      <w:r w:rsidRPr="00007954">
        <w:rPr>
          <w:rFonts w:ascii="Times New Roman" w:hAnsi="Times New Roman" w:cs="Times New Roman"/>
          <w:sz w:val="24"/>
          <w:szCs w:val="23"/>
          <w:lang w:val="es-PE"/>
        </w:rPr>
        <w:t xml:space="preserve">A mayor abundamiento, a continuación, citamos otras consideraciones expuestas en reiterados pronunciamientos emitidos por el Tribunal Constitucional: </w:t>
      </w:r>
    </w:p>
    <w:p w:rsidRPr="00007954" w:rsidR="004F0319" w:rsidP="004F0319" w:rsidRDefault="004F0319" w14:paraId="54A71A1E" w14:textId="77777777">
      <w:pPr>
        <w:spacing w:after="0" w:line="240" w:lineRule="auto"/>
        <w:jc w:val="both"/>
        <w:rPr>
          <w:rFonts w:ascii="Times New Roman" w:hAnsi="Times New Roman" w:cs="Times New Roman"/>
          <w:sz w:val="23"/>
          <w:szCs w:val="23"/>
          <w:lang w:val="es-PE"/>
        </w:rPr>
      </w:pPr>
    </w:p>
    <w:p w:rsidRPr="00007954" w:rsidR="004F0319" w:rsidP="004F0319" w:rsidRDefault="004F0319" w14:paraId="29A1DCCC" w14:textId="77777777">
      <w:pPr>
        <w:spacing w:after="0" w:line="240" w:lineRule="auto"/>
        <w:ind w:left="720"/>
        <w:jc w:val="both"/>
        <w:rPr>
          <w:rFonts w:ascii="Times New Roman" w:hAnsi="Times New Roman" w:cs="Times New Roman"/>
          <w:i/>
          <w:iCs/>
          <w:sz w:val="23"/>
          <w:szCs w:val="23"/>
          <w:lang w:val="es-PE"/>
        </w:rPr>
      </w:pPr>
      <w:r w:rsidRPr="00007954">
        <w:rPr>
          <w:rFonts w:ascii="Times New Roman" w:hAnsi="Times New Roman" w:cs="Times New Roman"/>
          <w:i/>
          <w:iCs/>
          <w:sz w:val="24"/>
          <w:szCs w:val="23"/>
          <w:lang w:val="es-PE"/>
        </w:rPr>
        <w:t xml:space="preserve">“12. Con relación al atestado policial, es necesario señalar que, por disposición de la ley procesal específica, éste, al igual que todos los medios probatorios de un proceso, se actúa y valora con arreglo a las normas procesales que le garantizan al imputado el derecho de defenderse, pudiendo incluso actuarse ciertos medios probatorios durante el juicio oral, estación procesal en la cual el valor probatorio de los medios será compulsado y corroborado con otros medios de prueba, los que, valorados bajo el criterio de conciencia del juzgador, serán determinantes para establecer la responsabilidad penal. El juzgador, al emitir pronunciamiento, deberá precisar cuáles fueron las pruebas que lo orientaron a determinar la inocencia o culpabilidad del procesado. De ello se concluye que el valor </w:t>
      </w:r>
      <w:r w:rsidRPr="00007954">
        <w:rPr>
          <w:rFonts w:ascii="Times New Roman" w:hAnsi="Times New Roman" w:cs="Times New Roman"/>
          <w:i/>
          <w:iCs/>
          <w:sz w:val="24"/>
          <w:szCs w:val="23"/>
          <w:lang w:val="es-PE"/>
        </w:rPr>
        <w:lastRenderedPageBreak/>
        <w:t>probatorio del mencionado atestado, en caso de ser considerado como prueba, deberá estar corroborado con otras de igual naturaleza, lo cual deberá mencionarse expresamente en la sentencia que se expida. En consecuencia, el valor probatorio atribuido al atestado policial no es concreto (…)” (http://www.tc.gob.pe/jurisprudencia/2006/00981-2004-HC.pdf)</w:t>
      </w:r>
    </w:p>
    <w:p w:rsidRPr="00007954" w:rsidR="004F0319" w:rsidP="004F0319" w:rsidRDefault="004F0319" w14:paraId="41A0472A" w14:textId="77777777">
      <w:pPr>
        <w:spacing w:after="0" w:line="240" w:lineRule="auto"/>
        <w:ind w:left="720"/>
        <w:jc w:val="both"/>
        <w:rPr>
          <w:rFonts w:ascii="Times New Roman" w:hAnsi="Times New Roman" w:cs="Times New Roman"/>
          <w:i/>
          <w:iCs/>
          <w:sz w:val="23"/>
          <w:szCs w:val="23"/>
          <w:lang w:val="es-PE"/>
        </w:rPr>
      </w:pPr>
    </w:p>
    <w:p w:rsidRPr="00007954" w:rsidR="004F0319" w:rsidP="004F0319" w:rsidRDefault="004F0319" w14:paraId="3CD6F3EB" w14:textId="77777777">
      <w:pPr>
        <w:spacing w:after="0" w:line="240" w:lineRule="auto"/>
        <w:ind w:left="720"/>
        <w:jc w:val="both"/>
        <w:rPr>
          <w:rFonts w:ascii="Times New Roman" w:hAnsi="Times New Roman" w:cs="Times New Roman"/>
          <w:i/>
          <w:iCs/>
          <w:sz w:val="23"/>
          <w:szCs w:val="23"/>
          <w:lang w:val="es-PE"/>
        </w:rPr>
      </w:pPr>
      <w:r w:rsidRPr="00007954">
        <w:rPr>
          <w:rFonts w:ascii="Times New Roman" w:hAnsi="Times New Roman" w:cs="Times New Roman"/>
          <w:i/>
          <w:iCs/>
          <w:sz w:val="24"/>
          <w:szCs w:val="23"/>
          <w:lang w:val="es-PE"/>
        </w:rPr>
        <w:t xml:space="preserve">“4. Por ello, este Tribunal debe subrayar, conforme lo ha sostenido en sus sentencias 2952-2005-PHC y 3960-2005-PHC, que las actuaciones del representante del Ministerio Público son </w:t>
      </w:r>
      <w:proofErr w:type="spellStart"/>
      <w:r w:rsidRPr="00007954">
        <w:rPr>
          <w:rFonts w:ascii="Times New Roman" w:hAnsi="Times New Roman" w:cs="Times New Roman"/>
          <w:i/>
          <w:iCs/>
          <w:sz w:val="24"/>
          <w:szCs w:val="23"/>
          <w:lang w:val="es-PE"/>
        </w:rPr>
        <w:t>postulatorias</w:t>
      </w:r>
      <w:proofErr w:type="spellEnd"/>
      <w:r w:rsidRPr="00007954">
        <w:rPr>
          <w:rFonts w:ascii="Times New Roman" w:hAnsi="Times New Roman" w:cs="Times New Roman"/>
          <w:i/>
          <w:iCs/>
          <w:sz w:val="24"/>
          <w:szCs w:val="23"/>
          <w:lang w:val="es-PE"/>
        </w:rPr>
        <w:t xml:space="preserve"> y en ningún caso decisorias, pues es la Judicatura la que resuelve; por lo tanto, su accionar, conforme al ordenamiento legal, no comporta amenaza o violación a la libertad personal ni a sus derechos conexos. En esa misma línea de razonamiento deben considerarse los informes, atestados, oficios o cualquier otro documento emanado de la Policía Nacional del Perú, puesto que aquellos únicamente tendrán el valor probatorio que el juzgador les otorgue” (https://tc.gob.pe/jurisprudencia/2008/06157-2007-HC.pdf)</w:t>
      </w:r>
    </w:p>
    <w:p w:rsidRPr="00007954" w:rsidR="004F0319" w:rsidP="004F0319" w:rsidRDefault="004F0319" w14:paraId="6AACF136" w14:textId="77777777">
      <w:pPr>
        <w:spacing w:after="0" w:line="240" w:lineRule="auto"/>
        <w:jc w:val="both"/>
        <w:rPr>
          <w:rFonts w:ascii="Times New Roman" w:hAnsi="Times New Roman" w:cs="Times New Roman"/>
          <w:i/>
          <w:iCs/>
          <w:sz w:val="23"/>
          <w:szCs w:val="23"/>
          <w:lang w:val="es-PE"/>
        </w:rPr>
      </w:pPr>
    </w:p>
    <w:p w:rsidRPr="00007954" w:rsidR="004F0319" w:rsidP="004F0319" w:rsidRDefault="004F0319" w14:paraId="7F07EC60" w14:textId="2A2F1107">
      <w:pPr>
        <w:spacing w:after="0" w:line="240" w:lineRule="auto"/>
        <w:jc w:val="both"/>
        <w:rPr>
          <w:rFonts w:ascii="Times New Roman" w:hAnsi="Times New Roman" w:cs="Times New Roman"/>
          <w:sz w:val="23"/>
          <w:szCs w:val="23"/>
          <w:lang w:val="es-PE"/>
        </w:rPr>
      </w:pPr>
      <w:proofErr w:type="gramStart"/>
      <w:r w:rsidRPr="00007954">
        <w:rPr>
          <w:rFonts w:ascii="Times New Roman" w:hAnsi="Times New Roman" w:cs="Times New Roman"/>
          <w:sz w:val="24"/>
          <w:szCs w:val="23"/>
          <w:lang w:val="es-PE"/>
        </w:rPr>
        <w:t>En virtud a</w:t>
      </w:r>
      <w:proofErr w:type="gramEnd"/>
      <w:r w:rsidRPr="00007954">
        <w:rPr>
          <w:rFonts w:ascii="Times New Roman" w:hAnsi="Times New Roman" w:cs="Times New Roman"/>
          <w:sz w:val="24"/>
          <w:szCs w:val="23"/>
          <w:lang w:val="es-PE"/>
        </w:rPr>
        <w:t xml:space="preserve"> lo expuesto, este colegiado aprecia que no existe mérito para revocar la señalada resolución; por lo tanto,</w:t>
      </w:r>
    </w:p>
    <w:p w:rsidRPr="00007954" w:rsidR="004F0319" w:rsidP="004F0319" w:rsidRDefault="004F0319" w14:paraId="45FEC168" w14:textId="77777777">
      <w:pPr>
        <w:spacing w:after="0" w:line="240" w:lineRule="auto"/>
        <w:jc w:val="both"/>
        <w:rPr>
          <w:rFonts w:ascii="Times New Roman" w:hAnsi="Times New Roman" w:cs="Times New Roman"/>
          <w:sz w:val="23"/>
          <w:szCs w:val="23"/>
          <w:lang w:val="es-PE"/>
        </w:rPr>
      </w:pPr>
    </w:p>
    <w:p w:rsidRPr="00007954" w:rsidR="004F0319" w:rsidP="004F0319" w:rsidRDefault="004F0319" w14:paraId="6E041290" w14:textId="77777777">
      <w:pPr>
        <w:spacing w:after="0" w:line="240" w:lineRule="auto"/>
        <w:jc w:val="both"/>
        <w:rPr>
          <w:rFonts w:ascii="Times New Roman" w:hAnsi="Times New Roman" w:cs="Times New Roman"/>
          <w:b/>
          <w:bCs/>
          <w:sz w:val="23"/>
          <w:szCs w:val="23"/>
          <w:lang w:val="es-PE"/>
        </w:rPr>
      </w:pPr>
      <w:r w:rsidRPr="00007954">
        <w:rPr>
          <w:rFonts w:ascii="Times New Roman" w:hAnsi="Times New Roman" w:cs="Times New Roman"/>
          <w:b/>
          <w:bCs/>
          <w:sz w:val="24"/>
          <w:szCs w:val="23"/>
          <w:lang w:val="es-PE"/>
        </w:rPr>
        <w:t>Resuelve:</w:t>
      </w:r>
    </w:p>
    <w:p w:rsidRPr="00007954" w:rsidR="004F0319" w:rsidP="004F0319" w:rsidRDefault="004F0319" w14:paraId="2D491753" w14:textId="77777777">
      <w:pPr>
        <w:spacing w:after="0" w:line="240" w:lineRule="auto"/>
        <w:jc w:val="both"/>
        <w:rPr>
          <w:rFonts w:ascii="Times New Roman" w:hAnsi="Times New Roman" w:cs="Times New Roman"/>
          <w:sz w:val="23"/>
          <w:szCs w:val="23"/>
          <w:lang w:val="es-PE"/>
        </w:rPr>
      </w:pPr>
    </w:p>
    <w:p w:rsidRPr="00007954" w:rsidR="004F0319" w:rsidP="004F0319" w:rsidRDefault="004F0319" w14:paraId="68108C1D" w14:textId="26BAFB30">
      <w:pPr>
        <w:spacing w:after="0" w:line="240" w:lineRule="auto"/>
        <w:jc w:val="both"/>
        <w:rPr>
          <w:rFonts w:ascii="Times New Roman" w:hAnsi="Times New Roman" w:cs="Times New Roman"/>
          <w:sz w:val="23"/>
          <w:szCs w:val="23"/>
          <w:lang w:val="es-PE"/>
        </w:rPr>
      </w:pPr>
      <w:r w:rsidRPr="7340F4EB" w:rsidR="004F0319">
        <w:rPr>
          <w:rFonts w:ascii="Times New Roman" w:hAnsi="Times New Roman" w:cs="Times New Roman"/>
          <w:sz w:val="24"/>
          <w:szCs w:val="23"/>
          <w:lang w:val="es-PE"/>
        </w:rPr>
        <w:t xml:space="preserve">Declarar INFUNDADO el recurso impugnativo interpuesto por </w:t>
      </w:r>
      <w:r w:rsidRPr="7340F4EB" w:rsidR="1CD39F92">
        <w:rPr>
          <w:rFonts w:ascii="Times New Roman" w:hAnsi="Times New Roman" w:cs="Times New Roman"/>
          <w:sz w:val="24"/>
          <w:szCs w:val="23"/>
          <w:lang w:val="es-PE"/>
        </w:rPr>
        <w:t>..................................</w:t>
      </w:r>
      <w:r w:rsidRPr="7340F4EB" w:rsidR="004F0319">
        <w:rPr>
          <w:rFonts w:ascii="Times New Roman" w:hAnsi="Times New Roman" w:cs="Times New Roman"/>
          <w:sz w:val="24"/>
          <w:szCs w:val="23"/>
          <w:lang w:val="es-PE"/>
        </w:rPr>
        <w:t xml:space="preserve"> y, por consiguiente, ratificar la Resolución Nro. 175/23, de fecha 13 de setiembre de 2023, que declaró FUNDADA la reclamación.</w:t>
      </w:r>
    </w:p>
    <w:p w:rsidRPr="00007954" w:rsidR="00231C58" w:rsidP="005A40A4" w:rsidRDefault="0091528B" w14:paraId="2B9BAAC8" w14:textId="7D7425C1">
      <w:pPr>
        <w:suppressAutoHyphens/>
        <w:spacing w:after="0" w:line="240" w:lineRule="auto"/>
        <w:jc w:val="right"/>
        <w:outlineLvl w:val="0"/>
        <w:rPr>
          <w:rFonts w:ascii="Times New Roman" w:hAnsi="Times New Roman" w:eastAsia="Arial Unicode MS" w:cs="Times New Roman"/>
          <w:sz w:val="23"/>
          <w:szCs w:val="23"/>
          <w:lang w:val="es-PE" w:eastAsia="ar-SA"/>
        </w:rPr>
      </w:pPr>
      <w:r w:rsidRPr="00007954">
        <w:rPr>
          <w:rFonts w:ascii="Times New Roman" w:hAnsi="Times New Roman" w:eastAsia="Arial Unicode MS" w:cs="Times New Roman"/>
          <w:sz w:val="24"/>
          <w:szCs w:val="23"/>
          <w:lang w:val="es-PE" w:eastAsia="ar-SA"/>
        </w:rPr>
        <w:t xml:space="preserve">Lima, </w:t>
      </w:r>
      <w:r w:rsidRPr="00007954" w:rsidR="00570ED6">
        <w:rPr>
          <w:rFonts w:ascii="Times New Roman" w:hAnsi="Times New Roman" w:eastAsia="Arial Unicode MS" w:cs="Times New Roman"/>
          <w:sz w:val="24"/>
          <w:szCs w:val="23"/>
          <w:lang w:val="es-PE" w:eastAsia="ar-SA"/>
        </w:rPr>
        <w:t>0</w:t>
      </w:r>
      <w:r w:rsidRPr="00007954" w:rsidR="00901835">
        <w:rPr>
          <w:rFonts w:ascii="Times New Roman" w:hAnsi="Times New Roman" w:eastAsia="Arial Unicode MS" w:cs="Times New Roman"/>
          <w:sz w:val="24"/>
          <w:szCs w:val="23"/>
          <w:lang w:val="es-PE" w:eastAsia="ar-SA"/>
        </w:rPr>
        <w:t>8</w:t>
      </w:r>
      <w:r w:rsidRPr="00007954" w:rsidR="00570ED6">
        <w:rPr>
          <w:rFonts w:ascii="Times New Roman" w:hAnsi="Times New Roman" w:eastAsia="Arial Unicode MS" w:cs="Times New Roman"/>
          <w:sz w:val="24"/>
          <w:szCs w:val="23"/>
          <w:lang w:val="es-PE" w:eastAsia="ar-SA"/>
        </w:rPr>
        <w:t xml:space="preserve"> </w:t>
      </w:r>
      <w:r w:rsidRPr="00007954" w:rsidR="00707C99">
        <w:rPr>
          <w:rFonts w:ascii="Times New Roman" w:hAnsi="Times New Roman" w:eastAsia="Arial Unicode MS" w:cs="Times New Roman"/>
          <w:sz w:val="24"/>
          <w:szCs w:val="23"/>
          <w:lang w:val="es-PE" w:eastAsia="ar-SA"/>
        </w:rPr>
        <w:t xml:space="preserve">de </w:t>
      </w:r>
      <w:r w:rsidRPr="00007954" w:rsidR="00570ED6">
        <w:rPr>
          <w:rFonts w:ascii="Times New Roman" w:hAnsi="Times New Roman" w:eastAsia="Arial Unicode MS" w:cs="Times New Roman"/>
          <w:sz w:val="24"/>
          <w:szCs w:val="23"/>
          <w:lang w:val="es-PE" w:eastAsia="ar-SA"/>
        </w:rPr>
        <w:t>noviembre</w:t>
      </w:r>
      <w:r w:rsidRPr="00007954" w:rsidR="002F478E">
        <w:rPr>
          <w:rFonts w:ascii="Times New Roman" w:hAnsi="Times New Roman" w:eastAsia="Arial Unicode MS" w:cs="Times New Roman"/>
          <w:sz w:val="24"/>
          <w:szCs w:val="23"/>
          <w:lang w:val="es-PE" w:eastAsia="ar-SA"/>
        </w:rPr>
        <w:t xml:space="preserve"> </w:t>
      </w:r>
      <w:r w:rsidRPr="00007954" w:rsidR="00F06498">
        <w:rPr>
          <w:rFonts w:ascii="Times New Roman" w:hAnsi="Times New Roman" w:eastAsia="Arial Unicode MS" w:cs="Times New Roman"/>
          <w:sz w:val="24"/>
          <w:szCs w:val="23"/>
          <w:lang w:val="es-PE" w:eastAsia="ar-SA"/>
        </w:rPr>
        <w:t>de 202</w:t>
      </w:r>
      <w:r w:rsidRPr="00007954" w:rsidR="00B340D4">
        <w:rPr>
          <w:rFonts w:ascii="Times New Roman" w:hAnsi="Times New Roman" w:eastAsia="Arial Unicode MS" w:cs="Times New Roman"/>
          <w:sz w:val="24"/>
          <w:szCs w:val="23"/>
          <w:lang w:val="es-PE" w:eastAsia="ar-SA"/>
        </w:rPr>
        <w:t>3</w:t>
      </w:r>
      <w:r w:rsidRPr="00007954" w:rsidR="00707C99">
        <w:rPr>
          <w:rFonts w:ascii="Times New Roman" w:hAnsi="Times New Roman" w:eastAsia="Times New Roman" w:cs="Times New Roman"/>
          <w:sz w:val="24"/>
          <w:szCs w:val="23"/>
          <w:lang w:val="es-PE" w:eastAsia="ar-SA"/>
        </w:rPr>
        <w:t xml:space="preserve"> </w:t>
      </w:r>
    </w:p>
    <w:p w:rsidRPr="00007954"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3"/>
          <w:szCs w:val="23"/>
          <w:lang w:val="es-PE" w:eastAsia="ar-SA"/>
        </w:rPr>
      </w:pPr>
    </w:p>
    <w:p w:rsidRPr="00007954" w:rsidR="00A323F4" w:rsidP="00A323F4" w:rsidRDefault="00A323F4" w14:paraId="1B6988F6" w14:textId="77777777">
      <w:pPr>
        <w:spacing w:after="0" w:line="240" w:lineRule="auto"/>
        <w:jc w:val="both"/>
        <w:rPr>
          <w:rFonts w:ascii="Times New Roman" w:hAnsi="Times New Roman" w:cs="Times New Roman"/>
          <w:b/>
          <w:bCs/>
          <w:i/>
          <w:iCs/>
          <w:sz w:val="23"/>
          <w:szCs w:val="23"/>
          <w:lang w:val="es-PE"/>
        </w:rPr>
      </w:pPr>
      <w:r w:rsidRPr="00007954">
        <w:rPr>
          <w:rFonts w:ascii="Times New Roman" w:hAnsi="Times New Roman" w:cs="Times New Roman"/>
          <w:b/>
          <w:bCs/>
          <w:i/>
          <w:iCs/>
          <w:sz w:val="24"/>
          <w:szCs w:val="23"/>
          <w:lang w:val="es-PE"/>
        </w:rPr>
        <w:t>La Secretaría Técnica certifica que la presente resolución cuenta con el voto de los vocales cuyos nombres figuran en el presente documento.</w:t>
      </w:r>
    </w:p>
    <w:p w:rsidRPr="00007954" w:rsidR="00A323F4" w:rsidP="00A323F4" w:rsidRDefault="00A323F4" w14:paraId="3AB80116" w14:textId="77777777">
      <w:pPr>
        <w:spacing w:after="0" w:line="360" w:lineRule="auto"/>
        <w:jc w:val="both"/>
        <w:rPr>
          <w:rFonts w:ascii="Times New Roman" w:hAnsi="Times New Roman" w:cs="Times New Roman"/>
          <w:b/>
          <w:bCs/>
          <w:i/>
          <w:iCs/>
          <w:sz w:val="23"/>
          <w:szCs w:val="23"/>
          <w:lang w:val="es-PE"/>
        </w:rPr>
      </w:pPr>
    </w:p>
    <w:p w:rsidRPr="00007954" w:rsidR="00942733" w:rsidP="00942733" w:rsidRDefault="00942733" w14:paraId="4EB70007" w14:textId="73D2551D">
      <w:pPr>
        <w:spacing w:after="0" w:line="360" w:lineRule="auto"/>
        <w:jc w:val="center"/>
        <w:rPr>
          <w:rFonts w:ascii="Times New Roman" w:hAnsi="Times New Roman" w:cs="Times New Roman"/>
          <w:b/>
          <w:bCs/>
          <w:sz w:val="23"/>
          <w:szCs w:val="23"/>
          <w:lang w:val="es-PE"/>
        </w:rPr>
      </w:pPr>
      <w:r w:rsidRPr="00007954">
        <w:rPr>
          <w:rFonts w:ascii="Times New Roman" w:hAnsi="Times New Roman" w:cs="Times New Roman"/>
          <w:b/>
          <w:bCs/>
          <w:sz w:val="24"/>
          <w:szCs w:val="23"/>
          <w:lang w:val="es-PE"/>
        </w:rPr>
        <w:t xml:space="preserve">Rolando Eyzaguirre </w:t>
      </w:r>
      <w:proofErr w:type="spellStart"/>
      <w:r w:rsidRPr="00007954">
        <w:rPr>
          <w:rFonts w:ascii="Times New Roman" w:hAnsi="Times New Roman" w:cs="Times New Roman"/>
          <w:b/>
          <w:bCs/>
          <w:sz w:val="24"/>
          <w:szCs w:val="23"/>
          <w:lang w:val="es-PE"/>
        </w:rPr>
        <w:t>Maccan</w:t>
      </w:r>
      <w:proofErr w:type="spellEnd"/>
      <w:r w:rsidRPr="00007954">
        <w:rPr>
          <w:rFonts w:ascii="Times New Roman" w:hAnsi="Times New Roman" w:cs="Times New Roman"/>
          <w:b/>
          <w:bCs/>
          <w:sz w:val="24"/>
          <w:szCs w:val="23"/>
          <w:lang w:val="es-PE"/>
        </w:rPr>
        <w:t xml:space="preserve"> – </w:t>
      </w:r>
      <w:proofErr w:type="gramStart"/>
      <w:r w:rsidRPr="00007954">
        <w:rPr>
          <w:rFonts w:ascii="Times New Roman" w:hAnsi="Times New Roman" w:cs="Times New Roman"/>
          <w:b/>
          <w:bCs/>
          <w:sz w:val="24"/>
          <w:szCs w:val="23"/>
          <w:lang w:val="es-PE"/>
        </w:rPr>
        <w:t>Presidente</w:t>
      </w:r>
      <w:proofErr w:type="gramEnd"/>
    </w:p>
    <w:p w:rsidRPr="00007954" w:rsidR="00206718" w:rsidP="00206718" w:rsidRDefault="00206718" w14:paraId="21F577B8" w14:textId="77777777">
      <w:pPr>
        <w:spacing w:after="0" w:line="360" w:lineRule="auto"/>
        <w:jc w:val="center"/>
        <w:rPr>
          <w:rFonts w:ascii="Times New Roman" w:hAnsi="Times New Roman" w:cs="Times New Roman"/>
          <w:b/>
          <w:bCs/>
          <w:sz w:val="23"/>
          <w:szCs w:val="23"/>
          <w:lang w:val="es-PE"/>
        </w:rPr>
      </w:pPr>
      <w:r w:rsidRPr="00007954">
        <w:rPr>
          <w:rFonts w:ascii="Times New Roman" w:hAnsi="Times New Roman" w:cs="Times New Roman"/>
          <w:b/>
          <w:bCs/>
          <w:sz w:val="24"/>
          <w:szCs w:val="23"/>
          <w:lang w:val="es-PE"/>
        </w:rPr>
        <w:t>María Eugenia Valdez Fernández Baca – Vocal</w:t>
      </w:r>
    </w:p>
    <w:p w:rsidRPr="00007954" w:rsidR="00556526" w:rsidP="00556526" w:rsidRDefault="00556526" w14:paraId="354585F8" w14:textId="79417450">
      <w:pPr>
        <w:spacing w:after="0" w:line="360" w:lineRule="auto"/>
        <w:jc w:val="center"/>
        <w:rPr>
          <w:rFonts w:ascii="Times New Roman" w:hAnsi="Times New Roman" w:cs="Times New Roman"/>
          <w:b/>
          <w:bCs/>
          <w:sz w:val="23"/>
          <w:szCs w:val="23"/>
          <w:lang w:val="es-PE"/>
        </w:rPr>
      </w:pPr>
      <w:r w:rsidRPr="00007954">
        <w:rPr>
          <w:rFonts w:ascii="Times New Roman" w:hAnsi="Times New Roman" w:cs="Times New Roman"/>
          <w:b/>
          <w:bCs/>
          <w:sz w:val="24"/>
          <w:szCs w:val="23"/>
          <w:lang w:val="es-PE"/>
        </w:rPr>
        <w:t>Omar Alfaro Villanueva – Vocal</w:t>
      </w:r>
    </w:p>
    <w:p w:rsidRPr="00007954" w:rsidR="00986F0C" w:rsidP="00986F0C" w:rsidRDefault="00986F0C" w14:paraId="6E8DFFF0" w14:textId="77777777">
      <w:pPr>
        <w:spacing w:after="0" w:line="360" w:lineRule="auto"/>
        <w:jc w:val="center"/>
        <w:rPr>
          <w:rFonts w:ascii="Times New Roman" w:hAnsi="Times New Roman" w:cs="Times New Roman"/>
          <w:sz w:val="23"/>
          <w:szCs w:val="23"/>
          <w:lang w:val="es-PE"/>
        </w:rPr>
      </w:pPr>
      <w:r w:rsidRPr="00007954">
        <w:rPr>
          <w:rFonts w:ascii="Times New Roman" w:hAnsi="Times New Roman" w:cs="Times New Roman"/>
          <w:b/>
          <w:bCs/>
          <w:sz w:val="24"/>
          <w:szCs w:val="23"/>
          <w:lang w:val="es-PE"/>
        </w:rPr>
        <w:t>Gonzalo Abad del Busto – Vocal</w:t>
      </w:r>
    </w:p>
    <w:p w:rsidRPr="009F75DF" w:rsidR="00986F0C" w:rsidP="00556526" w:rsidRDefault="00986F0C" w14:paraId="412CCBAA" w14:textId="77777777">
      <w:pPr>
        <w:spacing w:after="0" w:line="240" w:lineRule="auto"/>
        <w:jc w:val="center"/>
        <w:rPr>
          <w:rFonts w:ascii="Times New Roman" w:hAnsi="Times New Roman" w:cs="Times New Roman"/>
          <w:b/>
          <w:bCs/>
          <w:sz w:val="24"/>
          <w:szCs w:val="24"/>
          <w:lang w:val="es-PE"/>
        </w:rPr>
      </w:pPr>
    </w:p>
    <w:p w:rsidRPr="00AF1C99" w:rsidR="00C671F5" w:rsidP="7340F4EB" w:rsidRDefault="00C671F5" w14:paraId="2C3A0205" w14:noSpellErr="1" w14:textId="6E91C992">
      <w:pPr>
        <w:pStyle w:val="Normal"/>
        <w:spacing w:after="0" w:line="240" w:lineRule="auto"/>
        <w:rPr>
          <w:rFonts w:ascii="Times New Roman" w:hAnsi="Times New Roman" w:cs="Times New Roman"/>
          <w:b w:val="1"/>
          <w:bCs w:val="1"/>
          <w:sz w:val="24"/>
          <w:szCs w:val="24"/>
          <w:lang w:val="es-PE"/>
        </w:rPr>
      </w:pPr>
    </w:p>
    <w:sectPr w:rsidRPr="00AF1C99" w:rsidR="00C671F5" w:rsidSect="00077B6F">
      <w:headerReference w:type="default" r:id="rId8"/>
      <w:footerReference w:type="default" r:id="rId9"/>
      <w:headerReference w:type="first" r:id="rId12"/>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90898" w:rsidP="00784355" w:rsidRDefault="00490898" w14:paraId="60DC2112" w14:textId="77777777">
      <w:pPr>
        <w:spacing w:after="0" w:line="240" w:lineRule="auto"/>
      </w:pPr>
      <w:r>
        <w:separator/>
      </w:r>
    </w:p>
  </w:endnote>
  <w:endnote w:type="continuationSeparator" w:id="0">
    <w:p w:rsidR="00490898" w:rsidP="00784355" w:rsidRDefault="00490898" w14:paraId="6E51C4B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90898" w:rsidP="00784355" w:rsidRDefault="00490898" w14:paraId="63F748A6" w14:textId="77777777">
      <w:pPr>
        <w:spacing w:after="0" w:line="240" w:lineRule="auto"/>
      </w:pPr>
      <w:r>
        <w:separator/>
      </w:r>
    </w:p>
  </w:footnote>
  <w:footnote w:type="continuationSeparator" w:id="0">
    <w:p w:rsidR="00490898" w:rsidP="00784355" w:rsidRDefault="00490898" w14:paraId="5C2A582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0"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2"/>
  </w:num>
  <w:num w:numId="2" w16cid:durableId="1929533434">
    <w:abstractNumId w:val="15"/>
  </w:num>
  <w:num w:numId="3" w16cid:durableId="333261791">
    <w:abstractNumId w:val="13"/>
  </w:num>
  <w:num w:numId="4" w16cid:durableId="1770345525">
    <w:abstractNumId w:val="12"/>
  </w:num>
  <w:num w:numId="5" w16cid:durableId="1816144979">
    <w:abstractNumId w:val="14"/>
  </w:num>
  <w:num w:numId="6" w16cid:durableId="1304313350">
    <w:abstractNumId w:val="0"/>
  </w:num>
  <w:num w:numId="7" w16cid:durableId="16682880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1"/>
  </w:num>
  <w:num w:numId="13" w16cid:durableId="16689044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8"/>
  </w:num>
  <w:num w:numId="17" w16cid:durableId="17998823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740"/>
    <w:rsid w:val="00053D16"/>
    <w:rsid w:val="00056D9F"/>
    <w:rsid w:val="0006153B"/>
    <w:rsid w:val="000619A2"/>
    <w:rsid w:val="00063183"/>
    <w:rsid w:val="0006548C"/>
    <w:rsid w:val="00070DB6"/>
    <w:rsid w:val="00071A25"/>
    <w:rsid w:val="00073EC5"/>
    <w:rsid w:val="00076E73"/>
    <w:rsid w:val="00077B6F"/>
    <w:rsid w:val="00080A9A"/>
    <w:rsid w:val="000835CB"/>
    <w:rsid w:val="00083D69"/>
    <w:rsid w:val="00083F50"/>
    <w:rsid w:val="00084148"/>
    <w:rsid w:val="00091C09"/>
    <w:rsid w:val="00092684"/>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9385F"/>
    <w:rsid w:val="001A008A"/>
    <w:rsid w:val="001A3395"/>
    <w:rsid w:val="001A43EC"/>
    <w:rsid w:val="001A44E1"/>
    <w:rsid w:val="001A555F"/>
    <w:rsid w:val="001B1E59"/>
    <w:rsid w:val="001B3EE9"/>
    <w:rsid w:val="001B58A3"/>
    <w:rsid w:val="001C052B"/>
    <w:rsid w:val="001C3A70"/>
    <w:rsid w:val="001D0EED"/>
    <w:rsid w:val="001D59D9"/>
    <w:rsid w:val="001D6136"/>
    <w:rsid w:val="001E119C"/>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3E25"/>
    <w:rsid w:val="004A718F"/>
    <w:rsid w:val="004B155C"/>
    <w:rsid w:val="004B27E2"/>
    <w:rsid w:val="004B51ED"/>
    <w:rsid w:val="004C1C34"/>
    <w:rsid w:val="004C34ED"/>
    <w:rsid w:val="004C51EC"/>
    <w:rsid w:val="004C5A91"/>
    <w:rsid w:val="004E65DD"/>
    <w:rsid w:val="004F0319"/>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47AE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7844"/>
    <w:rsid w:val="00744447"/>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96F8E"/>
    <w:rsid w:val="008A1D12"/>
    <w:rsid w:val="008A3A47"/>
    <w:rsid w:val="008B47F3"/>
    <w:rsid w:val="008B5C61"/>
    <w:rsid w:val="008B69A3"/>
    <w:rsid w:val="008B760D"/>
    <w:rsid w:val="008D1D39"/>
    <w:rsid w:val="008D5049"/>
    <w:rsid w:val="008D6DDF"/>
    <w:rsid w:val="008D721C"/>
    <w:rsid w:val="008E33FD"/>
    <w:rsid w:val="008F1161"/>
    <w:rsid w:val="008F479E"/>
    <w:rsid w:val="009011F1"/>
    <w:rsid w:val="00901835"/>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5373"/>
    <w:rsid w:val="009C6404"/>
    <w:rsid w:val="009D3B98"/>
    <w:rsid w:val="009D56D8"/>
    <w:rsid w:val="009D6055"/>
    <w:rsid w:val="009D7BF6"/>
    <w:rsid w:val="009E5F11"/>
    <w:rsid w:val="009E7994"/>
    <w:rsid w:val="009F143B"/>
    <w:rsid w:val="009F2EEB"/>
    <w:rsid w:val="009F75DF"/>
    <w:rsid w:val="00A00055"/>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A69"/>
    <w:rsid w:val="00A62BEC"/>
    <w:rsid w:val="00A658C1"/>
    <w:rsid w:val="00A734AD"/>
    <w:rsid w:val="00A770E4"/>
    <w:rsid w:val="00A837A0"/>
    <w:rsid w:val="00A90926"/>
    <w:rsid w:val="00A94273"/>
    <w:rsid w:val="00A97287"/>
    <w:rsid w:val="00AA18F9"/>
    <w:rsid w:val="00AA2DED"/>
    <w:rsid w:val="00AB1C66"/>
    <w:rsid w:val="00AB7BFE"/>
    <w:rsid w:val="00AC4C86"/>
    <w:rsid w:val="00AC4CF3"/>
    <w:rsid w:val="00AC5A9E"/>
    <w:rsid w:val="00AD1FEC"/>
    <w:rsid w:val="00AD2DF1"/>
    <w:rsid w:val="00AE4125"/>
    <w:rsid w:val="00AE58A1"/>
    <w:rsid w:val="00AE6BD5"/>
    <w:rsid w:val="00AF1C99"/>
    <w:rsid w:val="00AF5E87"/>
    <w:rsid w:val="00B00552"/>
    <w:rsid w:val="00B02BEE"/>
    <w:rsid w:val="00B11C1C"/>
    <w:rsid w:val="00B12E7A"/>
    <w:rsid w:val="00B13613"/>
    <w:rsid w:val="00B17BD8"/>
    <w:rsid w:val="00B17E56"/>
    <w:rsid w:val="00B30B53"/>
    <w:rsid w:val="00B313E9"/>
    <w:rsid w:val="00B32325"/>
    <w:rsid w:val="00B340A4"/>
    <w:rsid w:val="00B340D4"/>
    <w:rsid w:val="00B355EC"/>
    <w:rsid w:val="00B45C2D"/>
    <w:rsid w:val="00B53696"/>
    <w:rsid w:val="00B56649"/>
    <w:rsid w:val="00B625F2"/>
    <w:rsid w:val="00B663DC"/>
    <w:rsid w:val="00B710D8"/>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92C"/>
    <w:rsid w:val="00D228DE"/>
    <w:rsid w:val="00D22DC3"/>
    <w:rsid w:val="00D25683"/>
    <w:rsid w:val="00D27042"/>
    <w:rsid w:val="00D3103B"/>
    <w:rsid w:val="00D322D9"/>
    <w:rsid w:val="00D422AF"/>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B74D5"/>
    <w:rsid w:val="00DC399B"/>
    <w:rsid w:val="00DD0F92"/>
    <w:rsid w:val="00DD5E2B"/>
    <w:rsid w:val="00DF0424"/>
    <w:rsid w:val="00DF3781"/>
    <w:rsid w:val="00DF6E69"/>
    <w:rsid w:val="00E107CA"/>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41F3"/>
    <w:rsid w:val="1CD39F92"/>
    <w:rsid w:val="2CE53F2A"/>
    <w:rsid w:val="36BF6A5E"/>
    <w:rsid w:val="41332937"/>
    <w:rsid w:val="56E504E0"/>
    <w:rsid w:val="6A8A5084"/>
    <w:rsid w:val="6F15A7FC"/>
    <w:rsid w:val="7340F4EB"/>
    <w:rsid w:val="73698903"/>
    <w:rsid w:val="79D7B1BE"/>
    <w:rsid w:val="7B556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F5CA1FF8-0FF3-457D-B167-EB7C7851CC17}"/>
</file>

<file path=customXml/itemProps3.xml><?xml version="1.0" encoding="utf-8"?>
<ds:datastoreItem xmlns:ds="http://schemas.openxmlformats.org/officeDocument/2006/customXml" ds:itemID="{9CEBC6B3-ADAF-437C-8D19-689B47FDEB76}"/>
</file>

<file path=customXml/itemProps4.xml><?xml version="1.0" encoding="utf-8"?>
<ds:datastoreItem xmlns:ds="http://schemas.openxmlformats.org/officeDocument/2006/customXml" ds:itemID="{DC14DAF5-40C8-4D17-BE4B-07EE3380AC8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175</cp:revision>
  <cp:lastPrinted>2023-11-08T16:18:00Z</cp:lastPrinted>
  <dcterms:created xsi:type="dcterms:W3CDTF">2023-02-14T22:37:00Z</dcterms:created>
  <dcterms:modified xsi:type="dcterms:W3CDTF">2025-12-03T17:11:03Z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