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07954" w:rsidR="00707C99" w:rsidP="00272F4F" w:rsidRDefault="00201C0D" w14:paraId="19FE0E96" w14:textId="131E5B79">
      <w:pPr>
        <w:spacing w:after="0" w:line="240" w:lineRule="auto"/>
        <w:jc w:val="center"/>
        <w:rPr>
          <w:rFonts w:ascii="Times New Roman" w:hAnsi="Times New Roman" w:cs="Times New Roman"/>
          <w:b/>
          <w:sz w:val="23"/>
          <w:szCs w:val="23"/>
          <w:lang w:val="es-PE" w:eastAsia="ar-SA"/>
        </w:rPr>
      </w:pPr>
      <w:r w:rsidRPr="00007954">
        <w:rPr>
          <w:rFonts w:ascii="Times New Roman" w:hAnsi="Times New Roman" w:cs="Times New Roman"/>
          <w:b/>
          <w:sz w:val="24"/>
          <w:szCs w:val="23"/>
          <w:lang w:val="es-PE" w:eastAsia="ar-SA"/>
        </w:rPr>
        <w:t xml:space="preserve">RESOLUCIÓN DE RECURSO IMPUGNATIVO </w:t>
      </w:r>
      <w:proofErr w:type="spellStart"/>
      <w:r w:rsidRPr="00007954" w:rsidR="00707C99">
        <w:rPr>
          <w:rFonts w:ascii="Times New Roman" w:hAnsi="Times New Roman" w:cs="Times New Roman"/>
          <w:b/>
          <w:sz w:val="24"/>
          <w:szCs w:val="23"/>
          <w:lang w:val="es-PE" w:eastAsia="ar-SA"/>
        </w:rPr>
        <w:t>N°</w:t>
      </w:r>
      <w:proofErr w:type="spellEnd"/>
      <w:r w:rsidRPr="00007954" w:rsidR="00707C99">
        <w:rPr>
          <w:rFonts w:ascii="Times New Roman" w:hAnsi="Times New Roman" w:cs="Times New Roman"/>
          <w:b/>
          <w:sz w:val="24"/>
          <w:szCs w:val="23"/>
          <w:lang w:val="es-PE" w:eastAsia="ar-SA"/>
        </w:rPr>
        <w:t xml:space="preserve"> </w:t>
      </w:r>
      <w:r w:rsidRPr="00007954" w:rsidR="00516293">
        <w:rPr>
          <w:rFonts w:ascii="Times New Roman" w:hAnsi="Times New Roman" w:cs="Times New Roman"/>
          <w:b/>
          <w:sz w:val="24"/>
          <w:szCs w:val="23"/>
          <w:lang w:val="es-PE" w:eastAsia="ar-SA"/>
        </w:rPr>
        <w:t>0</w:t>
      </w:r>
      <w:r w:rsidRPr="00007954" w:rsidR="00BA3C20">
        <w:rPr>
          <w:rFonts w:ascii="Times New Roman" w:hAnsi="Times New Roman" w:cs="Times New Roman"/>
          <w:b/>
          <w:sz w:val="24"/>
          <w:szCs w:val="23"/>
          <w:lang w:val="es-PE" w:eastAsia="ar-SA"/>
        </w:rPr>
        <w:t>5</w:t>
      </w:r>
      <w:r w:rsidR="00B73566">
        <w:rPr>
          <w:rFonts w:ascii="Times New Roman" w:hAnsi="Times New Roman" w:cs="Times New Roman"/>
          <w:b/>
          <w:sz w:val="24"/>
          <w:szCs w:val="23"/>
          <w:lang w:val="es-PE" w:eastAsia="ar-SA"/>
        </w:rPr>
        <w:t>4</w:t>
      </w:r>
      <w:r w:rsidRPr="00007954" w:rsidR="00C671F5">
        <w:rPr>
          <w:rFonts w:ascii="Times New Roman" w:hAnsi="Times New Roman" w:cs="Times New Roman"/>
          <w:b/>
          <w:sz w:val="24"/>
          <w:szCs w:val="23"/>
          <w:lang w:val="es-PE" w:eastAsia="ar-SA"/>
        </w:rPr>
        <w:t>/2</w:t>
      </w:r>
      <w:r w:rsidRPr="00007954" w:rsidR="00AB7BFE">
        <w:rPr>
          <w:rFonts w:ascii="Times New Roman" w:hAnsi="Times New Roman" w:cs="Times New Roman"/>
          <w:b/>
          <w:sz w:val="24"/>
          <w:szCs w:val="23"/>
          <w:lang w:val="es-PE" w:eastAsia="ar-SA"/>
        </w:rPr>
        <w:t>3</w:t>
      </w:r>
    </w:p>
    <w:p w:rsidRPr="00007954" w:rsidR="00C202F1" w:rsidP="00C202F1" w:rsidRDefault="00C202F1" w14:paraId="07656E09" w14:textId="77777777">
      <w:pPr>
        <w:spacing w:after="0" w:line="240" w:lineRule="auto"/>
        <w:jc w:val="both"/>
        <w:rPr>
          <w:rFonts w:ascii="Times New Roman" w:hAnsi="Times New Roman" w:cs="Times New Roman"/>
          <w:b/>
          <w:sz w:val="23"/>
          <w:szCs w:val="23"/>
          <w:lang w:val="es-PE"/>
        </w:rPr>
      </w:pPr>
    </w:p>
    <w:p w:rsidR="00196365" w:rsidP="00196365" w:rsidRDefault="00196365" w14:paraId="3AB7CA62" w14:textId="77777777">
      <w:pPr>
        <w:spacing w:line="240" w:lineRule="auto"/>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196365" w:rsidP="00196365" w:rsidRDefault="00196365" w14:paraId="37DBDAA8" w14:textId="385F079F">
      <w:pPr>
        <w:spacing w:after="0" w:line="240" w:lineRule="auto"/>
        <w:jc w:val="both"/>
        <w:outlineLvl w:val="0"/>
        <w:rPr>
          <w:rFonts w:ascii="Times New Roman" w:hAnsi="Times New Roman" w:cs="Times New Roman"/>
          <w:sz w:val="24"/>
          <w:szCs w:val="24"/>
          <w:lang w:val="es-PE"/>
        </w:rPr>
      </w:pPr>
      <w:r>
        <w:rPr>
          <w:rFonts w:ascii="Times New Roman" w:hAnsi="Times New Roman"/>
          <w:sz w:val="24"/>
        </w:rPr>
        <w:t xml:space="preserve">El Recurso de Impugnación presentado por .................................... respecto de la Resolución Nro. 195/23, expedida por esta Defensoría, conforme a la cual se declaró FUNDADA la reclamación interpuesta por AB INGENIERIA S.A.C respecto del siniestro por robo total del vehículo de placa al Seguro Protección Familiar Nº ........................................................ asegurado bajo la Póliza de Seguro Vehicular BBVA Nº .............................</w:t>
      </w:r>
    </w:p>
    <w:p w:rsidR="00196365" w:rsidP="00196365" w:rsidRDefault="00196365" w14:paraId="08603CB2" w14:textId="5986F00B">
      <w:pPr>
        <w:spacing w:after="0" w:line="240" w:lineRule="auto"/>
        <w:jc w:val="both"/>
        <w:outlineLvl w:val="0"/>
        <w:rPr>
          <w:rFonts w:ascii="Times New Roman" w:hAnsi="Times New Roman" w:cs="Times New Roman"/>
          <w:sz w:val="24"/>
          <w:szCs w:val="24"/>
          <w:lang w:val="es-PE"/>
        </w:rPr>
      </w:pPr>
      <w:r w:rsidRPr="69BAED6A" w:rsidR="35854B96">
        <w:rPr>
          <w:rFonts w:ascii="Times New Roman" w:hAnsi="Times New Roman" w:cs="Times New Roman"/>
          <w:sz w:val="24"/>
          <w:szCs w:val="24"/>
          <w:lang w:val="es-PE"/>
        </w:rPr>
        <w:t xml:space="preserve">                                                                                                                                                                                                                                                                             </w:t>
      </w:r>
    </w:p>
    <w:p w:rsidR="00196365" w:rsidP="00196365" w:rsidRDefault="00196365" w14:paraId="6F052E16" w14:textId="77777777">
      <w:pPr>
        <w:pStyle w:val="Textoindependiente"/>
        <w:spacing w:line="240" w:lineRule="auto"/>
      </w:pPr>
      <w:r>
        <w:rPr>
          <w:rFonts w:ascii="Times New Roman" w:hAnsi="Times New Roman"/>
          <w:sz w:val="24"/>
        </w:rPr>
        <w:t>Que, el indicado recurso se sustenta resumidamente en lo siguiente: a) la resolución se sustenta en que la cláusula de garantía- Sistema Remoto de Rastreo Vehicular, indica que se debe comunicar del robo inmediatamente al proveedor del servicio del sistema remoto o a la empresa aseguradora, siendo que en este caso sí se avisó inmediatamente a la aseguradora; b) no obstante, añaden que el hecho que no se comunicara al proveedor de GOS, impido que se pudiera rastrear inmediatamente al vehículo; c) no tendría sentido contar con dicha cláusula si no se comunica al proveedor de GPS del robo; es por ello que al haber el reclamante comunicado al proveedor de GPS del robo luego de 5 días no se pudo recuperar el vehículo, por lo que solicitan revocar la resolución emitida y declara infundado el reclamo.</w:t>
      </w:r>
    </w:p>
    <w:p w:rsidR="00196365" w:rsidP="00196365" w:rsidRDefault="00196365" w14:paraId="34C5EF63" w14:textId="77777777">
      <w:pPr>
        <w:pStyle w:val="Textoindependiente"/>
        <w:spacing w:line="240" w:lineRule="auto"/>
      </w:pPr>
    </w:p>
    <w:p w:rsidR="00196365" w:rsidP="00196365" w:rsidRDefault="00196365" w14:paraId="287D8A4C" w14:textId="77777777">
      <w:pPr>
        <w:suppressAutoHyphens/>
        <w:spacing w:after="0" w:line="240" w:lineRule="auto"/>
        <w:jc w:val="both"/>
        <w:rPr>
          <w:rFonts w:ascii="Times New Roman" w:hAnsi="Times New Roman" w:eastAsia="Times New Roman" w:cs="Times New Roman"/>
          <w:bCs/>
          <w:sz w:val="24"/>
          <w:szCs w:val="24"/>
          <w:lang w:val="es-MX" w:eastAsia="ar-SA"/>
        </w:rPr>
      </w:pPr>
      <w:r>
        <w:rPr>
          <w:rFonts w:ascii="Times New Roman" w:hAnsi="Times New Roman" w:eastAsia="Times New Roman" w:cs="Times New Roman"/>
          <w:bCs/>
          <w:sz w:val="24"/>
          <w:szCs w:val="24"/>
          <w:lang w:val="es-MX" w:eastAsia="ar-SA"/>
        </w:rPr>
        <w:t xml:space="preserve">Que, habiéndosele corrido traslado de la señalada impugnación, la reclamante cumplió con absolverla señalando que la cláusula respectiva establece la obligación de comunicar el robo al proveedor de GPS y/o a la empresa aseguradora, por lo que se cumplió al avisar a la aseguradora, así como citando los argumentos de derecho que sustentan su pretensión. </w:t>
      </w:r>
    </w:p>
    <w:p w:rsidR="00196365" w:rsidP="00196365" w:rsidRDefault="00196365" w14:paraId="732F5D93" w14:textId="77777777">
      <w:pPr>
        <w:pStyle w:val="Textoindependiente"/>
        <w:spacing w:line="240" w:lineRule="auto"/>
        <w:rPr>
          <w:bCs w:val="0"/>
          <w:color w:val="000000"/>
          <w:lang w:val="es-PE" w:eastAsia="es-PE"/>
        </w:rPr>
      </w:pPr>
    </w:p>
    <w:p w:rsidR="00196365" w:rsidP="00196365" w:rsidRDefault="00196365" w14:paraId="7B25B3AE" w14:textId="77777777">
      <w:pPr>
        <w:suppressAutoHyphens/>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00196365" w:rsidP="00196365" w:rsidRDefault="00196365" w14:paraId="706B0DF9" w14:textId="77777777">
      <w:pPr>
        <w:spacing w:line="240" w:lineRule="auto"/>
        <w:jc w:val="both"/>
        <w:rPr>
          <w:rFonts w:ascii="Times New Roman" w:hAnsi="Times New Roman" w:cs="Times New Roman"/>
          <w:b/>
          <w:sz w:val="24"/>
          <w:szCs w:val="24"/>
          <w:u w:val="single"/>
          <w:lang w:val="es-ES"/>
        </w:rPr>
      </w:pPr>
    </w:p>
    <w:p w:rsidR="00196365" w:rsidP="00196365" w:rsidRDefault="00196365" w14:paraId="5603FBB9"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00196365" w:rsidP="00196365" w:rsidRDefault="00196365" w14:paraId="71DCC231"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00196365" w:rsidP="16A1F065" w:rsidRDefault="00196365" w14:paraId="3D12D7C6" w14:textId="5CB36C90">
      <w:pPr>
        <w:spacing w:line="240" w:lineRule="auto"/>
        <w:jc w:val="both"/>
        <w:rPr>
          <w:rFonts w:ascii="Times New Roman" w:hAnsi="Times New Roman" w:cs="Times New Roman"/>
          <w:sz w:val="24"/>
          <w:szCs w:val="24"/>
          <w:lang w:val="es-PE"/>
        </w:rPr>
      </w:pPr>
      <w:r w:rsidRPr="16A1F065" w:rsidR="00196365">
        <w:rPr>
          <w:rFonts w:ascii="Times New Roman" w:hAnsi="Times New Roman" w:cs="Times New Roman"/>
          <w:b w:val="1"/>
          <w:bCs w:val="1"/>
          <w:sz w:val="24"/>
          <w:szCs w:val="24"/>
          <w:u w:val="single"/>
          <w:lang w:val="es-PE"/>
        </w:rPr>
        <w:t>SEGUNDO</w:t>
      </w:r>
      <w:r w:rsidRPr="16A1F065" w:rsidR="00196365">
        <w:rPr>
          <w:rFonts w:ascii="Times New Roman" w:hAnsi="Times New Roman" w:cs="Times New Roman"/>
          <w:b w:val="1"/>
          <w:bCs w:val="1"/>
          <w:sz w:val="24"/>
          <w:szCs w:val="24"/>
          <w:lang w:val="es-PE"/>
        </w:rPr>
        <w:t>:</w:t>
      </w:r>
      <w:r w:rsidRPr="16A1F065" w:rsidR="00196365">
        <w:rPr>
          <w:rFonts w:ascii="Times New Roman" w:hAnsi="Times New Roman" w:cs="Times New Roman"/>
          <w:sz w:val="24"/>
          <w:szCs w:val="24"/>
          <w:lang w:val="es-PE"/>
        </w:rPr>
        <w:t xml:space="preserve"> Atendiendo a los fundamentos de la impugnación interpuesta, se aprecia que </w:t>
      </w:r>
      <w:r w:rsidRPr="16A1F065" w:rsidR="63840017">
        <w:rPr>
          <w:rFonts w:ascii="Times New Roman" w:hAnsi="Times New Roman" w:cs="Times New Roman"/>
          <w:sz w:val="24"/>
          <w:szCs w:val="24"/>
          <w:lang w:val="es-PE"/>
        </w:rPr>
        <w:t>....................................</w:t>
      </w:r>
      <w:r w:rsidRPr="16A1F065" w:rsidR="3E4F8912">
        <w:rPr>
          <w:rFonts w:ascii="Times New Roman" w:hAnsi="Times New Roman" w:cs="Times New Roman"/>
          <w:sz w:val="24"/>
          <w:szCs w:val="24"/>
          <w:lang w:val="es-PE"/>
        </w:rPr>
        <w:t>.</w:t>
      </w:r>
      <w:r w:rsidRPr="16A1F065" w:rsidR="00196365">
        <w:rPr>
          <w:rFonts w:ascii="Times New Roman" w:hAnsi="Times New Roman" w:cs="Times New Roman"/>
          <w:sz w:val="24"/>
          <w:szCs w:val="24"/>
          <w:lang w:val="es-PE"/>
        </w:rPr>
        <w:t xml:space="preserve">reitera su posición ya expresada al presentar sus descargos a la reclamación, no presentando argumentos suficientes o prueba adicional alguna que permita a este colegiado apreciar y concluir que ha incurrido en error y que, por consiguiente, corresponde revocar lo resuelto.  </w:t>
      </w:r>
    </w:p>
    <w:p w:rsidR="00196365" w:rsidP="00196365" w:rsidRDefault="00196365" w14:paraId="16EC9814" w14:textId="77777777">
      <w:pPr>
        <w:spacing w:line="240" w:lineRule="auto"/>
        <w:jc w:val="both"/>
        <w:rPr>
          <w:rFonts w:ascii="Times New Roman" w:hAnsi="Times New Roman" w:cs="Times New Roman"/>
          <w:bCs/>
          <w:sz w:val="24"/>
          <w:szCs w:val="24"/>
          <w:lang w:val="es-PE"/>
        </w:rPr>
      </w:pPr>
      <w:r>
        <w:rPr>
          <w:rFonts w:ascii="Times New Roman" w:hAnsi="Times New Roman" w:cs="Times New Roman"/>
          <w:bCs/>
          <w:sz w:val="24"/>
          <w:szCs w:val="24"/>
          <w:lang w:val="es-PE"/>
        </w:rPr>
        <w:t xml:space="preserve">En efecto, en este caso, se concluyó que la aseguradora solo se liberara de la obligación si no se contrataba el servicio de GPS con un proveedor autorizado (lo que sí se cumplió estando el </w:t>
      </w:r>
      <w:r>
        <w:rPr>
          <w:rFonts w:ascii="Times New Roman" w:hAnsi="Times New Roman" w:cs="Times New Roman"/>
          <w:bCs/>
          <w:sz w:val="24"/>
          <w:szCs w:val="24"/>
          <w:lang w:val="es-PE"/>
        </w:rPr>
        <w:lastRenderedPageBreak/>
        <w:t>servicio activo); o, si no se avisaba a la compañía de seguros “o” al proveedor del robo, inmediatamente de ocurrido.</w:t>
      </w:r>
    </w:p>
    <w:p w:rsidR="00196365" w:rsidP="00196365" w:rsidRDefault="00196365" w14:paraId="0D93063E" w14:textId="77777777">
      <w:pPr>
        <w:spacing w:line="240" w:lineRule="auto"/>
        <w:jc w:val="both"/>
        <w:rPr>
          <w:rFonts w:ascii="Times New Roman" w:hAnsi="Times New Roman" w:cs="Times New Roman"/>
          <w:bCs/>
          <w:sz w:val="24"/>
          <w:szCs w:val="24"/>
          <w:lang w:val="es-PE"/>
        </w:rPr>
      </w:pPr>
      <w:r>
        <w:rPr>
          <w:rFonts w:ascii="Times New Roman" w:hAnsi="Times New Roman" w:cs="Times New Roman"/>
          <w:bCs/>
          <w:sz w:val="24"/>
          <w:szCs w:val="24"/>
          <w:lang w:val="es-PE"/>
        </w:rPr>
        <w:t xml:space="preserve">Asimismo, se verificó que se contactó en el más breve plazo a la aseguradora, quien pudo de inmediato comunicar del siniestro al proveedor de GPS para que pudiera rastrear el vehículo, </w:t>
      </w:r>
      <w:proofErr w:type="spellStart"/>
      <w:r>
        <w:rPr>
          <w:rFonts w:ascii="Times New Roman" w:hAnsi="Times New Roman" w:cs="Times New Roman"/>
          <w:bCs/>
          <w:sz w:val="24"/>
          <w:szCs w:val="24"/>
          <w:lang w:val="es-PE"/>
        </w:rPr>
        <w:t>mas</w:t>
      </w:r>
      <w:proofErr w:type="spellEnd"/>
      <w:r>
        <w:rPr>
          <w:rFonts w:ascii="Times New Roman" w:hAnsi="Times New Roman" w:cs="Times New Roman"/>
          <w:bCs/>
          <w:sz w:val="24"/>
          <w:szCs w:val="24"/>
          <w:lang w:val="es-PE"/>
        </w:rPr>
        <w:t xml:space="preserve"> aún si la póliza establecía que la comunicación podía hacerse a ella o al proveedor autorizado.  Si el reclamante, días después, a pedido de la aseguradora, se comunicó con el proveedor de GPS, ello no era óbice para que la aseguradora se comunicara antes con el proveedor, estando en capacidad de hacerlo; por lo que no fue la demora del reclamante lo que impidió el rastreo inmediato. </w:t>
      </w:r>
    </w:p>
    <w:p w:rsidR="00196365" w:rsidP="00196365" w:rsidRDefault="00196365" w14:paraId="5C633D3B" w14:textId="77777777">
      <w:pPr>
        <w:spacing w:line="240" w:lineRule="auto"/>
        <w:jc w:val="both"/>
        <w:rPr>
          <w:rFonts w:ascii="Times New Roman" w:hAnsi="Times New Roman" w:cs="Times New Roman"/>
          <w:bCs/>
          <w:sz w:val="24"/>
          <w:szCs w:val="24"/>
          <w:lang w:val="es-PE"/>
        </w:rPr>
      </w:pPr>
      <w:r>
        <w:rPr>
          <w:rFonts w:ascii="Times New Roman" w:hAnsi="Times New Roman"/>
          <w:sz w:val="24"/>
        </w:rPr>
        <w:t xml:space="preserve">Al respecto, este colegiado tiene a bien recoger el siguiente párrafo de la Resolución Impugnada: </w:t>
      </w:r>
    </w:p>
    <w:p w:rsidR="00196365" w:rsidP="16A1F065" w:rsidRDefault="00196365" w14:paraId="6630EFED" w14:textId="40D42BD2">
      <w:pPr>
        <w:spacing w:line="240" w:lineRule="auto"/>
        <w:ind w:left="720"/>
        <w:jc w:val="both"/>
        <w:rPr>
          <w:rFonts w:ascii="Times New Roman" w:hAnsi="Times New Roman" w:cs="Times New Roman"/>
          <w:i w:val="1"/>
          <w:iCs w:val="1"/>
          <w:sz w:val="24"/>
          <w:szCs w:val="24"/>
          <w:lang w:val="es-PE"/>
        </w:rPr>
      </w:pPr>
      <w:r>
        <w:rPr>
          <w:rFonts w:ascii="Times New Roman" w:hAnsi="Times New Roman"/>
          <w:sz w:val="24"/>
        </w:rPr>
        <w:t xml:space="preserve">“Es importante destacar que los asegurados no pueden contratar a cualquier empresa …………………, sino que se debe contratar con los proveedores autorizados por ...............; lo que se explica pues se entiende que la aseguradora debe poder contactarla rápidamente en caso de un siniestro, de modo tal de poder activar la ubicación en el menor breve plazo posible.” </w:t>
      </w:r>
    </w:p>
    <w:p w:rsidR="00196365" w:rsidP="00196365" w:rsidRDefault="00196365" w14:paraId="7E713BB9" w14:textId="77777777">
      <w:pPr>
        <w:spacing w:line="240" w:lineRule="auto"/>
        <w:jc w:val="both"/>
        <w:rPr>
          <w:rFonts w:ascii="Times New Roman" w:hAnsi="Times New Roman" w:cs="Times New Roman"/>
          <w:bCs/>
          <w:sz w:val="24"/>
          <w:szCs w:val="24"/>
          <w:lang w:val="es-PE"/>
        </w:rPr>
      </w:pPr>
      <w:r>
        <w:rPr>
          <w:rFonts w:ascii="Times New Roman" w:hAnsi="Times New Roman" w:cs="Times New Roman"/>
          <w:bCs/>
          <w:sz w:val="24"/>
          <w:szCs w:val="24"/>
          <w:lang w:val="es-PE"/>
        </w:rPr>
        <w:t xml:space="preserve">A mayor abundamiento a continuación se transcribe parte pertinente de la cláusula de garantía – Sistema Remoto de Rastreo Vehicular- contratada: </w:t>
      </w:r>
    </w:p>
    <w:p w:rsidR="1CB5E21E" w:rsidP="16A1F065" w:rsidRDefault="1CB5E21E" w14:paraId="7F79B713" w14:textId="7021A0B2">
      <w:pPr>
        <w:spacing w:line="240" w:lineRule="auto"/>
        <w:ind w:left="720"/>
        <w:jc w:val="both"/>
      </w:pPr>
      <w:r w:rsidR="1CB5E21E">
        <w:rPr>
          <w:rFonts w:ascii="Times New Roman" w:hAnsi="Times New Roman"/>
          <w:sz w:val="24"/>
        </w:rPr>
        <w:t>..............................................................................................................................................</w:t>
      </w:r>
    </w:p>
    <w:p w:rsidR="00196365" w:rsidP="00196365" w:rsidRDefault="00196365" w14:paraId="6880B9B7" w14:textId="77777777">
      <w:pPr>
        <w:spacing w:after="0"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En virtud de lo expuesto, este colegiado aprecia que no existe mérito para revocar la señalada resolución; por lo tanto,</w:t>
      </w:r>
    </w:p>
    <w:p w:rsidR="00196365" w:rsidP="00196365" w:rsidRDefault="00196365" w14:paraId="2D618D3B" w14:textId="77777777">
      <w:pPr>
        <w:spacing w:after="0" w:line="240" w:lineRule="auto"/>
        <w:jc w:val="both"/>
        <w:rPr>
          <w:rFonts w:ascii="Times New Roman" w:hAnsi="Times New Roman" w:cs="Times New Roman"/>
          <w:b/>
          <w:bCs/>
          <w:sz w:val="24"/>
          <w:szCs w:val="24"/>
          <w:lang w:val="es-PE"/>
        </w:rPr>
      </w:pPr>
    </w:p>
    <w:p w:rsidR="00196365" w:rsidP="00196365" w:rsidRDefault="00196365" w14:paraId="1273CB8E" w14:textId="77777777">
      <w:pPr>
        <w:spacing w:after="0" w:line="240" w:lineRule="auto"/>
        <w:jc w:val="both"/>
        <w:rPr>
          <w:rFonts w:ascii="Times New Roman" w:hAnsi="Times New Roman" w:cs="Times New Roman"/>
          <w:b/>
          <w:bCs/>
          <w:sz w:val="24"/>
          <w:szCs w:val="24"/>
          <w:lang w:val="es-PE"/>
        </w:rPr>
      </w:pPr>
      <w:r>
        <w:rPr>
          <w:rFonts w:ascii="Times New Roman" w:hAnsi="Times New Roman" w:cs="Times New Roman"/>
          <w:b/>
          <w:bCs/>
          <w:sz w:val="24"/>
          <w:szCs w:val="24"/>
          <w:lang w:val="es-PE"/>
        </w:rPr>
        <w:t>Resuelve:</w:t>
      </w:r>
    </w:p>
    <w:p w:rsidR="00196365" w:rsidP="00196365" w:rsidRDefault="00196365" w14:paraId="7F54C61F" w14:textId="77777777">
      <w:pPr>
        <w:spacing w:after="0" w:line="240" w:lineRule="auto"/>
        <w:jc w:val="both"/>
        <w:rPr>
          <w:rFonts w:ascii="Times New Roman" w:hAnsi="Times New Roman" w:cs="Times New Roman"/>
          <w:sz w:val="24"/>
          <w:szCs w:val="24"/>
          <w:lang w:val="es-PE"/>
        </w:rPr>
      </w:pPr>
    </w:p>
    <w:p w:rsidR="00196365" w:rsidP="00196365" w:rsidRDefault="00196365" w14:paraId="724194A9" w14:textId="2310F0D0">
      <w:pPr>
        <w:spacing w:after="0" w:line="240" w:lineRule="auto"/>
        <w:jc w:val="both"/>
        <w:rPr>
          <w:rFonts w:ascii="Times New Roman" w:hAnsi="Times New Roman" w:cs="Times New Roman"/>
          <w:sz w:val="24"/>
          <w:szCs w:val="24"/>
          <w:lang w:val="es-PE"/>
        </w:rPr>
      </w:pPr>
      <w:r w:rsidRPr="16A1F065" w:rsidR="00196365">
        <w:rPr>
          <w:rFonts w:ascii="Times New Roman" w:hAnsi="Times New Roman" w:cs="Times New Roman"/>
          <w:sz w:val="24"/>
          <w:szCs w:val="24"/>
          <w:lang w:val="es-PE"/>
        </w:rPr>
        <w:t xml:space="preserve">Declarar INFUNDADO el recurso impugnativo interpuesto por </w:t>
      </w:r>
      <w:r w:rsidRPr="16A1F065" w:rsidR="63840017">
        <w:rPr>
          <w:rFonts w:ascii="Times New Roman" w:hAnsi="Times New Roman" w:cs="Times New Roman"/>
          <w:sz w:val="24"/>
          <w:szCs w:val="24"/>
          <w:lang w:val="es-PE"/>
        </w:rPr>
        <w:t>....................................</w:t>
      </w:r>
      <w:r w:rsidRPr="16A1F065" w:rsidR="00196365">
        <w:rPr>
          <w:rFonts w:ascii="Times New Roman" w:hAnsi="Times New Roman" w:cs="Times New Roman"/>
          <w:sz w:val="24"/>
          <w:szCs w:val="24"/>
          <w:lang w:val="es-PE"/>
        </w:rPr>
        <w:t xml:space="preserve"> y, por consiguiente, ratificar la Resolución Nro. 195/23, de fecha 11 de octubre de 2023, que declaró FUNDADA la reclamación.</w:t>
      </w:r>
    </w:p>
    <w:p w:rsidR="00196365" w:rsidP="00196365" w:rsidRDefault="00196365" w14:paraId="58F10BE8" w14:textId="77777777">
      <w:pPr>
        <w:spacing w:after="0" w:line="240" w:lineRule="auto"/>
        <w:jc w:val="both"/>
        <w:rPr>
          <w:rFonts w:ascii="Times New Roman" w:hAnsi="Times New Roman" w:cs="Times New Roman"/>
          <w:sz w:val="24"/>
          <w:szCs w:val="24"/>
          <w:lang w:val="es-PE"/>
        </w:rPr>
      </w:pPr>
    </w:p>
    <w:p w:rsidRPr="00007954" w:rsidR="00231C58" w:rsidP="005A40A4" w:rsidRDefault="0091528B" w14:paraId="2B9BAAC8" w14:textId="7D7425C1">
      <w:pPr>
        <w:suppressAutoHyphens/>
        <w:spacing w:after="0" w:line="240" w:lineRule="auto"/>
        <w:jc w:val="right"/>
        <w:outlineLvl w:val="0"/>
        <w:rPr>
          <w:rFonts w:ascii="Times New Roman" w:hAnsi="Times New Roman" w:eastAsia="Arial Unicode MS" w:cs="Times New Roman"/>
          <w:sz w:val="23"/>
          <w:szCs w:val="23"/>
          <w:lang w:val="es-PE" w:eastAsia="ar-SA"/>
        </w:rPr>
      </w:pPr>
      <w:r w:rsidRPr="00007954">
        <w:rPr>
          <w:rFonts w:ascii="Times New Roman" w:hAnsi="Times New Roman" w:eastAsia="Arial Unicode MS" w:cs="Times New Roman"/>
          <w:sz w:val="24"/>
          <w:szCs w:val="23"/>
          <w:lang w:val="es-PE" w:eastAsia="ar-SA"/>
        </w:rPr>
        <w:lastRenderedPageBreak/>
        <w:t xml:space="preserve">Lima, </w:t>
      </w:r>
      <w:r w:rsidRPr="00007954" w:rsidR="00570ED6">
        <w:rPr>
          <w:rFonts w:ascii="Times New Roman" w:hAnsi="Times New Roman" w:eastAsia="Arial Unicode MS" w:cs="Times New Roman"/>
          <w:sz w:val="24"/>
          <w:szCs w:val="23"/>
          <w:lang w:val="es-PE" w:eastAsia="ar-SA"/>
        </w:rPr>
        <w:t>0</w:t>
      </w:r>
      <w:r w:rsidRPr="00007954" w:rsidR="00901835">
        <w:rPr>
          <w:rFonts w:ascii="Times New Roman" w:hAnsi="Times New Roman" w:eastAsia="Arial Unicode MS" w:cs="Times New Roman"/>
          <w:sz w:val="24"/>
          <w:szCs w:val="23"/>
          <w:lang w:val="es-PE" w:eastAsia="ar-SA"/>
        </w:rPr>
        <w:t>8</w:t>
      </w:r>
      <w:r w:rsidRPr="00007954" w:rsidR="00570ED6">
        <w:rPr>
          <w:rFonts w:ascii="Times New Roman" w:hAnsi="Times New Roman" w:eastAsia="Arial Unicode MS" w:cs="Times New Roman"/>
          <w:sz w:val="24"/>
          <w:szCs w:val="23"/>
          <w:lang w:val="es-PE" w:eastAsia="ar-SA"/>
        </w:rPr>
        <w:t xml:space="preserve"> </w:t>
      </w:r>
      <w:r w:rsidRPr="00007954" w:rsidR="00707C99">
        <w:rPr>
          <w:rFonts w:ascii="Times New Roman" w:hAnsi="Times New Roman" w:eastAsia="Arial Unicode MS" w:cs="Times New Roman"/>
          <w:sz w:val="24"/>
          <w:szCs w:val="23"/>
          <w:lang w:val="es-PE" w:eastAsia="ar-SA"/>
        </w:rPr>
        <w:t xml:space="preserve">de </w:t>
      </w:r>
      <w:r w:rsidRPr="00007954" w:rsidR="00570ED6">
        <w:rPr>
          <w:rFonts w:ascii="Times New Roman" w:hAnsi="Times New Roman" w:eastAsia="Arial Unicode MS" w:cs="Times New Roman"/>
          <w:sz w:val="24"/>
          <w:szCs w:val="23"/>
          <w:lang w:val="es-PE" w:eastAsia="ar-SA"/>
        </w:rPr>
        <w:t>noviembre</w:t>
      </w:r>
      <w:r w:rsidRPr="00007954" w:rsidR="002F478E">
        <w:rPr>
          <w:rFonts w:ascii="Times New Roman" w:hAnsi="Times New Roman" w:eastAsia="Arial Unicode MS" w:cs="Times New Roman"/>
          <w:sz w:val="24"/>
          <w:szCs w:val="23"/>
          <w:lang w:val="es-PE" w:eastAsia="ar-SA"/>
        </w:rPr>
        <w:t xml:space="preserve"> </w:t>
      </w:r>
      <w:r w:rsidRPr="00007954" w:rsidR="00F06498">
        <w:rPr>
          <w:rFonts w:ascii="Times New Roman" w:hAnsi="Times New Roman" w:eastAsia="Arial Unicode MS" w:cs="Times New Roman"/>
          <w:sz w:val="24"/>
          <w:szCs w:val="23"/>
          <w:lang w:val="es-PE" w:eastAsia="ar-SA"/>
        </w:rPr>
        <w:t>de 202</w:t>
      </w:r>
      <w:r w:rsidRPr="00007954" w:rsidR="00B340D4">
        <w:rPr>
          <w:rFonts w:ascii="Times New Roman" w:hAnsi="Times New Roman" w:eastAsia="Arial Unicode MS" w:cs="Times New Roman"/>
          <w:sz w:val="24"/>
          <w:szCs w:val="23"/>
          <w:lang w:val="es-PE" w:eastAsia="ar-SA"/>
        </w:rPr>
        <w:t>3</w:t>
      </w:r>
      <w:r w:rsidRPr="00007954" w:rsidR="00707C99">
        <w:rPr>
          <w:rFonts w:ascii="Times New Roman" w:hAnsi="Times New Roman" w:eastAsia="Times New Roman" w:cs="Times New Roman"/>
          <w:sz w:val="24"/>
          <w:szCs w:val="23"/>
          <w:lang w:val="es-PE" w:eastAsia="ar-SA"/>
        </w:rPr>
        <w:t xml:space="preserve"> </w:t>
      </w:r>
    </w:p>
    <w:p w:rsidRPr="00007954"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007954"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007954">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007954"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007954" w:rsidR="00942733" w:rsidP="00942733" w:rsidRDefault="00942733" w14:paraId="4EB70007" w14:textId="73D2551D">
      <w:pPr>
        <w:spacing w:after="0" w:line="360" w:lineRule="auto"/>
        <w:jc w:val="center"/>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 xml:space="preserve">Rolando Eyzaguirre </w:t>
      </w:r>
      <w:proofErr w:type="spellStart"/>
      <w:r w:rsidRPr="00007954">
        <w:rPr>
          <w:rFonts w:ascii="Times New Roman" w:hAnsi="Times New Roman" w:cs="Times New Roman"/>
          <w:b/>
          <w:bCs/>
          <w:sz w:val="24"/>
          <w:szCs w:val="23"/>
          <w:lang w:val="es-PE"/>
        </w:rPr>
        <w:t>Maccan</w:t>
      </w:r>
      <w:proofErr w:type="spellEnd"/>
      <w:r w:rsidRPr="00007954">
        <w:rPr>
          <w:rFonts w:ascii="Times New Roman" w:hAnsi="Times New Roman" w:cs="Times New Roman"/>
          <w:b/>
          <w:bCs/>
          <w:sz w:val="24"/>
          <w:szCs w:val="23"/>
          <w:lang w:val="es-PE"/>
        </w:rPr>
        <w:t xml:space="preserve"> – </w:t>
      </w:r>
      <w:proofErr w:type="gramStart"/>
      <w:r w:rsidRPr="00007954">
        <w:rPr>
          <w:rFonts w:ascii="Times New Roman" w:hAnsi="Times New Roman" w:cs="Times New Roman"/>
          <w:b/>
          <w:bCs/>
          <w:sz w:val="24"/>
          <w:szCs w:val="23"/>
          <w:lang w:val="es-PE"/>
        </w:rPr>
        <w:t>Presidente</w:t>
      </w:r>
      <w:proofErr w:type="gramEnd"/>
    </w:p>
    <w:p w:rsidRPr="00007954" w:rsidR="00206718" w:rsidP="00206718" w:rsidRDefault="00206718" w14:paraId="21F577B8" w14:textId="77777777">
      <w:pPr>
        <w:spacing w:after="0" w:line="360" w:lineRule="auto"/>
        <w:jc w:val="center"/>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María Eugenia Valdez Fernández Baca – Vocal</w:t>
      </w:r>
    </w:p>
    <w:p w:rsidRPr="00007954" w:rsidR="00556526" w:rsidP="00556526" w:rsidRDefault="00556526" w14:paraId="354585F8" w14:textId="79417450">
      <w:pPr>
        <w:spacing w:after="0" w:line="360" w:lineRule="auto"/>
        <w:jc w:val="center"/>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Omar Alfaro Villanueva – Vocal</w:t>
      </w:r>
    </w:p>
    <w:p w:rsidRPr="00AF1C99" w:rsidR="00C671F5" w:rsidP="16A1F065" w:rsidRDefault="00C671F5" w14:paraId="2C3A0205" w14:textId="099A536D">
      <w:pPr>
        <w:spacing w:after="0" w:line="360" w:lineRule="auto"/>
        <w:jc w:val="center"/>
        <w:rPr>
          <w:rFonts w:ascii="Times New Roman" w:hAnsi="Times New Roman" w:cs="Times New Roman"/>
          <w:sz w:val="23"/>
          <w:szCs w:val="23"/>
          <w:lang w:val="es-PE"/>
        </w:rPr>
      </w:pPr>
      <w:r w:rsidRPr="16A1F065" w:rsidR="00986F0C">
        <w:rPr>
          <w:rFonts w:ascii="Times New Roman" w:hAnsi="Times New Roman" w:cs="Times New Roman"/>
          <w:b w:val="1"/>
          <w:bCs w:val="1"/>
          <w:sz w:val="24"/>
          <w:szCs w:val="23"/>
          <w:lang w:val="es-PE"/>
        </w:rPr>
        <w:t>Gonzalo Abad del Busto – Vocal</w:t>
      </w:r>
    </w:p>
    <w:sectPr w:rsidRPr="00AF1C99"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4D67" w:rsidP="00784355" w:rsidRDefault="007C4D67" w14:paraId="50719536" w14:textId="77777777">
      <w:pPr>
        <w:spacing w:after="0" w:line="240" w:lineRule="auto"/>
      </w:pPr>
      <w:r>
        <w:separator/>
      </w:r>
    </w:p>
  </w:endnote>
  <w:endnote w:type="continuationSeparator" w:id="0">
    <w:p w:rsidR="007C4D67" w:rsidP="00784355" w:rsidRDefault="007C4D67" w14:paraId="3FD97FB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4D67" w:rsidP="00784355" w:rsidRDefault="007C4D67" w14:paraId="3DDF78A1" w14:textId="77777777">
      <w:pPr>
        <w:spacing w:after="0" w:line="240" w:lineRule="auto"/>
      </w:pPr>
      <w:r>
        <w:separator/>
      </w:r>
    </w:p>
  </w:footnote>
  <w:footnote w:type="continuationSeparator" w:id="0">
    <w:p w:rsidR="007C4D67" w:rsidP="00784355" w:rsidRDefault="007C4D67" w14:paraId="0C94B3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1"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6"/>
  </w:num>
  <w:num w:numId="3" w16cid:durableId="333261791">
    <w:abstractNumId w:val="14"/>
  </w:num>
  <w:num w:numId="4" w16cid:durableId="1770345525">
    <w:abstractNumId w:val="13"/>
  </w:num>
  <w:num w:numId="5" w16cid:durableId="1816144979">
    <w:abstractNumId w:val="15"/>
  </w:num>
  <w:num w:numId="6" w16cid:durableId="1304313350">
    <w:abstractNumId w:val="0"/>
  </w:num>
  <w:num w:numId="7" w16cid:durableId="16682880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9"/>
  </w:num>
  <w:num w:numId="17" w16cid:durableId="1799882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5C3F1"/>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103B"/>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4D5"/>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D627646"/>
    <w:rsid w:val="150FBD99"/>
    <w:rsid w:val="16A1F065"/>
    <w:rsid w:val="1CB5E21E"/>
    <w:rsid w:val="1EC199E4"/>
    <w:rsid w:val="28AF24B9"/>
    <w:rsid w:val="2C831069"/>
    <w:rsid w:val="35854B96"/>
    <w:rsid w:val="3E4F8912"/>
    <w:rsid w:val="432B61F3"/>
    <w:rsid w:val="63840017"/>
    <w:rsid w:val="6766ED0D"/>
    <w:rsid w:val="69BAED6A"/>
    <w:rsid w:val="7024EC8B"/>
    <w:rsid w:val="7176F050"/>
    <w:rsid w:val="7D9C1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1A4A9F1-3F06-4228-800C-0A7D57B82301}"/>
</file>

<file path=customXml/itemProps3.xml><?xml version="1.0" encoding="utf-8"?>
<ds:datastoreItem xmlns:ds="http://schemas.openxmlformats.org/officeDocument/2006/customXml" ds:itemID="{AFB78CFA-7069-46BF-A306-CCABC2396FFD}"/>
</file>

<file path=customXml/itemProps4.xml><?xml version="1.0" encoding="utf-8"?>
<ds:datastoreItem xmlns:ds="http://schemas.openxmlformats.org/officeDocument/2006/customXml" ds:itemID="{0483A6E6-C782-4E0F-A183-FF4F7E9F1F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183</cp:revision>
  <cp:lastPrinted>2023-11-08T16:23:00Z</cp:lastPrinted>
  <dcterms:created xsi:type="dcterms:W3CDTF">2023-02-14T22:37:00Z</dcterms:created>
  <dcterms:modified xsi:type="dcterms:W3CDTF">2025-12-04T14:31:11Z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