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42F97" w:rsidR="00707C99" w:rsidP="00272F4F" w:rsidRDefault="00201C0D" w14:paraId="19FE0E96" w14:textId="171E703B">
      <w:pPr>
        <w:spacing w:after="0" w:line="240" w:lineRule="auto"/>
        <w:jc w:val="center"/>
        <w:rPr>
          <w:rFonts w:ascii="Times New Roman" w:hAnsi="Times New Roman" w:cs="Times New Roman"/>
          <w:b/>
          <w:sz w:val="24"/>
          <w:szCs w:val="24"/>
          <w:lang w:val="es-PE" w:eastAsia="ar-SA"/>
        </w:rPr>
      </w:pPr>
      <w:r w:rsidRPr="00F42F97">
        <w:rPr>
          <w:rFonts w:ascii="Times New Roman" w:hAnsi="Times New Roman" w:cs="Times New Roman"/>
          <w:b/>
          <w:sz w:val="24"/>
          <w:szCs w:val="24"/>
          <w:lang w:val="es-PE" w:eastAsia="ar-SA"/>
        </w:rPr>
        <w:t xml:space="preserve">RESOLUCIÓN DE RECURSO IMPUGNATIVO </w:t>
      </w:r>
      <w:proofErr w:type="spellStart"/>
      <w:r w:rsidRPr="00F42F97" w:rsidR="00707C99">
        <w:rPr>
          <w:rFonts w:ascii="Times New Roman" w:hAnsi="Times New Roman" w:cs="Times New Roman"/>
          <w:b/>
          <w:sz w:val="24"/>
          <w:szCs w:val="24"/>
          <w:lang w:val="es-PE" w:eastAsia="ar-SA"/>
        </w:rPr>
        <w:t>N°</w:t>
      </w:r>
      <w:proofErr w:type="spellEnd"/>
      <w:r w:rsidRPr="00F42F97" w:rsidR="00707C99">
        <w:rPr>
          <w:rFonts w:ascii="Times New Roman" w:hAnsi="Times New Roman" w:cs="Times New Roman"/>
          <w:b/>
          <w:sz w:val="24"/>
          <w:szCs w:val="24"/>
          <w:lang w:val="es-PE" w:eastAsia="ar-SA"/>
        </w:rPr>
        <w:t xml:space="preserve"> </w:t>
      </w:r>
      <w:r w:rsidRPr="00F42F97" w:rsidR="00516293">
        <w:rPr>
          <w:rFonts w:ascii="Times New Roman" w:hAnsi="Times New Roman" w:cs="Times New Roman"/>
          <w:b/>
          <w:sz w:val="24"/>
          <w:szCs w:val="24"/>
          <w:lang w:val="es-PE" w:eastAsia="ar-SA"/>
        </w:rPr>
        <w:t>0</w:t>
      </w:r>
      <w:r w:rsidRPr="00F42F97" w:rsidR="00BA3C20">
        <w:rPr>
          <w:rFonts w:ascii="Times New Roman" w:hAnsi="Times New Roman" w:cs="Times New Roman"/>
          <w:b/>
          <w:sz w:val="24"/>
          <w:szCs w:val="24"/>
          <w:lang w:val="es-PE" w:eastAsia="ar-SA"/>
        </w:rPr>
        <w:t>5</w:t>
      </w:r>
      <w:r w:rsidRPr="00F42F97" w:rsidR="0008486A">
        <w:rPr>
          <w:rFonts w:ascii="Times New Roman" w:hAnsi="Times New Roman" w:cs="Times New Roman"/>
          <w:b/>
          <w:sz w:val="24"/>
          <w:szCs w:val="24"/>
          <w:lang w:val="es-PE" w:eastAsia="ar-SA"/>
        </w:rPr>
        <w:t>5</w:t>
      </w:r>
      <w:r w:rsidRPr="00F42F97" w:rsidR="00C671F5">
        <w:rPr>
          <w:rFonts w:ascii="Times New Roman" w:hAnsi="Times New Roman" w:cs="Times New Roman"/>
          <w:b/>
          <w:sz w:val="24"/>
          <w:szCs w:val="24"/>
          <w:lang w:val="es-PE" w:eastAsia="ar-SA"/>
        </w:rPr>
        <w:t>/2</w:t>
      </w:r>
      <w:r w:rsidRPr="00F42F97" w:rsidR="00AB7BFE">
        <w:rPr>
          <w:rFonts w:ascii="Times New Roman" w:hAnsi="Times New Roman" w:cs="Times New Roman"/>
          <w:b/>
          <w:sz w:val="24"/>
          <w:szCs w:val="24"/>
          <w:lang w:val="es-PE" w:eastAsia="ar-SA"/>
        </w:rPr>
        <w:t>3</w:t>
      </w:r>
    </w:p>
    <w:p w:rsidRPr="00F42F97" w:rsidR="00C202F1" w:rsidP="00C202F1" w:rsidRDefault="00C202F1" w14:paraId="07656E09" w14:textId="77777777">
      <w:pPr>
        <w:spacing w:after="0" w:line="240" w:lineRule="auto"/>
        <w:jc w:val="both"/>
        <w:rPr>
          <w:rFonts w:ascii="Times New Roman" w:hAnsi="Times New Roman" w:cs="Times New Roman"/>
          <w:b/>
          <w:sz w:val="24"/>
          <w:szCs w:val="24"/>
          <w:lang w:val="es-PE"/>
        </w:rPr>
      </w:pPr>
    </w:p>
    <w:p w:rsidRPr="00F42F97" w:rsidR="00F42F97" w:rsidP="00F42F97" w:rsidRDefault="00F42F97" w14:paraId="01420CDE" w14:textId="77777777">
      <w:pPr>
        <w:spacing w:line="240" w:lineRule="auto"/>
        <w:jc w:val="both"/>
        <w:outlineLvl w:val="0"/>
        <w:rPr>
          <w:rFonts w:ascii="Times New Roman" w:hAnsi="Times New Roman" w:cs="Times New Roman"/>
          <w:b/>
          <w:bCs/>
          <w:sz w:val="24"/>
          <w:szCs w:val="24"/>
          <w:lang w:val="es-MX"/>
        </w:rPr>
      </w:pPr>
      <w:r w:rsidRPr="00F42F97">
        <w:rPr>
          <w:rFonts w:ascii="Times New Roman" w:hAnsi="Times New Roman" w:cs="Times New Roman"/>
          <w:b/>
          <w:bCs/>
          <w:sz w:val="24"/>
          <w:szCs w:val="24"/>
          <w:lang w:val="es-MX"/>
        </w:rPr>
        <w:t>VISTOS:</w:t>
      </w:r>
    </w:p>
    <w:p w:rsidRPr="00F42F97" w:rsidR="00F42F97" w:rsidP="00F42F97" w:rsidRDefault="00F42F97" w14:paraId="00690B85" w14:textId="36384FCD">
      <w:pPr>
        <w:pStyle w:val="Default"/>
        <w:spacing w:line="240" w:lineRule="auto"/>
        <w:jc w:val="both"/>
        <w:rPr>
          <w:rFonts w:ascii="Times New Roman" w:hAnsi="Times New Roman" w:cs="Times New Roman"/>
        </w:rPr>
      </w:pPr>
      <w:r>
        <w:rPr>
          <w:rFonts w:ascii="Times New Roman" w:hAnsi="Times New Roman"/>
          <w:sz w:val="24"/>
        </w:rPr>
        <w:t xml:space="preserve">El Recurso de Impugnación presentado por ..................................................................... respecto de la Resolución Nro. 141/23, expedida por esta Defensoría del Asegurado (DEFASEG), conforme a la cual se declaró INFUNDADA la reclamación interpuesta contra ..................................... respecto del ………………… – PÓLIZA N° ………………… ..........................</w:t>
      </w:r>
    </w:p>
    <w:p w:rsidR="00F42F97" w:rsidP="00F42F97" w:rsidRDefault="00F42F97" w14:paraId="30162ABA" w14:textId="77777777">
      <w:pPr>
        <w:pStyle w:val="Textoindependiente"/>
        <w:spacing w:line="240" w:lineRule="auto"/>
      </w:pPr>
    </w:p>
    <w:p w:rsidRPr="00F42F97" w:rsidR="00F42F97" w:rsidP="00F42F97" w:rsidRDefault="00F42F97" w14:paraId="6136EC6B" w14:textId="5FD09BCB">
      <w:pPr>
        <w:pStyle w:val="Textoindependiente"/>
        <w:spacing w:line="240" w:lineRule="auto"/>
      </w:pPr>
      <w:r>
        <w:rPr>
          <w:rFonts w:ascii="Times New Roman" w:hAnsi="Times New Roman"/>
          <w:sz w:val="24"/>
        </w:rPr>
        <w:t xml:space="preserve">Que, el indicado recurso se sustenta resumidamente en lo siguiente: (1) su padre desde el 8 de abril de 2022 tomó un préstamo de ampliación de su primer préstamo en CREDISCOTIA FINANCIERA por la suma de S/ 13,312.50 incluyendo el seguro de desgravamen, y que a la fecha se debe S/ 12,582.31; (2) de acuerdo a lo consultado con la entidad CREDISCOTIA FINANCIERA su padre obtuvo un préstamo en agosto del 2021 y a partir del 8 de abril del 2022 una ampliación del préstamo; (3) cuando su padre obtuvo el préstamo en mención, en ningún momento firmó algún documento ni tomo conocimiento verbal donde se le haya consultado si arrastraba antecedentes de salud, tal como o hacen otras aseguradoras, al respecto de las enfermedades preexistentes que no son coberturadas, indujeron al error al asegurado puesto que nunca tomo conocimiento de ello; (4) la aseguradora toma como enfermedad pre existente algún resfriado, o asma presentados desde años anterior, sin leer por completo la Historia Clínica, teniendo en cuenta que la enfermedad de su padre fue una ........................................................................ y no fue la causa principal de la muerte como menciona la Historia Clínica; (5) con el rechazo del seguro del desgravamen la aseguradora da entender que toda persona que ha tenido algún tipo de enfermedad respiratoria por resfriado y que ha sido atendido hace años, es una enfermedad pre-existente y que no debería cubrir el seguro de desgravamen, teniendo solo como clientes a personas completamente sanas que no hayan cursado un hospital; (6) en la declaración de su padre no se menciona enfermedad pulmonar o .............................................. como enfermedad preexistente; (6) la causa principal de la cual murió su padre fue de un paro cardiaco por Insuficiencia Respiratoria, la cual fue a consecuencia de una Neumonía Hospitalaria, contraída en el Hospital durante el tiempo que estuvo internado, tal como se puede ver en el certificado de defunción; (7) hasta el momento los médicos no saben cuándo o como se contrajo la Neumonía Hospitalaria, y eso se ve en los informes médicos realizado a su padre; </w:t>
      </w:r>
    </w:p>
    <w:p w:rsidRPr="00F42F97" w:rsidR="00F42F97" w:rsidP="00F42F97" w:rsidRDefault="00F42F97" w14:paraId="1318BE55" w14:textId="77777777">
      <w:pPr>
        <w:pStyle w:val="Textoindependiente"/>
        <w:spacing w:line="240" w:lineRule="auto"/>
      </w:pPr>
    </w:p>
    <w:p w:rsidRPr="00F42F97" w:rsidR="00F42F97" w:rsidP="00F42F97" w:rsidRDefault="00F42F97" w14:paraId="374A8737" w14:textId="4543260F">
      <w:pPr>
        <w:pStyle w:val="Textoindependiente"/>
        <w:spacing w:line="240" w:lineRule="auto"/>
        <w:rPr>
          <w:color w:val="000000"/>
          <w:lang w:val="es-PE" w:eastAsia="es-PE"/>
        </w:rPr>
      </w:pPr>
      <w:r>
        <w:rPr>
          <w:rFonts w:ascii="Times New Roman" w:hAnsi="Times New Roman"/>
          <w:sz w:val="24"/>
        </w:rPr>
        <w:t xml:space="preserve">Que, la aseguradora absolvió el traslado del recurso interpuesto, manifestando en síntesis lo siguiente: (1) de acuerdo a la información brindada por CREDISCOTIA, el asegurado sí tuvo un seguro de Desgravamen por el préstamo adquirido en agosto de 2021, sin embargo, este seguro fue anulado el 08 de abril del 2022 debido a que el asegurado adquirió un nuevo préstamo con CREDISCOTIA; (2) existe un nuevo cronograma de pagos por el préstamo adquirido el 08 de abril de 2022, razón por la cual, no es cierto que el asegurado solicitó una ampliación del préstamo, siendo que no se trató de una ampliación sino de un nuevo crédito con un nuevo seguro de Vida para préstamos Personales; (3) no se indujo a error al asegurado al no haber solicitado sus antecedentes de salud, ni es cierto que no se la habría informado de que las enfermedades preexistentes no se encontraban coberturadas; (4) la compañía sí informó al asegurado que las enfermedades preexistentes se encontraban excluidas del contrato de seguro, situación que puede verificarse de la lectura del Anexo 1-A presentado en los descargos, donde se visualiza la firma del señor ........ en la Solicitud-Certificado debidamente firmada (5) en cuanto a que no se le habría solicitado los antecedentes de salud al señor ........, al ser el Seguro de Vida un seguro masivo, no se requirió un proceso de suscripción para la adquisición del seguro, siendo que, para este tipo de seguros la compañía no realiza el rechazo por reticencia o declaración inexacta; (6) de acuerdo al Certificado de Defunción, la causa básica consignada en dicho documento expresamente señala que fue una .............................................. que fue padecía desde hace 4 años anteriores al fallecimiento del asegurado, razón por la cual, califica dicha enfermedad como preexistente; (7) la reclamante indicó en el Informe Oral que, el señor………………… al momento de solicitar el préstamo ante CREDISCOTIA su padre ya padecía de .............................................. y que parte del préstamo adquirido fue para realizar el tratamiento de su enfermedad, situación que, adicional a los documentos presentados, acredita que el asegurado padecía de una enfermedad preexistente con anterioridad a la contratación del seguro, enfermedad que derivó en su lamentable fallecimiento. </w:t>
      </w:r>
    </w:p>
    <w:p w:rsidRPr="00F42F97" w:rsidR="00F42F97" w:rsidP="00F42F97" w:rsidRDefault="00F42F97" w14:paraId="413215A2" w14:textId="77777777">
      <w:pPr>
        <w:pStyle w:val="Textoindependiente"/>
        <w:spacing w:line="240" w:lineRule="auto"/>
      </w:pPr>
    </w:p>
    <w:p w:rsidRPr="00F42F97" w:rsidR="00F42F97" w:rsidP="00F42F97" w:rsidRDefault="00F42F97" w14:paraId="3974BAB9" w14:textId="77777777">
      <w:pPr>
        <w:pStyle w:val="Textoindependiente"/>
        <w:tabs>
          <w:tab w:val="left" w:pos="930"/>
        </w:tabs>
        <w:spacing w:line="240" w:lineRule="auto"/>
      </w:pPr>
      <w:r w:rsidRPr="00F42F97">
        <w:rPr>
          <w:rFonts w:ascii="Times New Roman" w:hAnsi="Times New Roman"/>
          <w:sz w:val="24"/>
        </w:rPr>
        <w:t>Que, atendiendo a lo expuesto, esta Defensoría resuelve finalmente lo siguiente:</w:t>
      </w:r>
    </w:p>
    <w:p w:rsidR="00F42F97" w:rsidP="00F42F97" w:rsidRDefault="00F42F97" w14:paraId="182F9DEC" w14:textId="77777777">
      <w:pPr>
        <w:spacing w:line="240" w:lineRule="auto"/>
        <w:jc w:val="both"/>
        <w:rPr>
          <w:rFonts w:ascii="Times New Roman" w:hAnsi="Times New Roman" w:cs="Times New Roman"/>
          <w:b/>
          <w:sz w:val="24"/>
          <w:szCs w:val="24"/>
          <w:u w:val="single"/>
          <w:lang w:val="es-PE"/>
        </w:rPr>
      </w:pPr>
    </w:p>
    <w:p w:rsidRPr="00F42F97" w:rsidR="00F42F97" w:rsidP="00F42F97" w:rsidRDefault="00F42F97" w14:paraId="0DFAD605" w14:textId="11558081">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rsidRPr="00F42F97" w:rsidR="00F42F97" w:rsidP="00F42F97" w:rsidRDefault="00F42F97" w14:paraId="40C669E3" w14:textId="77777777">
      <w:pPr>
        <w:spacing w:line="240" w:lineRule="auto"/>
        <w:jc w:val="both"/>
        <w:rPr>
          <w:rFonts w:ascii="Times New Roman" w:hAnsi="Times New Roman" w:cs="Times New Roman"/>
          <w:bCs/>
          <w:sz w:val="24"/>
          <w:szCs w:val="24"/>
          <w:lang w:val="es-ES"/>
        </w:rPr>
      </w:pPr>
      <w:r>
        <w:rPr>
          <w:rFonts w:ascii="Times New Roman" w:hAnsi="Times New Roman"/>
          <w:sz w:val="24"/>
        </w:rPr>
        <w:t xml:space="preserve">Conforme a ello, en el caso concreto, la reclamante sustenta su impugnación al discrepar del contenido de la Resolución Impugnada sin aportar nueva prueba.</w:t>
      </w:r>
    </w:p>
    <w:p w:rsidRPr="00F42F97" w:rsidR="00F42F97" w:rsidP="00F42F97" w:rsidRDefault="00F42F97" w14:paraId="1C0AB3E9" w14:textId="5FD3314F">
      <w:pPr>
        <w:spacing w:line="240" w:lineRule="auto"/>
        <w:jc w:val="both"/>
        <w:rPr>
          <w:rFonts w:ascii="Times New Roman" w:hAnsi="Times New Roman" w:cs="Times New Roman"/>
          <w:sz w:val="24"/>
          <w:szCs w:val="24"/>
          <w:lang w:val="es-PE"/>
        </w:rPr>
      </w:pPr>
      <w:r>
        <w:rPr>
          <w:rFonts w:ascii="Times New Roman" w:hAnsi="Times New Roman"/>
          <w:sz w:val="24"/>
        </w:rPr>
        <w:t xml:space="preserve">SEGUNDO: Conforme al sexto considerando de la Resolución Impugnada, esta Defensoría verificó que en el presente caso se cumplió con informar oportuna, adecuada y suficientemente al asegurado sobre los alcances del seguro contratado, en particular sobre el régimen de exclusiones. En efecto, se verificó que en autos obra copia del Certificado No ............................... del Seguro de Vida de Préstamos Personales Póliza Soles ......................... firmado por el reclamante y que en dicho documento expresamente se advierte que el seguro no cubre las preexistencias a la fecha de la celebración del contrato de seguro.</w:t>
      </w:r>
    </w:p>
    <w:p w:rsidRPr="00F42F97" w:rsidR="00F42F97" w:rsidP="00F42F97" w:rsidRDefault="00F42F97" w14:paraId="064811F4" w14:textId="4F624134">
      <w:pPr>
        <w:spacing w:line="240" w:lineRule="auto"/>
        <w:jc w:val="both"/>
        <w:rPr>
          <w:rFonts w:ascii="Times New Roman" w:hAnsi="Times New Roman" w:cs="Times New Roman"/>
          <w:sz w:val="24"/>
          <w:szCs w:val="24"/>
          <w:lang w:val="es-PE"/>
        </w:rPr>
      </w:pPr>
      <w:r>
        <w:rPr>
          <w:rFonts w:ascii="Times New Roman" w:hAnsi="Times New Roman"/>
          <w:sz w:val="24"/>
        </w:rPr>
        <w:t xml:space="preserve">Asimismo, de acuerdo con el séptimo considerando de la Resolución Impugnada, el Colegiado comprobó que de los antecedentes clínicos del asegurado, se verifica que con anterioridad al 8 de abril de 2022 fecha de la contratación del seguro, el asegurado padecía de .............................................., enfermedad que, según el Certificado de Defunción, fue la causa básica del lamentable fallecimiento del asegurado.</w:t>
      </w:r>
    </w:p>
    <w:p w:rsidRPr="00F42F97" w:rsidR="00F42F97" w:rsidP="00F42F97" w:rsidRDefault="00F42F97" w14:paraId="1C9EEFAE" w14:textId="1F2E8DDD">
      <w:pPr>
        <w:spacing w:line="240" w:lineRule="auto"/>
        <w:jc w:val="both"/>
        <w:rPr>
          <w:rFonts w:ascii="Times New Roman" w:hAnsi="Times New Roman" w:cs="Times New Roman"/>
          <w:sz w:val="24"/>
          <w:szCs w:val="24"/>
          <w:lang w:val="es-PE"/>
        </w:rPr>
      </w:pPr>
      <w:r w:rsidRPr="74068DC1" w:rsidR="00F42F97">
        <w:rPr>
          <w:rFonts w:ascii="Times New Roman" w:hAnsi="Times New Roman" w:cs="Times New Roman"/>
          <w:sz w:val="24"/>
          <w:szCs w:val="24"/>
          <w:lang w:val="es-PE"/>
        </w:rPr>
        <w:t xml:space="preserve">En virtud de esas constataciones, la Defensoría llegó a la conclusión que se evidencia la materialización del supuesto de exclusión previsto en el Seguro de Vida de Préstamos Personales Póliza Soles </w:t>
      </w:r>
      <w:r w:rsidRPr="74068DC1" w:rsidR="5BD0F97A">
        <w:rPr>
          <w:rFonts w:ascii="Times New Roman" w:hAnsi="Times New Roman" w:cs="Times New Roman"/>
          <w:sz w:val="24"/>
          <w:szCs w:val="24"/>
          <w:lang w:val="es-PE"/>
        </w:rPr>
        <w:t>.........................</w:t>
      </w:r>
      <w:r w:rsidRPr="74068DC1" w:rsidR="00F42F97">
        <w:rPr>
          <w:rFonts w:ascii="Times New Roman" w:hAnsi="Times New Roman" w:cs="Times New Roman"/>
          <w:sz w:val="24"/>
          <w:szCs w:val="24"/>
          <w:lang w:val="es-PE"/>
        </w:rPr>
        <w:t>, de manera que encuentra legítimo el rechazo de cobertura formulado por la aseguradora.</w:t>
      </w:r>
    </w:p>
    <w:p w:rsidRPr="00F42F97" w:rsidR="00F42F97" w:rsidP="00F42F97" w:rsidRDefault="00F42F97" w14:paraId="5A0604CC" w14:textId="77777777">
      <w:pPr>
        <w:spacing w:line="240" w:lineRule="auto"/>
        <w:jc w:val="both"/>
        <w:rPr>
          <w:rFonts w:ascii="Times New Roman" w:hAnsi="Times New Roman" w:cs="Times New Roman"/>
          <w:sz w:val="24"/>
          <w:szCs w:val="24"/>
          <w:lang w:val="es-PE"/>
        </w:rPr>
      </w:pPr>
      <w:r w:rsidRPr="00F42F97">
        <w:rPr>
          <w:rFonts w:ascii="Times New Roman" w:hAnsi="Times New Roman" w:cs="Times New Roman"/>
          <w:b/>
          <w:sz w:val="24"/>
          <w:szCs w:val="24"/>
          <w:u w:val="single"/>
          <w:lang w:val="es-PE"/>
        </w:rPr>
        <w:t>TERCERO</w:t>
      </w:r>
      <w:r w:rsidRPr="00F42F97">
        <w:rPr>
          <w:rFonts w:ascii="Times New Roman" w:hAnsi="Times New Roman" w:cs="Times New Roman"/>
          <w:b/>
          <w:sz w:val="24"/>
          <w:szCs w:val="24"/>
          <w:lang w:val="es-PE"/>
        </w:rPr>
        <w:t>:</w:t>
      </w:r>
      <w:r w:rsidRPr="00F42F97">
        <w:rPr>
          <w:rFonts w:ascii="Times New Roman" w:hAnsi="Times New Roman" w:cs="Times New Roman"/>
          <w:sz w:val="24"/>
          <w:szCs w:val="24"/>
          <w:lang w:val="es-PE"/>
        </w:rPr>
        <w:t xml:space="preserve"> En atención a las consideraciones precedentes, este colegiado aprecia finalmente que no se ha evidenciado error ni falta de motivación, por lo que no existe mérito suficiente ni razón objetiva para revocar la resolución recurrida.</w:t>
      </w:r>
    </w:p>
    <w:p w:rsidRPr="00F42F97" w:rsidR="00F42F97" w:rsidP="00F42F97" w:rsidRDefault="00F42F97" w14:paraId="0A4F1EE1" w14:textId="77777777">
      <w:pPr>
        <w:spacing w:line="240" w:lineRule="auto"/>
        <w:jc w:val="both"/>
        <w:rPr>
          <w:rFonts w:ascii="Times New Roman" w:hAnsi="Times New Roman" w:cs="Times New Roman"/>
          <w:b/>
          <w:sz w:val="24"/>
          <w:szCs w:val="24"/>
          <w:lang w:val="es-PE"/>
        </w:rPr>
      </w:pPr>
      <w:r w:rsidRPr="00F42F97">
        <w:rPr>
          <w:rFonts w:ascii="Times New Roman" w:hAnsi="Times New Roman" w:cs="Times New Roman"/>
          <w:b/>
          <w:sz w:val="24"/>
          <w:szCs w:val="24"/>
          <w:lang w:val="es-PE"/>
        </w:rPr>
        <w:t>RESUELVE:</w:t>
      </w:r>
    </w:p>
    <w:p w:rsidRPr="00F42F97" w:rsidR="00F42F97" w:rsidP="00F42F97" w:rsidRDefault="00F42F97" w14:paraId="18605E8E" w14:textId="77777777">
      <w:pPr>
        <w:spacing w:line="240" w:lineRule="auto"/>
        <w:jc w:val="both"/>
        <w:rPr>
          <w:rFonts w:ascii="Times New Roman" w:hAnsi="Times New Roman" w:cs="Times New Roman"/>
          <w:sz w:val="24"/>
          <w:szCs w:val="24"/>
          <w:lang w:val="es-PE"/>
        </w:rPr>
      </w:pPr>
    </w:p>
    <w:p w:rsidRPr="00F42F97" w:rsidR="00196365" w:rsidP="00F42F97" w:rsidRDefault="00F42F97" w14:paraId="58F10BE8" w14:textId="00612116">
      <w:pPr>
        <w:spacing w:line="240" w:lineRule="auto"/>
        <w:jc w:val="both"/>
        <w:rPr>
          <w:rFonts w:ascii="Times New Roman" w:hAnsi="Times New Roman" w:cs="Times New Roman"/>
          <w:sz w:val="24"/>
          <w:szCs w:val="24"/>
          <w:lang w:val="es-PE"/>
        </w:rPr>
      </w:pPr>
      <w:r>
        <w:rPr>
          <w:rFonts w:ascii="Times New Roman" w:hAnsi="Times New Roman"/>
          <w:sz w:val="24"/>
        </w:rPr>
        <w:t xml:space="preserve">Declarar INFUNDADO el Recurso de Impugnación interpuesto y, por consiguiente, CONFIRMAR la Resolución Nro. 141/23.</w:t>
      </w:r>
    </w:p>
    <w:p w:rsidRPr="00F42F97" w:rsidR="00231C58" w:rsidP="005A40A4" w:rsidRDefault="0091528B" w14:paraId="2B9BAAC8" w14:textId="7D7425C1">
      <w:pPr>
        <w:suppressAutoHyphens/>
        <w:spacing w:after="0" w:line="240" w:lineRule="auto"/>
        <w:jc w:val="right"/>
        <w:outlineLvl w:val="0"/>
        <w:rPr>
          <w:rFonts w:ascii="Times New Roman" w:hAnsi="Times New Roman" w:eastAsia="Arial Unicode MS" w:cs="Times New Roman"/>
          <w:sz w:val="24"/>
          <w:szCs w:val="24"/>
          <w:lang w:val="es-PE" w:eastAsia="ar-SA"/>
        </w:rPr>
      </w:pPr>
      <w:r w:rsidRPr="00F42F97">
        <w:rPr>
          <w:rFonts w:ascii="Times New Roman" w:hAnsi="Times New Roman" w:eastAsia="Arial Unicode MS" w:cs="Times New Roman"/>
          <w:sz w:val="24"/>
          <w:szCs w:val="24"/>
          <w:lang w:val="es-PE" w:eastAsia="ar-SA"/>
        </w:rPr>
        <w:t xml:space="preserve">Lima, </w:t>
      </w:r>
      <w:r w:rsidRPr="00F42F97" w:rsidR="00570ED6">
        <w:rPr>
          <w:rFonts w:ascii="Times New Roman" w:hAnsi="Times New Roman" w:eastAsia="Arial Unicode MS" w:cs="Times New Roman"/>
          <w:sz w:val="24"/>
          <w:szCs w:val="24"/>
          <w:lang w:val="es-PE" w:eastAsia="ar-SA"/>
        </w:rPr>
        <w:t>0</w:t>
      </w:r>
      <w:r w:rsidRPr="00F42F97" w:rsidR="00901835">
        <w:rPr>
          <w:rFonts w:ascii="Times New Roman" w:hAnsi="Times New Roman" w:eastAsia="Arial Unicode MS" w:cs="Times New Roman"/>
          <w:sz w:val="24"/>
          <w:szCs w:val="24"/>
          <w:lang w:val="es-PE" w:eastAsia="ar-SA"/>
        </w:rPr>
        <w:t>8</w:t>
      </w:r>
      <w:r w:rsidRPr="00F42F97" w:rsidR="00570ED6">
        <w:rPr>
          <w:rFonts w:ascii="Times New Roman" w:hAnsi="Times New Roman" w:eastAsia="Arial Unicode MS" w:cs="Times New Roman"/>
          <w:sz w:val="24"/>
          <w:szCs w:val="24"/>
          <w:lang w:val="es-PE" w:eastAsia="ar-SA"/>
        </w:rPr>
        <w:t xml:space="preserve"> </w:t>
      </w:r>
      <w:r w:rsidRPr="00F42F97" w:rsidR="00707C99">
        <w:rPr>
          <w:rFonts w:ascii="Times New Roman" w:hAnsi="Times New Roman" w:eastAsia="Arial Unicode MS" w:cs="Times New Roman"/>
          <w:sz w:val="24"/>
          <w:szCs w:val="24"/>
          <w:lang w:val="es-PE" w:eastAsia="ar-SA"/>
        </w:rPr>
        <w:t xml:space="preserve">de </w:t>
      </w:r>
      <w:r w:rsidRPr="00F42F97" w:rsidR="00570ED6">
        <w:rPr>
          <w:rFonts w:ascii="Times New Roman" w:hAnsi="Times New Roman" w:eastAsia="Arial Unicode MS" w:cs="Times New Roman"/>
          <w:sz w:val="24"/>
          <w:szCs w:val="24"/>
          <w:lang w:val="es-PE" w:eastAsia="ar-SA"/>
        </w:rPr>
        <w:t>noviembre</w:t>
      </w:r>
      <w:r w:rsidRPr="00F42F97" w:rsidR="002F478E">
        <w:rPr>
          <w:rFonts w:ascii="Times New Roman" w:hAnsi="Times New Roman" w:eastAsia="Arial Unicode MS" w:cs="Times New Roman"/>
          <w:sz w:val="24"/>
          <w:szCs w:val="24"/>
          <w:lang w:val="es-PE" w:eastAsia="ar-SA"/>
        </w:rPr>
        <w:t xml:space="preserve"> </w:t>
      </w:r>
      <w:r w:rsidRPr="00F42F97" w:rsidR="00F06498">
        <w:rPr>
          <w:rFonts w:ascii="Times New Roman" w:hAnsi="Times New Roman" w:eastAsia="Arial Unicode MS" w:cs="Times New Roman"/>
          <w:sz w:val="24"/>
          <w:szCs w:val="24"/>
          <w:lang w:val="es-PE" w:eastAsia="ar-SA"/>
        </w:rPr>
        <w:t>de 202</w:t>
      </w:r>
      <w:r w:rsidRPr="00F42F97" w:rsidR="00B340D4">
        <w:rPr>
          <w:rFonts w:ascii="Times New Roman" w:hAnsi="Times New Roman" w:eastAsia="Arial Unicode MS" w:cs="Times New Roman"/>
          <w:sz w:val="24"/>
          <w:szCs w:val="24"/>
          <w:lang w:val="es-PE" w:eastAsia="ar-SA"/>
        </w:rPr>
        <w:t>3</w:t>
      </w:r>
      <w:r w:rsidRPr="00F42F97" w:rsidR="00707C99">
        <w:rPr>
          <w:rFonts w:ascii="Times New Roman" w:hAnsi="Times New Roman" w:eastAsia="Times New Roman" w:cs="Times New Roman"/>
          <w:sz w:val="24"/>
          <w:szCs w:val="24"/>
          <w:lang w:val="es-PE" w:eastAsia="ar-SA"/>
        </w:rPr>
        <w:t xml:space="preserve"> </w:t>
      </w:r>
    </w:p>
    <w:p w:rsidRPr="00F42F97"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F42F97"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F42F97">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F42F97"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F42F97" w:rsidR="00942733" w:rsidP="00942733" w:rsidRDefault="00942733" w14:paraId="4EB70007" w14:textId="73D2551D">
      <w:pPr>
        <w:spacing w:after="0" w:line="360" w:lineRule="auto"/>
        <w:jc w:val="center"/>
        <w:rPr>
          <w:rFonts w:ascii="Times New Roman" w:hAnsi="Times New Roman" w:cs="Times New Roman"/>
          <w:b/>
          <w:bCs/>
          <w:sz w:val="24"/>
          <w:szCs w:val="24"/>
          <w:lang w:val="es-PE"/>
        </w:rPr>
      </w:pPr>
      <w:r w:rsidRPr="00F42F97">
        <w:rPr>
          <w:rFonts w:ascii="Times New Roman" w:hAnsi="Times New Roman" w:cs="Times New Roman"/>
          <w:b/>
          <w:bCs/>
          <w:sz w:val="24"/>
          <w:szCs w:val="24"/>
          <w:lang w:val="es-PE"/>
        </w:rPr>
        <w:t xml:space="preserve">Rolando Eyzaguirre </w:t>
      </w:r>
      <w:proofErr w:type="spellStart"/>
      <w:r w:rsidRPr="00F42F97">
        <w:rPr>
          <w:rFonts w:ascii="Times New Roman" w:hAnsi="Times New Roman" w:cs="Times New Roman"/>
          <w:b/>
          <w:bCs/>
          <w:sz w:val="24"/>
          <w:szCs w:val="24"/>
          <w:lang w:val="es-PE"/>
        </w:rPr>
        <w:t>Maccan</w:t>
      </w:r>
      <w:proofErr w:type="spellEnd"/>
      <w:r w:rsidRPr="00F42F97">
        <w:rPr>
          <w:rFonts w:ascii="Times New Roman" w:hAnsi="Times New Roman" w:cs="Times New Roman"/>
          <w:b/>
          <w:bCs/>
          <w:sz w:val="24"/>
          <w:szCs w:val="24"/>
          <w:lang w:val="es-PE"/>
        </w:rPr>
        <w:t xml:space="preserve"> – </w:t>
      </w:r>
      <w:proofErr w:type="gramStart"/>
      <w:r w:rsidRPr="00F42F97">
        <w:rPr>
          <w:rFonts w:ascii="Times New Roman" w:hAnsi="Times New Roman" w:cs="Times New Roman"/>
          <w:b/>
          <w:bCs/>
          <w:sz w:val="24"/>
          <w:szCs w:val="24"/>
          <w:lang w:val="es-PE"/>
        </w:rPr>
        <w:t>Presidente</w:t>
      </w:r>
      <w:proofErr w:type="gramEnd"/>
    </w:p>
    <w:p w:rsidRPr="00F42F97" w:rsidR="00206718" w:rsidP="00206718" w:rsidRDefault="00206718" w14:paraId="21F577B8" w14:textId="77777777">
      <w:pPr>
        <w:spacing w:after="0" w:line="360" w:lineRule="auto"/>
        <w:jc w:val="center"/>
        <w:rPr>
          <w:rFonts w:ascii="Times New Roman" w:hAnsi="Times New Roman" w:cs="Times New Roman"/>
          <w:b/>
          <w:bCs/>
          <w:sz w:val="24"/>
          <w:szCs w:val="24"/>
          <w:lang w:val="es-PE"/>
        </w:rPr>
      </w:pPr>
      <w:r w:rsidRPr="00F42F97">
        <w:rPr>
          <w:rFonts w:ascii="Times New Roman" w:hAnsi="Times New Roman" w:cs="Times New Roman"/>
          <w:b/>
          <w:bCs/>
          <w:sz w:val="24"/>
          <w:szCs w:val="24"/>
          <w:lang w:val="es-PE"/>
        </w:rPr>
        <w:t>María Eugenia Valdez Fernández Baca – Vocal</w:t>
      </w:r>
    </w:p>
    <w:p w:rsidRPr="00F42F97" w:rsidR="00556526" w:rsidP="00556526" w:rsidRDefault="00556526" w14:paraId="354585F8" w14:textId="79417450">
      <w:pPr>
        <w:spacing w:after="0" w:line="360" w:lineRule="auto"/>
        <w:jc w:val="center"/>
        <w:rPr>
          <w:rFonts w:ascii="Times New Roman" w:hAnsi="Times New Roman" w:cs="Times New Roman"/>
          <w:b/>
          <w:bCs/>
          <w:sz w:val="24"/>
          <w:szCs w:val="24"/>
          <w:lang w:val="es-PE"/>
        </w:rPr>
      </w:pPr>
      <w:r w:rsidRPr="00F42F97">
        <w:rPr>
          <w:rFonts w:ascii="Times New Roman" w:hAnsi="Times New Roman" w:cs="Times New Roman"/>
          <w:b/>
          <w:bCs/>
          <w:sz w:val="24"/>
          <w:szCs w:val="24"/>
          <w:lang w:val="es-PE"/>
        </w:rPr>
        <w:t>Omar Alfaro Villanueva – Vocal</w:t>
      </w:r>
    </w:p>
    <w:p w:rsidRPr="00F42F97" w:rsidR="00986F0C" w:rsidP="00986F0C" w:rsidRDefault="00986F0C" w14:paraId="6E8DFFF0" w14:textId="77777777">
      <w:pPr>
        <w:spacing w:after="0" w:line="360" w:lineRule="auto"/>
        <w:jc w:val="center"/>
        <w:rPr>
          <w:rFonts w:ascii="Times New Roman" w:hAnsi="Times New Roman" w:cs="Times New Roman"/>
          <w:sz w:val="24"/>
          <w:szCs w:val="24"/>
          <w:lang w:val="es-PE"/>
        </w:rPr>
      </w:pPr>
      <w:r w:rsidRPr="00F42F97">
        <w:rPr>
          <w:rFonts w:ascii="Times New Roman" w:hAnsi="Times New Roman" w:cs="Times New Roman"/>
          <w:b/>
          <w:bCs/>
          <w:sz w:val="24"/>
          <w:szCs w:val="24"/>
          <w:lang w:val="es-PE"/>
        </w:rPr>
        <w:t>Gonzalo Abad del Busto – Vocal</w:t>
      </w:r>
    </w:p>
    <w:p w:rsidRPr="009F75DF"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F1C99"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AF1C99"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AF1C9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F1C99"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F1C99"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C4D67" w:rsidP="00784355" w:rsidRDefault="007C4D67" w14:paraId="50719536" w14:textId="77777777">
      <w:pPr>
        <w:spacing w:after="0" w:line="240" w:lineRule="auto"/>
      </w:pPr>
      <w:r>
        <w:separator/>
      </w:r>
    </w:p>
  </w:endnote>
  <w:endnote w:type="continuationSeparator" w:id="0">
    <w:p w:rsidR="007C4D67" w:rsidP="00784355" w:rsidRDefault="007C4D67" w14:paraId="3FD97FB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C4D67" w:rsidP="00784355" w:rsidRDefault="007C4D67" w14:paraId="3DDF78A1" w14:textId="77777777">
      <w:pPr>
        <w:spacing w:after="0" w:line="240" w:lineRule="auto"/>
      </w:pPr>
      <w:r>
        <w:separator/>
      </w:r>
    </w:p>
  </w:footnote>
  <w:footnote w:type="continuationSeparator" w:id="0">
    <w:p w:rsidR="007C4D67" w:rsidP="00784355" w:rsidRDefault="007C4D67" w14:paraId="0C94B37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1"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6"/>
  </w:num>
  <w:num w:numId="3" w16cid:durableId="333261791">
    <w:abstractNumId w:val="14"/>
  </w:num>
  <w:num w:numId="4" w16cid:durableId="1770345525">
    <w:abstractNumId w:val="13"/>
  </w:num>
  <w:num w:numId="5" w16cid:durableId="1816144979">
    <w:abstractNumId w:val="15"/>
  </w:num>
  <w:num w:numId="6" w16cid:durableId="1304313350">
    <w:abstractNumId w:val="0"/>
  </w:num>
  <w:num w:numId="7" w16cid:durableId="16682880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9"/>
  </w:num>
  <w:num w:numId="17" w16cid:durableId="17998823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3EC5"/>
    <w:rsid w:val="00076E73"/>
    <w:rsid w:val="00077B6F"/>
    <w:rsid w:val="00080A9A"/>
    <w:rsid w:val="000835CB"/>
    <w:rsid w:val="00083D69"/>
    <w:rsid w:val="00083F50"/>
    <w:rsid w:val="00084148"/>
    <w:rsid w:val="0008486A"/>
    <w:rsid w:val="00091C09"/>
    <w:rsid w:val="00092684"/>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96365"/>
    <w:rsid w:val="001A008A"/>
    <w:rsid w:val="001A3395"/>
    <w:rsid w:val="001A43EC"/>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718F"/>
    <w:rsid w:val="004B155C"/>
    <w:rsid w:val="004B27E2"/>
    <w:rsid w:val="004B51ED"/>
    <w:rsid w:val="004C1C34"/>
    <w:rsid w:val="004C34ED"/>
    <w:rsid w:val="004C51EC"/>
    <w:rsid w:val="004C5A91"/>
    <w:rsid w:val="004E65DD"/>
    <w:rsid w:val="004F0319"/>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47AE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96F8E"/>
    <w:rsid w:val="008A1D12"/>
    <w:rsid w:val="008A3A47"/>
    <w:rsid w:val="008B47F3"/>
    <w:rsid w:val="008B5C61"/>
    <w:rsid w:val="008B69A3"/>
    <w:rsid w:val="008B760D"/>
    <w:rsid w:val="008D1D39"/>
    <w:rsid w:val="008D5049"/>
    <w:rsid w:val="008D6DDF"/>
    <w:rsid w:val="008D721C"/>
    <w:rsid w:val="008E33FD"/>
    <w:rsid w:val="008F1161"/>
    <w:rsid w:val="008F479E"/>
    <w:rsid w:val="009011F1"/>
    <w:rsid w:val="0090183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56D8"/>
    <w:rsid w:val="009D6055"/>
    <w:rsid w:val="009D7BF6"/>
    <w:rsid w:val="009E5F11"/>
    <w:rsid w:val="009E7994"/>
    <w:rsid w:val="009F143B"/>
    <w:rsid w:val="009F2EEB"/>
    <w:rsid w:val="009F75DF"/>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770E4"/>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103B"/>
    <w:rsid w:val="00D322D9"/>
    <w:rsid w:val="00D422AF"/>
    <w:rsid w:val="00D4253A"/>
    <w:rsid w:val="00D43EB8"/>
    <w:rsid w:val="00D50B42"/>
    <w:rsid w:val="00D50BAF"/>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B74D5"/>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03389B6E"/>
    <w:rsid w:val="1925453C"/>
    <w:rsid w:val="1C2B1112"/>
    <w:rsid w:val="226293B3"/>
    <w:rsid w:val="2375E6CF"/>
    <w:rsid w:val="27670AA8"/>
    <w:rsid w:val="2C071BC0"/>
    <w:rsid w:val="318C1C15"/>
    <w:rsid w:val="36891D76"/>
    <w:rsid w:val="390AF188"/>
    <w:rsid w:val="5BD0F97A"/>
    <w:rsid w:val="6219F41F"/>
    <w:rsid w:val="74068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59727FA-65FC-477E-8ED8-BE1954A68C0A}"/>
</file>

<file path=customXml/itemProps3.xml><?xml version="1.0" encoding="utf-8"?>
<ds:datastoreItem xmlns:ds="http://schemas.openxmlformats.org/officeDocument/2006/customXml" ds:itemID="{C5866F73-401D-4BB6-9609-7EEF9B24B74B}"/>
</file>

<file path=customXml/itemProps4.xml><?xml version="1.0" encoding="utf-8"?>
<ds:datastoreItem xmlns:ds="http://schemas.openxmlformats.org/officeDocument/2006/customXml" ds:itemID="{82766F92-DAAF-47F4-AF9D-FE6881C2CD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186</cp:revision>
  <cp:lastPrinted>2023-11-08T16:26:00Z</cp:lastPrinted>
  <dcterms:created xsi:type="dcterms:W3CDTF">2023-02-14T22:37:00Z</dcterms:created>
  <dcterms:modified xsi:type="dcterms:W3CDTF">2025-12-04T15:17:44Z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