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91E44" w:rsidR="00707C99" w:rsidP="00272F4F" w:rsidRDefault="00201C0D" w14:paraId="19FE0E96" w14:textId="7A65A09E">
      <w:pPr>
        <w:spacing w:after="0" w:line="240" w:lineRule="auto"/>
        <w:jc w:val="center"/>
        <w:rPr>
          <w:rFonts w:ascii="Times New Roman" w:hAnsi="Times New Roman" w:cs="Times New Roman"/>
          <w:b/>
          <w:sz w:val="24"/>
          <w:szCs w:val="24"/>
          <w:lang w:val="es-PE" w:eastAsia="ar-SA"/>
        </w:rPr>
      </w:pPr>
      <w:r w:rsidRPr="00A91E44">
        <w:rPr>
          <w:rFonts w:ascii="Times New Roman" w:hAnsi="Times New Roman" w:cs="Times New Roman"/>
          <w:b/>
          <w:sz w:val="24"/>
          <w:szCs w:val="24"/>
          <w:lang w:val="es-PE" w:eastAsia="ar-SA"/>
        </w:rPr>
        <w:t xml:space="preserve">RESOLUCIÓN DE RECURSO IMPUGNATIVO </w:t>
      </w:r>
      <w:r w:rsidRPr="00A91E44" w:rsidR="00707C99">
        <w:rPr>
          <w:rFonts w:ascii="Times New Roman" w:hAnsi="Times New Roman" w:cs="Times New Roman"/>
          <w:b/>
          <w:sz w:val="24"/>
          <w:szCs w:val="24"/>
          <w:lang w:val="es-PE" w:eastAsia="ar-SA"/>
        </w:rPr>
        <w:t xml:space="preserve">N° </w:t>
      </w:r>
      <w:r w:rsidRPr="00A91E44" w:rsidR="00516293">
        <w:rPr>
          <w:rFonts w:ascii="Times New Roman" w:hAnsi="Times New Roman" w:cs="Times New Roman"/>
          <w:b/>
          <w:sz w:val="24"/>
          <w:szCs w:val="24"/>
          <w:lang w:val="es-PE" w:eastAsia="ar-SA"/>
        </w:rPr>
        <w:t>0</w:t>
      </w:r>
      <w:r w:rsidRPr="00A91E44" w:rsidR="00BA3C20">
        <w:rPr>
          <w:rFonts w:ascii="Times New Roman" w:hAnsi="Times New Roman" w:cs="Times New Roman"/>
          <w:b/>
          <w:sz w:val="24"/>
          <w:szCs w:val="24"/>
          <w:lang w:val="es-PE" w:eastAsia="ar-SA"/>
        </w:rPr>
        <w:t>5</w:t>
      </w:r>
      <w:r w:rsidRPr="00A91E44" w:rsidR="00B448A4">
        <w:rPr>
          <w:rFonts w:ascii="Times New Roman" w:hAnsi="Times New Roman" w:cs="Times New Roman"/>
          <w:b/>
          <w:sz w:val="24"/>
          <w:szCs w:val="24"/>
          <w:lang w:val="es-PE" w:eastAsia="ar-SA"/>
        </w:rPr>
        <w:t>6</w:t>
      </w:r>
      <w:r w:rsidRPr="00A91E44" w:rsidR="00C671F5">
        <w:rPr>
          <w:rFonts w:ascii="Times New Roman" w:hAnsi="Times New Roman" w:cs="Times New Roman"/>
          <w:b/>
          <w:sz w:val="24"/>
          <w:szCs w:val="24"/>
          <w:lang w:val="es-PE" w:eastAsia="ar-SA"/>
        </w:rPr>
        <w:t>/2</w:t>
      </w:r>
      <w:r w:rsidRPr="00A91E44" w:rsidR="00AB7BFE">
        <w:rPr>
          <w:rFonts w:ascii="Times New Roman" w:hAnsi="Times New Roman" w:cs="Times New Roman"/>
          <w:b/>
          <w:sz w:val="24"/>
          <w:szCs w:val="24"/>
          <w:lang w:val="es-PE" w:eastAsia="ar-SA"/>
        </w:rPr>
        <w:t>3</w:t>
      </w:r>
    </w:p>
    <w:p w:rsidRPr="00A91E44"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A91E44" w:rsidR="00A91E44" w:rsidP="00A91E44" w:rsidRDefault="00A91E44" w14:paraId="1038D820" w14:textId="77777777">
      <w:pPr>
        <w:spacing w:line="240" w:lineRule="auto"/>
        <w:jc w:val="both"/>
        <w:outlineLvl w:val="0"/>
        <w:rPr>
          <w:rFonts w:ascii="Times New Roman" w:hAnsi="Times New Roman" w:cs="Times New Roman"/>
          <w:b/>
          <w:bCs/>
          <w:sz w:val="24"/>
          <w:szCs w:val="24"/>
          <w:lang w:val="es-MX"/>
        </w:rPr>
      </w:pPr>
      <w:r w:rsidRPr="00A91E44">
        <w:rPr>
          <w:rFonts w:ascii="Times New Roman" w:hAnsi="Times New Roman" w:cs="Times New Roman"/>
          <w:b/>
          <w:bCs/>
          <w:sz w:val="24"/>
          <w:szCs w:val="24"/>
          <w:lang w:val="es-MX"/>
        </w:rPr>
        <w:t>VISTOS:</w:t>
      </w:r>
    </w:p>
    <w:p w:rsidRPr="00A91E44" w:rsidR="00A91E44" w:rsidP="00A91E44" w:rsidRDefault="00A91E44" w14:paraId="6615F9E7" w14:textId="7145C190">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140/23, expedida por el Órgano Resolutivo Unipersonal de esta Defensoría del Asegurado (DEFASEG), conforme a la cual se declaró INFUNDADA la reclamación interpuesta contra ........................................ respecto al ………………… - PÓLIZA No ...........................;</w:t>
      </w:r>
    </w:p>
    <w:p w:rsidRPr="00A91E44" w:rsidR="00A91E44" w:rsidP="00A91E44" w:rsidRDefault="00A91E44" w14:paraId="74210661" w14:textId="77777777">
      <w:pPr>
        <w:pStyle w:val="Default"/>
        <w:spacing w:line="240" w:lineRule="auto"/>
        <w:jc w:val="both"/>
        <w:rPr>
          <w:rFonts w:ascii="Times New Roman" w:hAnsi="Times New Roman" w:cs="Times New Roman"/>
        </w:rPr>
      </w:pPr>
    </w:p>
    <w:p w:rsidRPr="00A91E44" w:rsidR="00A91E44" w:rsidP="00A91E44" w:rsidRDefault="00A91E44" w14:paraId="31FEB3EC" w14:textId="48E44AB7">
      <w:pPr>
        <w:pStyle w:val="Textoindependiente"/>
        <w:spacing w:line="240" w:lineRule="auto"/>
        <w:rPr>
          <w:lang w:val="es-PE" w:eastAsia="es-PE"/>
        </w:rPr>
      </w:pPr>
      <w:r>
        <w:rPr>
          <w:rFonts w:ascii="Times New Roman" w:hAnsi="Times New Roman"/>
          <w:sz w:val="24"/>
        </w:rPr>
        <w:t xml:space="preserve">Que, el indicado recurso se sustenta resumidamente en lo siguiente: (1) la aseguradora entra en contradicción al decir que se presentó voluntariamente a rendir la prueba del polígrafo, cuando no es así, ya que esta al ser una carga (según lo que se lee del descargo presentado por la aseguradora) es de obligatorio cumplimiento, además de no presentarse a rendir dicha prueba, procederían a cerrar la atención del siniestro, es decir dar por rechazada la cobertura; (2) adjunta como medio probatorio la grabación de la llamada mediante la cual agendó su cita para pasar el examen poligráfico, en donde le pregunta al Sr. ..................... (poligrafista), quien le contestó la llamada, si podía estar en compañía de su abogado mientras le toman el examen del polígrafo, a lo cual él contesta que no, a la oficina tengo que entrar solo, aduciendo que es una regla no entrar con acompañante; (3) adjunta como medio probatorio tres (03) fotografías, en las cuales se puede apreciar que su abogado le acompañó el día 10-04-2023 a las instalaciones de la empresa ........................................................................, sin embargo no pudo ingresar con el reclamante a la oficina donde se toma la prueba poligráfica; (4) no se ha cumplido con los requisitos mínimos que amparen la admisibilidad del polígrafo al prohibirme contar con la presencia de su abogado al momento de someterse a dicha prueba, asimismo se le está determinando responsabilidad (al afirmar que ha cometido fraude respecto al siniestro) con los resultados del examen poligráfico vulnerando la presunción de inocencia, ya que el resultado de este examen no tiene la calidad de prueba suficiente; (5) por otro lado el tribunal constitucional señala que la realización del examen poligráfico se justifica solo para los siguientes temas: la vida de las personas, la defensa y la seguridad nacional, así como los poderes del estado y el orden constitucional, más no para probar la existencia de un siniestro; (6) según los usos y costumbres (fuente del derecho) en el Seguro de Protección de Tarjetas, señala que el siniestro se acredita solo con la declaración del asegurado y la respectiva denuncia policial, así como con el bloqueo de la tarjeta si fuera el caso, partiendo del principio de buena fe, requisitos que cumplió en todo momento. sobre este aspecto cabe referirse a la quinta regla de interpretación de la Ley del Contrato de Seguro que señala: “el uso y práctica generalmente observados en el comercio en contratos de igual naturaleza, y especialmente la costumbre mercantil, prevalecen sobre cualquier sentido que se pretenda dar a las palabras”. </w:t>
      </w:r>
    </w:p>
    <w:p w:rsidRPr="00A91E44" w:rsidR="00A91E44" w:rsidP="00A91E44" w:rsidRDefault="00A91E44" w14:paraId="134921CE" w14:textId="77777777">
      <w:pPr>
        <w:pStyle w:val="Textoindependiente"/>
        <w:spacing w:line="240" w:lineRule="auto"/>
        <w:rPr>
          <w:b/>
          <w:bCs w:val="0"/>
          <w:lang w:val="es-PE" w:eastAsia="es-PE"/>
        </w:rPr>
      </w:pPr>
    </w:p>
    <w:p w:rsidRPr="00A91E44" w:rsidR="00A91E44" w:rsidP="00A91E44" w:rsidRDefault="00A91E44" w14:paraId="77A290BB" w14:textId="66FB9FA2">
      <w:pPr>
        <w:pStyle w:val="Textoindependiente"/>
        <w:spacing w:line="240" w:lineRule="auto"/>
        <w:rPr>
          <w:color w:val="000000"/>
          <w:lang w:val="es-PE" w:eastAsia="es-PE"/>
        </w:rPr>
      </w:pPr>
      <w:r>
        <w:rPr>
          <w:rFonts w:ascii="Times New Roman" w:hAnsi="Times New Roman"/>
          <w:sz w:val="24"/>
        </w:rPr>
        <w:t xml:space="preserve">Que, la aseguradora absolvió el traslado del recurso impugnatorio indicando, en síntesis, lo siguiente: (1) cuando la resolución hizo referencia a que el reclamante no aportó pruebas, esto era respecto a los cuestionamientos que se habían hecho contra la prueba del polígrafo; (2) el reclamante ha adjuntado a su reclamación unos audios y fotografías que acreditarían que su abogado lo habría acompañado el día de la toma de la prueba del polígrafo y que se le habría prohibido el ingreso, lo que invalidaría el examen poligráfico llevado a cabo, pero causa sorpresa y llama la atención que el reclamante recién en estos momentos ofrezca estas pruebas (audios y fotos) para acreditar lo que en todo momento ha venido cuestionando durante el procedimiento, esto es, que no se le habría permitido el ingreso a su abogado a la prueba del polígrafo; (3) además que las pruebas presentadas en ninguna medida acreditan lo expuesto por el asegurado (que se habría acercado con su abogado el día de la prueba y se le prohibió su ingreso), pues ni las fotografías ni los audios tienen alguna constatación, ni si quiera a nivel indiciario, de fecha cierta; (4) no existe medio probatorio alguno por parte del reclamante que acredite que el día de la prueba del polígrafo este se apersonó con su abogado y le fue prohibido su ingreso; (5) sin perjuicio de ello, se debe tener en cuenta que, en contraste a todo lo argumentado por el reclamante, del audio ofrecido en la impugnación se puede apreciar claramente que el centro del polígrafo le indicó que la prueba era personal y se tomaba sin acompañantes, y que cualquier cuestionamiento que tuviera al respecto debía efectuarlo a la aseguradora, situación que nunca se dio toda vez que el asegurado no ha acreditado haber presentado algún cuestionamiento o reclamo en este sentido a .....................; (6)  al momento de apersonarse para la toma de la prueba del polígrafo, el asegurado suscribió una autorización aceptando someterse a la prueba bajo las condiciones explicadas (lo que incluía el asunto de su abogado), situación con la cual el asegurado no hizo ninguna objeción al respecto; (7) la prueba del polígrafo fue llevada a cabo de manera regular y sin ninguna objeción presentada por el reclamante en su oportunidad, por lo que los resultados obtenidos de dicho examen resultan válidos y científicamente objetivos; (8) respecto a la jurisprudencia del Tribunal Constitucional, el asegurado insiste en lo ya expuesto y analizado en su momento por la DEFASEG, siendo que dichos fundamentos no son compartidos por los vocales a cargo, por los motivos que obran en la Resolución Impugnada. </w:t>
      </w:r>
    </w:p>
    <w:p w:rsidRPr="00A91E44" w:rsidR="00A91E44" w:rsidP="00A91E44" w:rsidRDefault="00A91E44" w14:paraId="32975F47" w14:textId="77777777">
      <w:pPr>
        <w:pStyle w:val="Textoindependiente"/>
        <w:spacing w:line="240" w:lineRule="auto"/>
        <w:rPr>
          <w:lang w:val="es-PE"/>
        </w:rPr>
      </w:pPr>
    </w:p>
    <w:p w:rsidRPr="00A91E44" w:rsidR="00A91E44" w:rsidP="00A91E44" w:rsidRDefault="00A91E44" w14:paraId="742EFEAE" w14:textId="77777777">
      <w:pPr>
        <w:pStyle w:val="Textoindependiente"/>
        <w:tabs>
          <w:tab w:val="left" w:pos="930"/>
        </w:tabs>
        <w:spacing w:line="240" w:lineRule="auto"/>
      </w:pPr>
      <w:r w:rsidRPr="00A91E44">
        <w:rPr>
          <w:rFonts w:ascii="Times New Roman" w:hAnsi="Times New Roman"/>
          <w:sz w:val="24"/>
        </w:rPr>
        <w:t>Que, atendiendo a lo expuesto, esta Defensoría resuelve finalmente lo siguiente:</w:t>
      </w:r>
    </w:p>
    <w:p w:rsidR="00A91E44" w:rsidP="00A91E44" w:rsidRDefault="00A91E44" w14:paraId="534D1B42" w14:textId="77777777">
      <w:pPr>
        <w:spacing w:line="240" w:lineRule="auto"/>
        <w:jc w:val="both"/>
        <w:rPr>
          <w:rFonts w:ascii="Times New Roman" w:hAnsi="Times New Roman" w:cs="Times New Roman"/>
          <w:b/>
          <w:sz w:val="24"/>
          <w:szCs w:val="24"/>
          <w:u w:val="single"/>
          <w:lang w:val="es-PE"/>
        </w:rPr>
      </w:pPr>
    </w:p>
    <w:p w:rsidRPr="00A91E44" w:rsidR="00A91E44" w:rsidP="00A91E44" w:rsidRDefault="00A91E44" w14:paraId="31EAE4EA" w14:textId="3BA8BC50">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A91E44" w:rsidR="00A91E44" w:rsidP="00A91E44" w:rsidRDefault="00A91E44" w14:paraId="4CDF215C" w14:textId="77777777">
      <w:pPr>
        <w:spacing w:line="240" w:lineRule="auto"/>
        <w:jc w:val="both"/>
        <w:rPr>
          <w:rFonts w:ascii="Times New Roman" w:hAnsi="Times New Roman" w:cs="Times New Roman"/>
          <w:bCs/>
          <w:sz w:val="24"/>
          <w:szCs w:val="24"/>
          <w:lang w:val="es-ES"/>
        </w:rPr>
      </w:pPr>
      <w:r>
        <w:rPr>
          <w:rFonts w:ascii="Times New Roman" w:hAnsi="Times New Roman"/>
          <w:sz w:val="24"/>
        </w:rPr>
        <w:t xml:space="preserve">Conforme a ello, en el caso concreto, el reclamante sustenta su impugnación al discrepar con el contenido de la Resolución Impugnada.</w:t>
      </w:r>
    </w:p>
    <w:p w:rsidRPr="00A91E44" w:rsidR="00A91E44" w:rsidP="00A91E44" w:rsidRDefault="00A91E44" w14:paraId="0665A8B3" w14:textId="0ABFC55F">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Conforme al sexto considerando de la Resolución Impugnada, la reclamación fue desestimada por cuanto se concluyó que la prueba del polígrafo es una prueba válidamente pactada para comprobar la ocurrencia del siniestro y determinar la verosimilitud de las declaraciones que sustentan las solicitudes de cobertura:</w:t>
      </w:r>
    </w:p>
    <w:p w:rsidRPr="00A91E44" w:rsidR="00A91E44" w:rsidP="177F335B" w:rsidRDefault="00A91E44" w14:paraId="05058391" w14:textId="085996D0">
      <w:pPr>
        <w:pStyle w:val="Default"/>
        <w:spacing w:line="240" w:lineRule="auto"/>
        <w:ind w:left="708"/>
        <w:jc w:val="both"/>
        <w:rPr>
          <w:rFonts w:ascii="Times New Roman" w:hAnsi="Times New Roman" w:cs="Times New Roman"/>
          <w:i w:val="1"/>
          <w:iCs w:val="1"/>
        </w:rPr>
      </w:pPr>
      <w:r w:rsidRPr="177F335B" w:rsidR="00A91E44">
        <w:rPr>
          <w:rFonts w:ascii="Times New Roman" w:hAnsi="Times New Roman" w:cs="Times New Roman"/>
          <w:i w:val="1"/>
          <w:iCs w:val="1"/>
          <w:sz w:val="24"/>
        </w:rPr>
        <w:t xml:space="preserve">“De acuerdo con el artículo 77 de la Ley del Contrato de Seguro, la aseguradora debe probar la causa que la libera de su prestación indemnizatoria, en el caso de este tipo de seguro, ello implicaría que </w:t>
      </w:r>
      <w:r w:rsidRPr="177F335B" w:rsidR="0472599C">
        <w:rPr>
          <w:rFonts w:ascii="Times New Roman" w:hAnsi="Times New Roman" w:cs="Times New Roman"/>
          <w:i w:val="1"/>
          <w:iCs w:val="1"/>
          <w:sz w:val="24"/>
        </w:rPr>
        <w:t>........................................</w:t>
      </w:r>
      <w:r w:rsidRPr="177F335B" w:rsidR="00A91E44">
        <w:rPr>
          <w:rFonts w:ascii="Times New Roman" w:hAnsi="Times New Roman" w:cs="Times New Roman"/>
          <w:i w:val="1"/>
          <w:iCs w:val="1"/>
          <w:sz w:val="24"/>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w:t>
      </w:r>
      <w:r w:rsidRPr="177F335B" w:rsidR="00A91E44">
        <w:rPr>
          <w:rFonts w:ascii="Times New Roman" w:hAnsi="Times New Roman" w:cs="Times New Roman"/>
          <w:i w:val="1"/>
          <w:iCs w:val="1"/>
          <w:sz w:val="24"/>
        </w:rPr>
        <w:t>planteadas</w:t>
      </w:r>
      <w:r w:rsidRPr="177F335B" w:rsidR="00A91E44">
        <w:rPr>
          <w:rFonts w:ascii="Times New Roman" w:hAnsi="Times New Roman" w:cs="Times New Roman"/>
          <w:i w:val="1"/>
          <w:iCs w:val="1"/>
          <w:sz w:val="24"/>
        </w:rPr>
        <w:t xml:space="preserve"> así las cosas, se vuelve al punto inicial conforme al cual el asegurado debe probar el robo, retomándose la cuestión de cómo probarlo y la suficiencia de una denuncia policial. Por ello, a criterio del ORU, una manera en que la aseguradora cumple con su carga probatoria procesal es acreditando que, en el relato de lo sucedido y que estaría contenido en la denuncia policial, hay inexactitudes, contradicciones o inconsistencias, de manera que no se ha llegado a </w:t>
      </w:r>
      <w:r w:rsidRPr="177F335B" w:rsidR="00A91E44">
        <w:rPr>
          <w:rFonts w:ascii="Times New Roman" w:hAnsi="Times New Roman" w:cs="Times New Roman"/>
          <w:i w:val="1"/>
          <w:iCs w:val="1"/>
          <w:color w:val="auto"/>
          <w:sz w:val="24"/>
        </w:rPr>
        <w:t xml:space="preserve">probar realmente </w:t>
      </w:r>
      <w:r w:rsidRPr="177F335B" w:rsidR="00A91E44">
        <w:rPr>
          <w:rFonts w:ascii="Times New Roman" w:hAnsi="Times New Roman" w:cs="Times New Roman"/>
          <w:i w:val="1"/>
          <w:iCs w:val="1"/>
          <w:color w:val="auto"/>
          <w:sz w:val="24"/>
        </w:rPr>
        <w:t>la existencia del siniestro, o destacando que existen criterios objetivos para poner en duda razonable que lo supuestamente sucedido se produjo realmente. En ese contexto es que se enmarca la prueba del polígrafo.”</w:t>
      </w:r>
    </w:p>
    <w:p w:rsidRPr="00A91E44" w:rsidR="00A91E44" w:rsidP="00A91E44" w:rsidRDefault="00A91E44" w14:paraId="3F950F6B" w14:textId="77777777">
      <w:pPr>
        <w:spacing w:line="240" w:lineRule="auto"/>
        <w:jc w:val="both"/>
        <w:rPr>
          <w:rFonts w:ascii="Times New Roman" w:hAnsi="Times New Roman" w:cs="Times New Roman"/>
          <w:bCs/>
          <w:sz w:val="24"/>
          <w:szCs w:val="24"/>
          <w:lang w:val="es-PE"/>
        </w:rPr>
      </w:pPr>
    </w:p>
    <w:p w:rsidRPr="00A91E44" w:rsidR="00A91E44" w:rsidP="00A91E44" w:rsidRDefault="00A91E44" w14:paraId="547D491F" w14:textId="77777777">
      <w:pPr>
        <w:spacing w:line="240" w:lineRule="auto"/>
        <w:jc w:val="both"/>
        <w:rPr>
          <w:rFonts w:ascii="Times New Roman" w:hAnsi="Times New Roman" w:cs="Times New Roman"/>
          <w:bCs/>
          <w:sz w:val="24"/>
          <w:szCs w:val="24"/>
          <w:lang w:val="es-PE"/>
        </w:rPr>
      </w:pPr>
      <w:r w:rsidRPr="00A91E44">
        <w:rPr>
          <w:rFonts w:ascii="Times New Roman" w:hAnsi="Times New Roman" w:cs="Times New Roman"/>
          <w:bCs/>
          <w:sz w:val="24"/>
          <w:szCs w:val="24"/>
          <w:lang w:val="es-PE"/>
        </w:rPr>
        <w:t xml:space="preserve">En ese marco, se apreció que dicha prueba corresponde al derecho que legalmente le asiste a la aseguradora de verificar lo sucedido y validar el relato de hechos practicado por el asegurado. </w:t>
      </w:r>
    </w:p>
    <w:p w:rsidRPr="00A91E44" w:rsidR="00A91E44" w:rsidP="00A91E44" w:rsidRDefault="00A91E44" w14:paraId="5718B924"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En cuanto a la controversia, se advirtió que el reclamante impugna los resultados de la prueba a la que fue sometido, expresando sus dudas sobre la seriedad de la empresa …………………, alegando haber sido hostigado y sometido a una prueba por una persona que no cuenta con las credenciales y/o certificaciones mínimas para poder tomar dicha prueba, sin perjuicio que la prueba del polígrafo no brinda un resultado 100% exacto, es más, da como resultados falsos negativos y falsos positivos; asimismo no es una prueba fehaciente que acredite que una persona pueda estar mintiendo o no, ya que se trata de una prueba subjetiva más no objetiva que queda a la interpretación del poligrafista.</w:t>
      </w:r>
    </w:p>
    <w:p w:rsidRPr="00A91E44" w:rsidR="00A91E44" w:rsidP="00A91E44" w:rsidRDefault="00A91E44" w14:paraId="50562C4B" w14:textId="69852F45">
      <w:pPr>
        <w:spacing w:line="240" w:lineRule="auto"/>
        <w:jc w:val="both"/>
        <w:rPr>
          <w:rFonts w:ascii="Times New Roman" w:hAnsi="Times New Roman" w:cs="Times New Roman"/>
          <w:sz w:val="24"/>
          <w:szCs w:val="24"/>
          <w:lang w:val="es-PE"/>
        </w:rPr>
      </w:pPr>
      <w:r>
        <w:rPr>
          <w:rFonts w:ascii="Times New Roman" w:hAnsi="Times New Roman"/>
          <w:sz w:val="24"/>
        </w:rPr>
        <w:t xml:space="preserve"> Conforme se indica en el considerando 6.5, se valoró que el reclamante no aporta material probatorio alguno sobre dichos cuestionamientos, por el contrario consta en autos los certificados sobre la calificación con que cuenta la Sra.………………… para poder realizar este tipo de pruebas de polígrafo, esto es su calidad de Psicóloga Forense Poligrafista por parte de la “Latinamerican Institute for Credibility Assessment” desde el año 2013, además de ser miembro asociado activo de la “Asociación Latinoamericana de Poligrafistas”. </w:t>
      </w:r>
    </w:p>
    <w:p w:rsidRPr="00A91E44" w:rsidR="00A91E44" w:rsidP="00A91E44" w:rsidRDefault="00A91E44" w14:paraId="0BA42D13" w14:textId="77777777">
      <w:pPr>
        <w:pStyle w:val="Default"/>
        <w:spacing w:line="240" w:lineRule="auto"/>
        <w:jc w:val="both"/>
        <w:rPr>
          <w:rFonts w:ascii="Times New Roman" w:hAnsi="Times New Roman" w:cs="Times New Roman"/>
        </w:rPr>
      </w:pPr>
      <w:r w:rsidRPr="00A91E44">
        <w:rPr>
          <w:rFonts w:ascii="Times New Roman" w:hAnsi="Times New Roman" w:cs="Times New Roman"/>
          <w:sz w:val="24"/>
        </w:rPr>
        <w:t xml:space="preserve">Igualmente, se tuvo en consideración que si bien la prueba del polígrafo no arroja resultados absolutos, estos sí son al menos científicamente confiables, y permiten razonablemente poner bajo cuestionamiento la veracidad del relato sobre lo sucedido y la real configuración del robo denunciado. Por lo que bien puede concluirse que existen criterios objetivos para postular que se está ante una reclamación fraudulenta, por lo que resulta justificada la negativa de la aseguradora de otorgar la cobertura reclamada. </w:t>
      </w:r>
    </w:p>
    <w:p w:rsidRPr="00A91E44" w:rsidR="00A91E44" w:rsidP="00A91E44" w:rsidRDefault="00A91E44" w14:paraId="3461E441" w14:textId="77777777">
      <w:pPr>
        <w:pStyle w:val="Default"/>
        <w:spacing w:line="240" w:lineRule="auto"/>
        <w:jc w:val="both"/>
        <w:rPr>
          <w:rFonts w:ascii="Times New Roman" w:hAnsi="Times New Roman" w:cs="Times New Roman"/>
        </w:rPr>
      </w:pPr>
    </w:p>
    <w:p w:rsidRPr="00A91E44" w:rsidR="00A91E44" w:rsidP="00A91E44" w:rsidRDefault="00A91E44" w14:paraId="2A7E6DDA" w14:textId="77777777">
      <w:pPr>
        <w:spacing w:line="240" w:lineRule="auto"/>
        <w:jc w:val="both"/>
        <w:rPr>
          <w:rFonts w:ascii="Times New Roman" w:hAnsi="Times New Roman" w:cs="Times New Roman"/>
          <w:bCs/>
          <w:sz w:val="24"/>
          <w:szCs w:val="24"/>
          <w:lang w:val="es-PE"/>
        </w:rPr>
      </w:pPr>
      <w:r w:rsidRPr="00A91E44">
        <w:rPr>
          <w:rFonts w:ascii="Times New Roman" w:hAnsi="Times New Roman" w:cs="Times New Roman"/>
          <w:sz w:val="24"/>
          <w:szCs w:val="24"/>
          <w:lang w:val="es-PE"/>
        </w:rPr>
        <w:t>Finalmente, cabe hacer notar que en el considerando 6.6 se precisa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w:t>
      </w:r>
    </w:p>
    <w:p w:rsidRPr="00A91E44" w:rsidR="00A91E44" w:rsidP="00A91E44" w:rsidRDefault="00A91E44" w14:paraId="40C4CB74" w14:textId="77777777">
      <w:pPr>
        <w:spacing w:line="240" w:lineRule="auto"/>
        <w:jc w:val="both"/>
        <w:rPr>
          <w:rFonts w:ascii="Times New Roman" w:hAnsi="Times New Roman" w:cs="Times New Roman"/>
          <w:bCs/>
          <w:sz w:val="24"/>
          <w:szCs w:val="24"/>
          <w:lang w:val="es-PE"/>
        </w:rPr>
      </w:pPr>
      <w:r w:rsidRPr="00A91E44">
        <w:rPr>
          <w:rFonts w:ascii="Times New Roman" w:hAnsi="Times New Roman" w:cs="Times New Roman"/>
          <w:b/>
          <w:sz w:val="24"/>
          <w:szCs w:val="24"/>
          <w:u w:val="single"/>
          <w:lang w:val="es-PE"/>
        </w:rPr>
        <w:t>TERCERO</w:t>
      </w:r>
      <w:r w:rsidRPr="00A91E44">
        <w:rPr>
          <w:rFonts w:ascii="Times New Roman" w:hAnsi="Times New Roman" w:cs="Times New Roman"/>
          <w:b/>
          <w:sz w:val="24"/>
          <w:szCs w:val="24"/>
          <w:lang w:val="es-PE"/>
        </w:rPr>
        <w:t>:</w:t>
      </w:r>
      <w:r w:rsidRPr="00A91E44">
        <w:rPr>
          <w:rFonts w:ascii="Times New Roman" w:hAnsi="Times New Roman" w:cs="Times New Roman"/>
          <w:sz w:val="24"/>
          <w:szCs w:val="24"/>
          <w:lang w:val="es-PE"/>
        </w:rPr>
        <w:t xml:space="preserve"> </w:t>
      </w:r>
      <w:r w:rsidRPr="00A91E44">
        <w:rPr>
          <w:rFonts w:ascii="Times New Roman" w:hAnsi="Times New Roman" w:cs="Times New Roman"/>
          <w:bCs/>
          <w:sz w:val="24"/>
          <w:szCs w:val="24"/>
          <w:lang w:val="es-PE"/>
        </w:rPr>
        <w:t xml:space="preserve">Atendiendo a lo anterior, se concluye que no existe error ni nueva prueba que contradiga el sustento fáctico de la decisión adoptada por el Órgano Resolutorio Unipersonal. </w:t>
      </w:r>
    </w:p>
    <w:p w:rsidRPr="00A91E44" w:rsidR="00A91E44" w:rsidP="00A91E44" w:rsidRDefault="00A91E44" w14:paraId="0B60A036" w14:textId="77777777">
      <w:pPr>
        <w:spacing w:line="240" w:lineRule="auto"/>
        <w:jc w:val="both"/>
        <w:rPr>
          <w:rFonts w:ascii="Times New Roman" w:hAnsi="Times New Roman" w:cs="Times New Roman"/>
          <w:bCs/>
          <w:sz w:val="24"/>
          <w:szCs w:val="24"/>
          <w:lang w:val="es-ES"/>
        </w:rPr>
      </w:pPr>
      <w:r w:rsidRPr="00A91E44">
        <w:rPr>
          <w:rFonts w:ascii="Times New Roman" w:hAnsi="Times New Roman" w:cs="Times New Roman"/>
          <w:bCs/>
          <w:sz w:val="24"/>
          <w:szCs w:val="24"/>
          <w:lang w:val="es-PE"/>
        </w:rPr>
        <w:t xml:space="preserve">En ese sentido, el Colegiado reitera su convicción que, de los antecedentes fácticos del caso, se verifican pruebas en el sentido que existen razones fundadas para estimar que el rechazo de cobertura es legítimo, </w:t>
      </w:r>
      <w:r w:rsidRPr="00A91E44">
        <w:rPr>
          <w:rFonts w:ascii="Times New Roman" w:hAnsi="Times New Roman" w:cs="Times New Roman"/>
          <w:sz w:val="24"/>
          <w:szCs w:val="24"/>
          <w:lang w:val="es-PE"/>
        </w:rPr>
        <w:t>por lo que no existe mérito suficiente ni razón objetiva para revocar la resolución recurrida.</w:t>
      </w:r>
    </w:p>
    <w:p w:rsidR="00A91E44" w:rsidP="00A91E44" w:rsidRDefault="00A91E44" w14:paraId="08512BD5" w14:textId="77777777">
      <w:pPr>
        <w:spacing w:line="240" w:lineRule="auto"/>
        <w:jc w:val="both"/>
        <w:rPr>
          <w:rFonts w:ascii="Times New Roman" w:hAnsi="Times New Roman" w:cs="Times New Roman"/>
          <w:sz w:val="24"/>
          <w:szCs w:val="24"/>
          <w:lang w:val="es-PE"/>
        </w:rPr>
      </w:pPr>
    </w:p>
    <w:p w:rsidR="00A91E44" w:rsidP="00A91E44" w:rsidRDefault="00A91E44" w14:paraId="231D0E8F" w14:textId="77777777">
      <w:pPr>
        <w:spacing w:line="240" w:lineRule="auto"/>
        <w:jc w:val="both"/>
        <w:rPr>
          <w:rFonts w:ascii="Times New Roman" w:hAnsi="Times New Roman" w:cs="Times New Roman"/>
          <w:sz w:val="24"/>
          <w:szCs w:val="24"/>
          <w:lang w:val="es-PE"/>
        </w:rPr>
      </w:pPr>
    </w:p>
    <w:p w:rsidR="00A91E44" w:rsidP="00A91E44" w:rsidRDefault="00A91E44" w14:paraId="03DBE53B" w14:textId="77777777">
      <w:pPr>
        <w:spacing w:line="240" w:lineRule="auto"/>
        <w:jc w:val="both"/>
        <w:rPr>
          <w:rFonts w:ascii="Times New Roman" w:hAnsi="Times New Roman" w:cs="Times New Roman"/>
          <w:sz w:val="24"/>
          <w:szCs w:val="24"/>
          <w:lang w:val="es-PE"/>
        </w:rPr>
      </w:pPr>
    </w:p>
    <w:p w:rsidRPr="00A91E44" w:rsidR="00A91E44" w:rsidP="00A91E44" w:rsidRDefault="00A91E44" w14:paraId="2F55CB85" w14:textId="2CC45ACB">
      <w:pPr>
        <w:spacing w:line="240" w:lineRule="auto"/>
        <w:jc w:val="both"/>
        <w:rPr>
          <w:rFonts w:ascii="Times New Roman" w:hAnsi="Times New Roman" w:cs="Times New Roman"/>
          <w:b/>
          <w:sz w:val="24"/>
          <w:szCs w:val="24"/>
          <w:lang w:val="es-PE"/>
        </w:rPr>
      </w:pPr>
      <w:r w:rsidRPr="00A91E44">
        <w:rPr>
          <w:rFonts w:ascii="Times New Roman" w:hAnsi="Times New Roman" w:cs="Times New Roman"/>
          <w:b/>
          <w:sz w:val="24"/>
          <w:szCs w:val="24"/>
          <w:lang w:val="es-PE"/>
        </w:rPr>
        <w:lastRenderedPageBreak/>
        <w:t>RESUELVE:</w:t>
      </w:r>
    </w:p>
    <w:p w:rsidRPr="00A91E44" w:rsidR="00A91E44" w:rsidP="00A91E44" w:rsidRDefault="00A91E44" w14:paraId="4526F1E8"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140/23.</w:t>
      </w:r>
    </w:p>
    <w:p w:rsidRPr="00A91E44" w:rsidR="00231C58" w:rsidP="005A40A4" w:rsidRDefault="0091528B" w14:paraId="2B9BAAC8" w14:textId="595B036C">
      <w:pPr>
        <w:suppressAutoHyphens/>
        <w:spacing w:after="0" w:line="240" w:lineRule="auto"/>
        <w:jc w:val="right"/>
        <w:outlineLvl w:val="0"/>
        <w:rPr>
          <w:rFonts w:ascii="Times New Roman" w:hAnsi="Times New Roman" w:eastAsia="Arial Unicode MS" w:cs="Times New Roman"/>
          <w:sz w:val="24"/>
          <w:szCs w:val="24"/>
          <w:lang w:val="es-PE" w:eastAsia="ar-SA"/>
        </w:rPr>
      </w:pPr>
      <w:r w:rsidRPr="00A91E44">
        <w:rPr>
          <w:rFonts w:ascii="Times New Roman" w:hAnsi="Times New Roman" w:eastAsia="Arial Unicode MS" w:cs="Times New Roman"/>
          <w:sz w:val="24"/>
          <w:szCs w:val="24"/>
          <w:lang w:val="es-PE" w:eastAsia="ar-SA"/>
        </w:rPr>
        <w:t xml:space="preserve">Lima, </w:t>
      </w:r>
      <w:r w:rsidRPr="00A91E44" w:rsidR="00B448A4">
        <w:rPr>
          <w:rFonts w:ascii="Times New Roman" w:hAnsi="Times New Roman" w:eastAsia="Arial Unicode MS" w:cs="Times New Roman"/>
          <w:sz w:val="24"/>
          <w:szCs w:val="24"/>
          <w:lang w:val="es-PE" w:eastAsia="ar-SA"/>
        </w:rPr>
        <w:t>13</w:t>
      </w:r>
      <w:r w:rsidRPr="00A91E44" w:rsidR="00570ED6">
        <w:rPr>
          <w:rFonts w:ascii="Times New Roman" w:hAnsi="Times New Roman" w:eastAsia="Arial Unicode MS" w:cs="Times New Roman"/>
          <w:sz w:val="24"/>
          <w:szCs w:val="24"/>
          <w:lang w:val="es-PE" w:eastAsia="ar-SA"/>
        </w:rPr>
        <w:t xml:space="preserve"> </w:t>
      </w:r>
      <w:r w:rsidRPr="00A91E44" w:rsidR="00707C99">
        <w:rPr>
          <w:rFonts w:ascii="Times New Roman" w:hAnsi="Times New Roman" w:eastAsia="Arial Unicode MS" w:cs="Times New Roman"/>
          <w:sz w:val="24"/>
          <w:szCs w:val="24"/>
          <w:lang w:val="es-PE" w:eastAsia="ar-SA"/>
        </w:rPr>
        <w:t xml:space="preserve">de </w:t>
      </w:r>
      <w:r w:rsidRPr="00A91E44" w:rsidR="00570ED6">
        <w:rPr>
          <w:rFonts w:ascii="Times New Roman" w:hAnsi="Times New Roman" w:eastAsia="Arial Unicode MS" w:cs="Times New Roman"/>
          <w:sz w:val="24"/>
          <w:szCs w:val="24"/>
          <w:lang w:val="es-PE" w:eastAsia="ar-SA"/>
        </w:rPr>
        <w:t>noviembre</w:t>
      </w:r>
      <w:r w:rsidRPr="00A91E44" w:rsidR="002F478E">
        <w:rPr>
          <w:rFonts w:ascii="Times New Roman" w:hAnsi="Times New Roman" w:eastAsia="Arial Unicode MS" w:cs="Times New Roman"/>
          <w:sz w:val="24"/>
          <w:szCs w:val="24"/>
          <w:lang w:val="es-PE" w:eastAsia="ar-SA"/>
        </w:rPr>
        <w:t xml:space="preserve"> </w:t>
      </w:r>
      <w:r w:rsidRPr="00A91E44" w:rsidR="00F06498">
        <w:rPr>
          <w:rFonts w:ascii="Times New Roman" w:hAnsi="Times New Roman" w:eastAsia="Arial Unicode MS" w:cs="Times New Roman"/>
          <w:sz w:val="24"/>
          <w:szCs w:val="24"/>
          <w:lang w:val="es-PE" w:eastAsia="ar-SA"/>
        </w:rPr>
        <w:t>de 202</w:t>
      </w:r>
      <w:r w:rsidRPr="00A91E44" w:rsidR="00B340D4">
        <w:rPr>
          <w:rFonts w:ascii="Times New Roman" w:hAnsi="Times New Roman" w:eastAsia="Arial Unicode MS" w:cs="Times New Roman"/>
          <w:sz w:val="24"/>
          <w:szCs w:val="24"/>
          <w:lang w:val="es-PE" w:eastAsia="ar-SA"/>
        </w:rPr>
        <w:t>3</w:t>
      </w:r>
      <w:r w:rsidRPr="00A91E44" w:rsidR="00707C99">
        <w:rPr>
          <w:rFonts w:ascii="Times New Roman" w:hAnsi="Times New Roman" w:eastAsia="Times New Roman" w:cs="Times New Roman"/>
          <w:sz w:val="24"/>
          <w:szCs w:val="24"/>
          <w:lang w:val="es-PE" w:eastAsia="ar-SA"/>
        </w:rPr>
        <w:t xml:space="preserve"> </w:t>
      </w:r>
    </w:p>
    <w:p w:rsidRPr="00A91E4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91E44"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91E4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91E44"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91E44"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A91E44">
        <w:rPr>
          <w:rFonts w:ascii="Times New Roman" w:hAnsi="Times New Roman" w:cs="Times New Roman"/>
          <w:b/>
          <w:bCs/>
          <w:sz w:val="24"/>
          <w:szCs w:val="24"/>
          <w:lang w:val="es-PE"/>
        </w:rPr>
        <w:t>María Eugenia Valdez Fernández Baca – Vocal</w:t>
      </w:r>
    </w:p>
    <w:p w:rsidRPr="00A91E44"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A91E44">
        <w:rPr>
          <w:rFonts w:ascii="Times New Roman" w:hAnsi="Times New Roman" w:cs="Times New Roman"/>
          <w:b/>
          <w:bCs/>
          <w:sz w:val="24"/>
          <w:szCs w:val="24"/>
          <w:lang w:val="es-PE"/>
        </w:rPr>
        <w:t>Omar Alfaro Villanueva – Vocal</w:t>
      </w:r>
    </w:p>
    <w:p w:rsidRPr="00A91E44"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A91E44">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6FC7" w:rsidP="00784355" w:rsidRDefault="00F76FC7" w14:paraId="0ACEFE3A" w14:textId="77777777">
      <w:pPr>
        <w:spacing w:after="0" w:line="240" w:lineRule="auto"/>
      </w:pPr>
      <w:r>
        <w:separator/>
      </w:r>
    </w:p>
  </w:endnote>
  <w:endnote w:type="continuationSeparator" w:id="0">
    <w:p w:rsidR="00F76FC7" w:rsidP="00784355" w:rsidRDefault="00F76FC7" w14:paraId="6F1B0A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6FC7" w:rsidP="00784355" w:rsidRDefault="00F76FC7" w14:paraId="7ED86D54" w14:textId="77777777">
      <w:pPr>
        <w:spacing w:after="0" w:line="240" w:lineRule="auto"/>
      </w:pPr>
      <w:r>
        <w:separator/>
      </w:r>
    </w:p>
  </w:footnote>
  <w:footnote w:type="continuationSeparator" w:id="0">
    <w:p w:rsidR="00F76FC7" w:rsidP="00784355" w:rsidRDefault="00F76FC7" w14:paraId="73AE31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1"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6"/>
  </w:num>
  <w:num w:numId="3" w16cid:durableId="333261791">
    <w:abstractNumId w:val="14"/>
  </w:num>
  <w:num w:numId="4" w16cid:durableId="1770345525">
    <w:abstractNumId w:val="13"/>
  </w:num>
  <w:num w:numId="5" w16cid:durableId="1816144979">
    <w:abstractNumId w:val="15"/>
  </w:num>
  <w:num w:numId="6" w16cid:durableId="1304313350">
    <w:abstractNumId w:val="0"/>
  </w:num>
  <w:num w:numId="7" w16cid:durableId="16682880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1E44"/>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472599C"/>
    <w:rsid w:val="08A991A4"/>
    <w:rsid w:val="177F335B"/>
    <w:rsid w:val="273C2DEA"/>
    <w:rsid w:val="2BABD03A"/>
    <w:rsid w:val="2E2B8307"/>
    <w:rsid w:val="41B7BF34"/>
    <w:rsid w:val="5023A46D"/>
    <w:rsid w:val="527EDE4E"/>
    <w:rsid w:val="659F50F9"/>
    <w:rsid w:val="6E6BA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DAF045C-9494-4888-A74B-35E47F5DD62D}"/>
</file>

<file path=customXml/itemProps3.xml><?xml version="1.0" encoding="utf-8"?>
<ds:datastoreItem xmlns:ds="http://schemas.openxmlformats.org/officeDocument/2006/customXml" ds:itemID="{36973406-BF85-47D5-B320-F9C04602BCD6}"/>
</file>

<file path=customXml/itemProps4.xml><?xml version="1.0" encoding="utf-8"?>
<ds:datastoreItem xmlns:ds="http://schemas.openxmlformats.org/officeDocument/2006/customXml" ds:itemID="{751A9B74-3BBD-430E-8128-41FF95E092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189</cp:revision>
  <cp:lastPrinted>2023-11-13T17:38:00Z</cp:lastPrinted>
  <dcterms:created xsi:type="dcterms:W3CDTF">2023-02-14T22:37:00Z</dcterms:created>
  <dcterms:modified xsi:type="dcterms:W3CDTF">2025-12-04T15:48:42Z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