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B6A09" w:rsidR="00707C99" w:rsidP="00272F4F" w:rsidRDefault="00201C0D" w14:paraId="19FE0E96" w14:textId="732FACBA">
      <w:pPr>
        <w:spacing w:after="0" w:line="240" w:lineRule="auto"/>
        <w:jc w:val="center"/>
        <w:rPr>
          <w:rFonts w:ascii="Times New Roman" w:hAnsi="Times New Roman" w:cs="Times New Roman"/>
          <w:b/>
          <w:sz w:val="23"/>
          <w:szCs w:val="23"/>
          <w:lang w:val="es-PE" w:eastAsia="ar-SA"/>
        </w:rPr>
      </w:pPr>
      <w:r w:rsidRPr="008B6A09">
        <w:rPr>
          <w:rFonts w:ascii="Times New Roman" w:hAnsi="Times New Roman" w:cs="Times New Roman"/>
          <w:b/>
          <w:sz w:val="24"/>
          <w:szCs w:val="23"/>
          <w:lang w:val="es-PE" w:eastAsia="ar-SA"/>
        </w:rPr>
        <w:t xml:space="preserve">RESOLUCIÓN DE RECURSO IMPUGNATIVO </w:t>
      </w:r>
      <w:proofErr w:type="spellStart"/>
      <w:r w:rsidRPr="008B6A09" w:rsidR="00707C99">
        <w:rPr>
          <w:rFonts w:ascii="Times New Roman" w:hAnsi="Times New Roman" w:cs="Times New Roman"/>
          <w:b/>
          <w:sz w:val="24"/>
          <w:szCs w:val="23"/>
          <w:lang w:val="es-PE" w:eastAsia="ar-SA"/>
        </w:rPr>
        <w:t>N°</w:t>
      </w:r>
      <w:proofErr w:type="spellEnd"/>
      <w:r w:rsidRPr="008B6A09" w:rsidR="00707C99">
        <w:rPr>
          <w:rFonts w:ascii="Times New Roman" w:hAnsi="Times New Roman" w:cs="Times New Roman"/>
          <w:b/>
          <w:sz w:val="24"/>
          <w:szCs w:val="23"/>
          <w:lang w:val="es-PE" w:eastAsia="ar-SA"/>
        </w:rPr>
        <w:t xml:space="preserve"> </w:t>
      </w:r>
      <w:r w:rsidRPr="008B6A09" w:rsidR="00516293">
        <w:rPr>
          <w:rFonts w:ascii="Times New Roman" w:hAnsi="Times New Roman" w:cs="Times New Roman"/>
          <w:b/>
          <w:sz w:val="24"/>
          <w:szCs w:val="23"/>
          <w:lang w:val="es-PE" w:eastAsia="ar-SA"/>
        </w:rPr>
        <w:t>0</w:t>
      </w:r>
      <w:r w:rsidRPr="008B6A09" w:rsidR="00BA3C20">
        <w:rPr>
          <w:rFonts w:ascii="Times New Roman" w:hAnsi="Times New Roman" w:cs="Times New Roman"/>
          <w:b/>
          <w:sz w:val="24"/>
          <w:szCs w:val="23"/>
          <w:lang w:val="es-PE" w:eastAsia="ar-SA"/>
        </w:rPr>
        <w:t>5</w:t>
      </w:r>
      <w:r w:rsidRPr="008B6A09" w:rsidR="00EE3E0F">
        <w:rPr>
          <w:rFonts w:ascii="Times New Roman" w:hAnsi="Times New Roman" w:cs="Times New Roman"/>
          <w:b/>
          <w:sz w:val="24"/>
          <w:szCs w:val="23"/>
          <w:lang w:val="es-PE" w:eastAsia="ar-SA"/>
        </w:rPr>
        <w:t>8</w:t>
      </w:r>
      <w:r w:rsidRPr="008B6A09" w:rsidR="00C671F5">
        <w:rPr>
          <w:rFonts w:ascii="Times New Roman" w:hAnsi="Times New Roman" w:cs="Times New Roman"/>
          <w:b/>
          <w:sz w:val="24"/>
          <w:szCs w:val="23"/>
          <w:lang w:val="es-PE" w:eastAsia="ar-SA"/>
        </w:rPr>
        <w:t>/2</w:t>
      </w:r>
      <w:r w:rsidRPr="008B6A09" w:rsidR="00AB7BFE">
        <w:rPr>
          <w:rFonts w:ascii="Times New Roman" w:hAnsi="Times New Roman" w:cs="Times New Roman"/>
          <w:b/>
          <w:sz w:val="24"/>
          <w:szCs w:val="23"/>
          <w:lang w:val="es-PE" w:eastAsia="ar-SA"/>
        </w:rPr>
        <w:t>3</w:t>
      </w:r>
    </w:p>
    <w:p w:rsidRPr="008B6A09" w:rsidR="00C202F1" w:rsidP="00C202F1" w:rsidRDefault="00C202F1" w14:paraId="07656E09" w14:textId="77777777">
      <w:pPr>
        <w:spacing w:after="0" w:line="240" w:lineRule="auto"/>
        <w:jc w:val="both"/>
        <w:rPr>
          <w:rFonts w:ascii="Times New Roman" w:hAnsi="Times New Roman" w:cs="Times New Roman"/>
          <w:b/>
          <w:sz w:val="23"/>
          <w:szCs w:val="23"/>
          <w:lang w:val="es-PE"/>
        </w:rPr>
      </w:pPr>
    </w:p>
    <w:p w:rsidRPr="008B6A09" w:rsidR="00A57F3B" w:rsidP="00A57F3B" w:rsidRDefault="00A57F3B" w14:paraId="3674D0FE" w14:textId="77777777">
      <w:pPr>
        <w:spacing w:line="240" w:lineRule="auto"/>
        <w:jc w:val="both"/>
        <w:outlineLvl w:val="0"/>
        <w:rPr>
          <w:rFonts w:ascii="Times New Roman" w:hAnsi="Times New Roman" w:cs="Times New Roman"/>
          <w:b/>
          <w:bCs/>
          <w:sz w:val="23"/>
          <w:szCs w:val="23"/>
          <w:lang w:val="es-MX"/>
        </w:rPr>
      </w:pPr>
      <w:r w:rsidRPr="008B6A09">
        <w:rPr>
          <w:rFonts w:ascii="Times New Roman" w:hAnsi="Times New Roman" w:cs="Times New Roman"/>
          <w:b/>
          <w:bCs/>
          <w:sz w:val="24"/>
          <w:szCs w:val="23"/>
          <w:lang w:val="es-MX"/>
        </w:rPr>
        <w:t>VISTOS:</w:t>
      </w:r>
    </w:p>
    <w:p w:rsidRPr="008B6A09" w:rsidR="00A57F3B" w:rsidP="00A57F3B" w:rsidRDefault="00A57F3B" w14:paraId="3979C8E2" w14:textId="7D3C1483">
      <w:pPr>
        <w:pStyle w:val="Default"/>
        <w:spacing w:line="240" w:lineRule="auto"/>
        <w:jc w:val="both"/>
        <w:rPr>
          <w:rFonts w:ascii="Times New Roman" w:hAnsi="Times New Roman" w:cs="Times New Roman"/>
          <w:sz w:val="23"/>
          <w:szCs w:val="23"/>
        </w:rPr>
      </w:pPr>
      <w:r>
        <w:rPr>
          <w:rFonts w:ascii="Times New Roman" w:hAnsi="Times New Roman"/>
          <w:sz w:val="24"/>
        </w:rPr>
        <w:t xml:space="preserve">El Recurso de Impugnación presentado por ............................................................................ respecto de la Resolución Nro. 127/23, expedida por esta Defensoría del Asegurado y, conforme a la cual se declaró INFUNDADA la reclamación interpuesta contra ............................, en relación con el Seguro Vehicular – PÓLIZA No ..........................</w:t>
      </w:r>
    </w:p>
    <w:p w:rsidRPr="008B6A09" w:rsidR="00A57F3B" w:rsidP="00A57F3B" w:rsidRDefault="00A57F3B" w14:paraId="1AFC197F" w14:textId="77777777">
      <w:pPr>
        <w:pStyle w:val="Textoindependiente"/>
        <w:spacing w:line="240" w:lineRule="auto"/>
        <w:rPr>
          <w:sz w:val="23"/>
          <w:szCs w:val="23"/>
        </w:rPr>
      </w:pPr>
    </w:p>
    <w:p w:rsidRPr="008B6A09" w:rsidR="00A57F3B" w:rsidP="00A57F3B" w:rsidRDefault="00A57F3B" w14:paraId="28D0924C" w14:textId="03DB9BFE">
      <w:pPr>
        <w:pStyle w:val="Textoindependiente"/>
        <w:spacing w:line="240" w:lineRule="auto"/>
        <w:rPr>
          <w:sz w:val="23"/>
          <w:szCs w:val="23"/>
        </w:rPr>
      </w:pPr>
      <w:r w:rsidRPr="008B6A09">
        <w:rPr>
          <w:rFonts w:ascii="Times New Roman" w:hAnsi="Times New Roman"/>
          <w:sz w:val="24"/>
          <w:szCs w:val="23"/>
        </w:rPr>
        <w:t xml:space="preserve">Que, el indicado recurso se sustenta resumidamente en lo siguiente: (1) no se ha tomado en consideración que tanto en el registro web para la contratación de la Póliza y en la inspección vehicular vía </w:t>
      </w:r>
      <w:proofErr w:type="spellStart"/>
      <w:r w:rsidRPr="008B6A09">
        <w:rPr>
          <w:rFonts w:ascii="Times New Roman" w:hAnsi="Times New Roman"/>
          <w:sz w:val="24"/>
          <w:szCs w:val="23"/>
        </w:rPr>
        <w:t>whatsapp</w:t>
      </w:r>
      <w:proofErr w:type="spellEnd"/>
      <w:r w:rsidRPr="008B6A09">
        <w:rPr>
          <w:rFonts w:ascii="Times New Roman" w:hAnsi="Times New Roman"/>
          <w:sz w:val="24"/>
          <w:szCs w:val="23"/>
        </w:rPr>
        <w:t xml:space="preserve"> en ningún momento dan opción de respuesta o de elegir algún tipo de uso, la respuesta que proporcioné en la inspección vehicular se fundamenta en la misma que por el sistema la web de la aseguradora indicó que fue “uso particular”, no habiendo otras opciones que elegir; (2) siendo que la inspección vehicular vía </w:t>
      </w:r>
      <w:proofErr w:type="spellStart"/>
      <w:r w:rsidRPr="008B6A09">
        <w:rPr>
          <w:rFonts w:ascii="Times New Roman" w:hAnsi="Times New Roman"/>
          <w:sz w:val="24"/>
          <w:szCs w:val="23"/>
        </w:rPr>
        <w:t>whatsapp</w:t>
      </w:r>
      <w:proofErr w:type="spellEnd"/>
      <w:r w:rsidRPr="008B6A09">
        <w:rPr>
          <w:rFonts w:ascii="Times New Roman" w:hAnsi="Times New Roman"/>
          <w:sz w:val="24"/>
          <w:szCs w:val="23"/>
        </w:rPr>
        <w:t xml:space="preserve"> es dirigida por un trabajador de la aseguradora, esta tampoco dio alguna asesoría sobre el uso de la unidad vehicular en relación a la póliza que se contrató; (3) hay doble y recurrente falta de información tanto vía web como vía </w:t>
      </w:r>
      <w:proofErr w:type="spellStart"/>
      <w:r w:rsidRPr="008B6A09">
        <w:rPr>
          <w:rFonts w:ascii="Times New Roman" w:hAnsi="Times New Roman"/>
          <w:sz w:val="24"/>
          <w:szCs w:val="23"/>
        </w:rPr>
        <w:t>whatsapp</w:t>
      </w:r>
      <w:proofErr w:type="spellEnd"/>
      <w:r w:rsidRPr="008B6A09">
        <w:rPr>
          <w:rFonts w:ascii="Times New Roman" w:hAnsi="Times New Roman"/>
          <w:sz w:val="24"/>
          <w:szCs w:val="23"/>
        </w:rPr>
        <w:t>; (4) la aseguradora no proporcionó toda la información necesaria para poder elegir el “tipo de uso” del vehículo.</w:t>
      </w:r>
    </w:p>
    <w:p w:rsidRPr="008B6A09" w:rsidR="00A57F3B" w:rsidP="00A57F3B" w:rsidRDefault="00A57F3B" w14:paraId="64893936" w14:textId="77777777">
      <w:pPr>
        <w:pStyle w:val="Textoindependiente"/>
        <w:spacing w:line="240" w:lineRule="auto"/>
        <w:rPr>
          <w:b/>
          <w:bCs w:val="0"/>
          <w:sz w:val="23"/>
          <w:szCs w:val="23"/>
        </w:rPr>
      </w:pPr>
    </w:p>
    <w:p w:rsidRPr="008B6A09" w:rsidR="00A57F3B" w:rsidP="5D720792" w:rsidRDefault="00A57F3B" w14:paraId="016CD869" w14:textId="0ED9BC41">
      <w:pPr>
        <w:pStyle w:val="Textoindependiente"/>
        <w:spacing w:line="240" w:lineRule="auto"/>
        <w:rPr>
          <w:sz w:val="23"/>
          <w:szCs w:val="23"/>
          <w:lang w:val="es-PE" w:eastAsia="es-PE"/>
        </w:rPr>
      </w:pPr>
      <w:r w:rsidRPr="5D720792" w:rsidR="00A57F3B">
        <w:rPr>
          <w:rFonts w:ascii="Times New Roman" w:hAnsi="Times New Roman"/>
          <w:sz w:val="24"/>
          <w:szCs w:val="23"/>
        </w:rPr>
        <w:t xml:space="preserve">Que, la aseguradora absolvió el traslado del recurso impugnatorio manifestando, en síntesis, lo siguiente: (1) </w:t>
      </w:r>
      <w:r w:rsidRPr="5D720792" w:rsidR="00A57F3B">
        <w:rPr>
          <w:rFonts w:ascii="Times New Roman" w:hAnsi="Times New Roman"/>
          <w:sz w:val="24"/>
          <w:szCs w:val="23"/>
          <w:lang w:val="es-PE" w:eastAsia="es-PE"/>
        </w:rPr>
        <w:t>únicamente comercial</w:t>
      </w:r>
    </w:p>
    <w:p w:rsidRPr="008B6A09" w:rsidR="00A57F3B" w:rsidP="00A57F3B" w:rsidRDefault="00A57F3B" w14:paraId="7F64B104" w14:textId="2FFD991E">
      <w:pPr>
        <w:pStyle w:val="Textoindependiente"/>
        <w:spacing w:line="240" w:lineRule="auto"/>
        <w:rPr>
          <w:sz w:val="23"/>
          <w:szCs w:val="23"/>
          <w:lang w:val="es-PE" w:eastAsia="es-PE"/>
        </w:rPr>
      </w:pPr>
      <w:r w:rsidRPr="5D720792" w:rsidR="00A57F3B">
        <w:rPr>
          <w:rFonts w:ascii="Times New Roman" w:hAnsi="Times New Roman"/>
          <w:sz w:val="24"/>
          <w:szCs w:val="23"/>
          <w:lang w:val="es-PE" w:eastAsia="es-PE"/>
        </w:rPr>
        <w:t xml:space="preserve">iza algunos de sus seguros para vehículos de uso particular (como parte de su libertad de contratación y elección de riesgo); (2) algunos de los productos solo aparecen disponibles para vehículos de “uso particular”; (3) si una persona intenta adquirir este tipo seguro para un vehículo con otro uso registrado, el propio sistema no permitirá concretar la operación; (4) no pudo identificar al momento de contratación que el vehículo asegurado por la reclamante, no correspondía a “uso particular”. Ello debido a que así se encontraría registrado en el sistema de la plataforma de APESEG; (5) únicamente es responsabilidad de los asegurados registrar un “uso del vehículo” que se corresponda con la realidad; pudiendo ser “particular”, “carga”, “transporte”, entre otros; (6) es el momento de inspección la oportunidad apropiada para que el contratante haga las consultas pertinentes, a fin de que los colaboradores dela aseguradora puedan asesorarle o identificar algún detalle que pueda implicar una anulación o cambio de la Póliza: (7) los colaboradores de la aseguradora no tienen otra manera de conocer el uso del vehículo (si el contratante no lo declara); ya que, según la plataforma de APESEG el uso del vehículo estaría consignado como “particular”; (8) el contratante omitió hacer alguna declaración (u algún tipo de consulta), que hubiera permitido aclarar el tipo de uso del vehículo desde el momento de contratación; (9) debido a las diversas declaraciones y demás pruebas relacionadas al siniestro acontecido el 18 de enero del 2023; se verificó que el verdadero uso del vehículo sería “carga”; (10) se rechazó la solicitud de cobertura ya que se habría verificado que la situación acontecida se encontraría prevista en el Artículo 4.1 del Condicionado General, respecto al capítulo de “Exclusiones”, que utiliza la fórmula producidos cuando el vehículo no sea de uso particular a menos que otro uso hubiera sido específicamente incluido al contratarse el seguro”. </w:t>
      </w:r>
    </w:p>
    <w:p w:rsidRPr="008B6A09" w:rsidR="00A57F3B" w:rsidP="00A57F3B" w:rsidRDefault="00A57F3B" w14:paraId="54E7F5F1" w14:textId="77777777">
      <w:pPr>
        <w:pStyle w:val="Textoindependiente"/>
        <w:spacing w:line="240" w:lineRule="auto"/>
        <w:rPr>
          <w:sz w:val="23"/>
          <w:szCs w:val="23"/>
          <w:lang w:val="es-PE" w:eastAsia="es-PE"/>
        </w:rPr>
      </w:pPr>
    </w:p>
    <w:p w:rsidRPr="008B6A09" w:rsidR="00A57F3B" w:rsidP="00A57F3B" w:rsidRDefault="00A57F3B" w14:paraId="61D2F265" w14:textId="77777777">
      <w:pPr>
        <w:pStyle w:val="Textoindependiente"/>
        <w:tabs>
          <w:tab w:val="left" w:pos="930"/>
        </w:tabs>
        <w:spacing w:line="240" w:lineRule="auto"/>
        <w:rPr>
          <w:sz w:val="23"/>
          <w:szCs w:val="23"/>
        </w:rPr>
      </w:pPr>
      <w:r w:rsidRPr="008B6A09">
        <w:rPr>
          <w:rFonts w:ascii="Times New Roman" w:hAnsi="Times New Roman"/>
          <w:sz w:val="24"/>
          <w:szCs w:val="23"/>
        </w:rPr>
        <w:t>Que, atendiendo a lo expuesto, esta Defensoría resuelve finalmente lo siguiente:</w:t>
      </w:r>
    </w:p>
    <w:p w:rsidRPr="008B6A09" w:rsidR="00A57F3B" w:rsidP="00A57F3B" w:rsidRDefault="00A57F3B" w14:paraId="2AA90941" w14:textId="77777777">
      <w:pPr>
        <w:spacing w:line="240" w:lineRule="auto"/>
        <w:jc w:val="both"/>
        <w:rPr>
          <w:rFonts w:ascii="Times New Roman" w:hAnsi="Times New Roman" w:cs="Times New Roman"/>
          <w:b/>
          <w:sz w:val="23"/>
          <w:szCs w:val="23"/>
          <w:u w:val="single"/>
          <w:lang w:val="es-PE"/>
        </w:rPr>
      </w:pPr>
    </w:p>
    <w:p w:rsidRPr="008B6A09" w:rsidR="00A57F3B" w:rsidP="00A57F3B" w:rsidRDefault="00A57F3B" w14:paraId="36765023" w14:textId="1FA8D2BB">
      <w:pPr>
        <w:spacing w:line="240" w:lineRule="auto"/>
        <w:jc w:val="both"/>
        <w:rPr>
          <w:rFonts w:ascii="Times New Roman" w:hAnsi="Times New Roman" w:cs="Times New Roman"/>
          <w:sz w:val="23"/>
          <w:szCs w:val="23"/>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8B6A09" w:rsidR="00A57F3B" w:rsidP="00A57F3B" w:rsidRDefault="00A57F3B" w14:paraId="6BC0E6B0" w14:textId="77777777">
      <w:pPr>
        <w:spacing w:line="240" w:lineRule="auto"/>
        <w:jc w:val="both"/>
        <w:rPr>
          <w:rFonts w:ascii="Times New Roman" w:hAnsi="Times New Roman" w:cs="Times New Roman"/>
          <w:bCs/>
          <w:sz w:val="23"/>
          <w:szCs w:val="23"/>
          <w:lang w:val="es-ES"/>
        </w:rPr>
      </w:pPr>
      <w:r w:rsidRPr="008B6A09">
        <w:rPr>
          <w:rFonts w:ascii="Times New Roman" w:hAnsi="Times New Roman" w:cs="Times New Roman"/>
          <w:b/>
          <w:bCs/>
          <w:sz w:val="24"/>
          <w:szCs w:val="23"/>
          <w:u w:val="single"/>
          <w:lang w:val="es-PE"/>
        </w:rPr>
        <w:lastRenderedPageBreak/>
        <w:t>SEGUNDO</w:t>
      </w:r>
      <w:r w:rsidRPr="008B6A09">
        <w:rPr>
          <w:rFonts w:ascii="Times New Roman" w:hAnsi="Times New Roman" w:cs="Times New Roman"/>
          <w:b/>
          <w:bCs/>
          <w:sz w:val="24"/>
          <w:szCs w:val="23"/>
          <w:lang w:val="es-PE"/>
        </w:rPr>
        <w:t>:</w:t>
      </w:r>
      <w:r w:rsidRPr="008B6A09">
        <w:rPr>
          <w:rFonts w:ascii="Times New Roman" w:hAnsi="Times New Roman" w:cs="Times New Roman"/>
          <w:bCs/>
          <w:sz w:val="24"/>
          <w:szCs w:val="23"/>
          <w:lang w:val="es-PE"/>
        </w:rPr>
        <w:t xml:space="preserve"> </w:t>
      </w:r>
      <w:r w:rsidRPr="008B6A09">
        <w:rPr>
          <w:rFonts w:ascii="Times New Roman" w:hAnsi="Times New Roman" w:cs="Times New Roman"/>
          <w:sz w:val="24"/>
          <w:szCs w:val="23"/>
          <w:lang w:val="es-PE"/>
        </w:rPr>
        <w:t xml:space="preserve">Conforme a ello, en el caso concreto, la reclamante </w:t>
      </w:r>
      <w:r w:rsidRPr="008B6A09">
        <w:rPr>
          <w:rFonts w:ascii="Times New Roman" w:hAnsi="Times New Roman" w:cs="Times New Roman"/>
          <w:bCs/>
          <w:sz w:val="24"/>
          <w:szCs w:val="23"/>
          <w:lang w:val="es-PE"/>
        </w:rPr>
        <w:t xml:space="preserve">sustenta su impugnación en insistir en la argumentación que fue analizada y desestimada por esta Defensoría. </w:t>
      </w:r>
    </w:p>
    <w:p w:rsidRPr="008B6A09" w:rsidR="00A57F3B" w:rsidP="00A57F3B" w:rsidRDefault="00A57F3B" w14:paraId="6C02CDEE" w14:textId="0BE5AF45">
      <w:pPr>
        <w:spacing w:line="240" w:lineRule="auto"/>
        <w:jc w:val="both"/>
        <w:rPr>
          <w:rFonts w:ascii="Times New Roman" w:hAnsi="Times New Roman" w:cs="Times New Roman"/>
          <w:color w:val="000000"/>
          <w:sz w:val="23"/>
          <w:szCs w:val="23"/>
          <w:lang w:val="es-PE" w:eastAsia="es-PE"/>
        </w:rPr>
      </w:pPr>
      <w:r>
        <w:rPr>
          <w:rFonts w:ascii="Times New Roman" w:hAnsi="Times New Roman"/>
          <w:sz w:val="24"/>
        </w:rPr>
        <w:t xml:space="preserve">De acuerdo con la Resolución Impugnada, la reclamación fue desestimada puesto que se verificó que el uso de la unidad asegurada con placa de rodaje ................. durante el siniestro fue comercial, ya que se transportaba mercancía con fines de negocios. </w:t>
      </w:r>
    </w:p>
    <w:p w:rsidRPr="008B6A09" w:rsidR="00A57F3B" w:rsidP="00A57F3B" w:rsidRDefault="00A57F3B" w14:paraId="05B63871" w14:textId="772D015A">
      <w:pPr>
        <w:spacing w:line="240" w:lineRule="auto"/>
        <w:jc w:val="both"/>
        <w:rPr>
          <w:rFonts w:ascii="Times New Roman" w:hAnsi="Times New Roman" w:cs="Times New Roman"/>
          <w:color w:val="000000"/>
          <w:sz w:val="23"/>
          <w:szCs w:val="23"/>
          <w:lang w:val="es-PE" w:eastAsia="es-PE"/>
        </w:rPr>
      </w:pPr>
      <w:r w:rsidRPr="5D720792" w:rsidR="00A57F3B">
        <w:rPr>
          <w:rFonts w:ascii="Times New Roman" w:hAnsi="Times New Roman" w:cs="Times New Roman"/>
          <w:color w:val="000000" w:themeColor="text1" w:themeTint="FF" w:themeShade="FF"/>
          <w:sz w:val="24"/>
          <w:szCs w:val="23"/>
          <w:lang w:val="es-PE" w:eastAsia="es-PE"/>
        </w:rPr>
        <w:t xml:space="preserve">En ese sentido, se concluyó que el vehículo se usaba para realizar una actividad comercial, no una actividad privada del propietario. Por lo tanto, se incurrió en el supuesto de exclusión de cobertura pactado en el </w:t>
      </w:r>
      <w:r w:rsidRPr="5D720792" w:rsidR="00A57F3B">
        <w:rPr>
          <w:rFonts w:ascii="Times New Roman" w:hAnsi="Times New Roman" w:cs="Times New Roman"/>
          <w:color w:val="040C28"/>
          <w:sz w:val="24"/>
          <w:szCs w:val="23"/>
          <w:lang w:val="es-PE" w:eastAsia="es-PE"/>
        </w:rPr>
        <w:t xml:space="preserve">artículo 4.1 de las condiciones generales de la póliza No </w:t>
      </w:r>
      <w:r w:rsidRPr="5D720792" w:rsidR="60085129">
        <w:rPr>
          <w:rFonts w:ascii="Times New Roman" w:hAnsi="Times New Roman" w:cs="Times New Roman"/>
          <w:color w:val="000000" w:themeColor="text1" w:themeTint="FF" w:themeShade="FF"/>
          <w:sz w:val="24"/>
          <w:szCs w:val="23"/>
          <w:lang w:val="es-PE" w:eastAsia="es-PE"/>
        </w:rPr>
        <w:t>.........................</w:t>
      </w:r>
      <w:r w:rsidRPr="5D720792" w:rsidR="00A57F3B">
        <w:rPr>
          <w:rFonts w:ascii="Times New Roman" w:hAnsi="Times New Roman" w:cs="Times New Roman"/>
          <w:color w:val="000000" w:themeColor="text1" w:themeTint="FF" w:themeShade="FF"/>
          <w:sz w:val="24"/>
          <w:szCs w:val="23"/>
          <w:lang w:val="es-PE" w:eastAsia="es-PE"/>
        </w:rPr>
        <w:t>.</w:t>
      </w:r>
    </w:p>
    <w:p w:rsidRPr="008B6A09" w:rsidR="00A57F3B" w:rsidP="00A57F3B" w:rsidRDefault="00A57F3B" w14:paraId="23839F70" w14:textId="77777777">
      <w:pPr>
        <w:spacing w:line="240" w:lineRule="auto"/>
        <w:jc w:val="both"/>
        <w:rPr>
          <w:rFonts w:ascii="Times New Roman" w:hAnsi="Times New Roman" w:cs="Times New Roman"/>
          <w:sz w:val="23"/>
          <w:szCs w:val="23"/>
          <w:lang w:val="es-PE" w:eastAsia="ar-SA"/>
        </w:rPr>
      </w:pPr>
      <w:r w:rsidRPr="008B6A09">
        <w:rPr>
          <w:rFonts w:ascii="Times New Roman" w:hAnsi="Times New Roman" w:cs="Times New Roman"/>
          <w:color w:val="000000"/>
          <w:sz w:val="24"/>
          <w:szCs w:val="23"/>
          <w:lang w:val="es-PE" w:eastAsia="es-PE"/>
        </w:rPr>
        <w:t>Sin perjuicio de lo anterior, cabe reiterar que los extremos referidos a falta de idoneidad de servicio, falta de información necesaria o de información que induce a error en la contratación del seguro escapan de la competencia de esta Defensoría, por lo que esta no puede pronunciarse al respecto.</w:t>
      </w:r>
    </w:p>
    <w:p w:rsidRPr="008B6A09" w:rsidR="00A57F3B" w:rsidP="00A57F3B" w:rsidRDefault="00A57F3B" w14:paraId="05E054F1" w14:textId="77777777">
      <w:pPr>
        <w:spacing w:line="240" w:lineRule="auto"/>
        <w:jc w:val="both"/>
        <w:rPr>
          <w:rFonts w:ascii="Times New Roman" w:hAnsi="Times New Roman" w:cs="Times New Roman"/>
          <w:bCs/>
          <w:sz w:val="23"/>
          <w:szCs w:val="23"/>
          <w:lang w:val="es-ES"/>
        </w:rPr>
      </w:pPr>
      <w:r w:rsidRPr="008B6A09">
        <w:rPr>
          <w:rFonts w:ascii="Times New Roman" w:hAnsi="Times New Roman" w:cs="Times New Roman"/>
          <w:bCs/>
          <w:sz w:val="24"/>
          <w:szCs w:val="23"/>
          <w:lang w:val="es-PE"/>
        </w:rPr>
        <w:t>Atendiendo a lo anterior, el colegiado reitera su convicción que, de los antecedentes fácticos del caso, existen razones fundadas para estimar que el rechazo de cobertura es legítimo.</w:t>
      </w:r>
    </w:p>
    <w:p w:rsidRPr="008B6A09" w:rsidR="00A57F3B" w:rsidP="00A57F3B" w:rsidRDefault="00A57F3B" w14:paraId="2123E8A8" w14:textId="77777777">
      <w:pPr>
        <w:spacing w:line="240" w:lineRule="auto"/>
        <w:jc w:val="both"/>
        <w:rPr>
          <w:rFonts w:ascii="Times New Roman" w:hAnsi="Times New Roman" w:cs="Times New Roman"/>
          <w:sz w:val="23"/>
          <w:szCs w:val="23"/>
          <w:lang w:val="es-PE"/>
        </w:rPr>
      </w:pPr>
      <w:r w:rsidRPr="008B6A09">
        <w:rPr>
          <w:rFonts w:ascii="Times New Roman" w:hAnsi="Times New Roman" w:cs="Times New Roman"/>
          <w:b/>
          <w:sz w:val="24"/>
          <w:szCs w:val="23"/>
          <w:u w:val="single"/>
          <w:lang w:val="es-PE"/>
        </w:rPr>
        <w:t>TERCERO</w:t>
      </w:r>
      <w:r w:rsidRPr="008B6A09">
        <w:rPr>
          <w:rFonts w:ascii="Times New Roman" w:hAnsi="Times New Roman" w:cs="Times New Roman"/>
          <w:b/>
          <w:sz w:val="24"/>
          <w:szCs w:val="23"/>
          <w:lang w:val="es-PE"/>
        </w:rPr>
        <w:t>:</w:t>
      </w:r>
      <w:r w:rsidRPr="008B6A09">
        <w:rPr>
          <w:rFonts w:ascii="Times New Roman" w:hAnsi="Times New Roman" w:cs="Times New Roman"/>
          <w:sz w:val="24"/>
          <w:szCs w:val="23"/>
          <w:lang w:val="es-PE"/>
        </w:rPr>
        <w:t xml:space="preserve"> En atención a las consideraciones precedentes, este colegiado aprecia finalmente que no existe mérito suficiente ni razón objetiva para revocar la resolución recurrida.</w:t>
      </w:r>
    </w:p>
    <w:p w:rsidRPr="008B6A09" w:rsidR="00A57F3B" w:rsidP="00A57F3B" w:rsidRDefault="00A57F3B" w14:paraId="3B617DEF" w14:textId="77777777">
      <w:pPr>
        <w:spacing w:line="240" w:lineRule="auto"/>
        <w:jc w:val="both"/>
        <w:rPr>
          <w:rFonts w:ascii="Times New Roman" w:hAnsi="Times New Roman" w:cs="Times New Roman"/>
          <w:b/>
          <w:sz w:val="23"/>
          <w:szCs w:val="23"/>
          <w:lang w:val="es-PE"/>
        </w:rPr>
      </w:pPr>
      <w:r w:rsidRPr="008B6A09">
        <w:rPr>
          <w:rFonts w:ascii="Times New Roman" w:hAnsi="Times New Roman" w:cs="Times New Roman"/>
          <w:b/>
          <w:sz w:val="24"/>
          <w:szCs w:val="23"/>
          <w:lang w:val="es-PE"/>
        </w:rPr>
        <w:t>RESUELVE:</w:t>
      </w:r>
    </w:p>
    <w:p w:rsidRPr="008B6A09" w:rsidR="008B6A09" w:rsidP="008B6A09" w:rsidRDefault="00A57F3B" w14:paraId="45AF0E52"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Declarar INFUNDADO el Recurso de Impugnación interpuesto y, por consiguiente, CONFIRMAR la Resolución Nro. 127/23.</w:t>
      </w:r>
    </w:p>
    <w:p w:rsidRPr="008B6A09" w:rsidR="008B6A09" w:rsidP="008B6A09" w:rsidRDefault="0091528B" w14:paraId="000A434B" w14:textId="25FBBDDA">
      <w:pPr>
        <w:spacing w:line="240" w:lineRule="auto"/>
        <w:jc w:val="right"/>
        <w:rPr>
          <w:rFonts w:ascii="Times New Roman" w:hAnsi="Times New Roman" w:cs="Times New Roman"/>
          <w:sz w:val="23"/>
          <w:szCs w:val="23"/>
          <w:lang w:val="es-PE"/>
        </w:rPr>
      </w:pPr>
      <w:r w:rsidRPr="008B6A09">
        <w:rPr>
          <w:rFonts w:ascii="Times New Roman" w:hAnsi="Times New Roman" w:eastAsia="Arial Unicode MS" w:cs="Times New Roman"/>
          <w:sz w:val="24"/>
          <w:szCs w:val="23"/>
          <w:lang w:val="es-PE" w:eastAsia="ar-SA"/>
        </w:rPr>
        <w:t xml:space="preserve">Lima, </w:t>
      </w:r>
      <w:r w:rsidRPr="008B6A09" w:rsidR="00EE3E0F">
        <w:rPr>
          <w:rFonts w:ascii="Times New Roman" w:hAnsi="Times New Roman" w:eastAsia="Arial Unicode MS" w:cs="Times New Roman"/>
          <w:sz w:val="24"/>
          <w:szCs w:val="23"/>
          <w:lang w:val="es-PE" w:eastAsia="ar-SA"/>
        </w:rPr>
        <w:t>21</w:t>
      </w:r>
      <w:r w:rsidRPr="008B6A09" w:rsidR="00570ED6">
        <w:rPr>
          <w:rFonts w:ascii="Times New Roman" w:hAnsi="Times New Roman" w:eastAsia="Arial Unicode MS" w:cs="Times New Roman"/>
          <w:sz w:val="24"/>
          <w:szCs w:val="23"/>
          <w:lang w:val="es-PE" w:eastAsia="ar-SA"/>
        </w:rPr>
        <w:t xml:space="preserve"> </w:t>
      </w:r>
      <w:r w:rsidRPr="008B6A09" w:rsidR="00707C99">
        <w:rPr>
          <w:rFonts w:ascii="Times New Roman" w:hAnsi="Times New Roman" w:eastAsia="Arial Unicode MS" w:cs="Times New Roman"/>
          <w:sz w:val="24"/>
          <w:szCs w:val="23"/>
          <w:lang w:val="es-PE" w:eastAsia="ar-SA"/>
        </w:rPr>
        <w:t xml:space="preserve">de </w:t>
      </w:r>
      <w:r w:rsidRPr="008B6A09" w:rsidR="00570ED6">
        <w:rPr>
          <w:rFonts w:ascii="Times New Roman" w:hAnsi="Times New Roman" w:eastAsia="Arial Unicode MS" w:cs="Times New Roman"/>
          <w:sz w:val="24"/>
          <w:szCs w:val="23"/>
          <w:lang w:val="es-PE" w:eastAsia="ar-SA"/>
        </w:rPr>
        <w:t>noviembre</w:t>
      </w:r>
      <w:r w:rsidRPr="008B6A09" w:rsidR="002F478E">
        <w:rPr>
          <w:rFonts w:ascii="Times New Roman" w:hAnsi="Times New Roman" w:eastAsia="Arial Unicode MS" w:cs="Times New Roman"/>
          <w:sz w:val="24"/>
          <w:szCs w:val="23"/>
          <w:lang w:val="es-PE" w:eastAsia="ar-SA"/>
        </w:rPr>
        <w:t xml:space="preserve"> </w:t>
      </w:r>
      <w:r w:rsidRPr="008B6A09" w:rsidR="00F06498">
        <w:rPr>
          <w:rFonts w:ascii="Times New Roman" w:hAnsi="Times New Roman" w:eastAsia="Arial Unicode MS" w:cs="Times New Roman"/>
          <w:sz w:val="24"/>
          <w:szCs w:val="23"/>
          <w:lang w:val="es-PE" w:eastAsia="ar-SA"/>
        </w:rPr>
        <w:t>de 202</w:t>
      </w:r>
      <w:r w:rsidRPr="008B6A09" w:rsidR="00B340D4">
        <w:rPr>
          <w:rFonts w:ascii="Times New Roman" w:hAnsi="Times New Roman" w:eastAsia="Arial Unicode MS" w:cs="Times New Roman"/>
          <w:sz w:val="24"/>
          <w:szCs w:val="23"/>
          <w:lang w:val="es-PE" w:eastAsia="ar-SA"/>
        </w:rPr>
        <w:t>3</w:t>
      </w:r>
      <w:r w:rsidRPr="008B6A09" w:rsidR="00707C99">
        <w:rPr>
          <w:rFonts w:ascii="Times New Roman" w:hAnsi="Times New Roman" w:eastAsia="Times New Roman" w:cs="Times New Roman"/>
          <w:sz w:val="24"/>
          <w:szCs w:val="23"/>
          <w:lang w:val="es-PE" w:eastAsia="ar-SA"/>
        </w:rPr>
        <w:t xml:space="preserve"> </w:t>
      </w:r>
    </w:p>
    <w:p w:rsidRPr="008B6A09"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3"/>
          <w:szCs w:val="23"/>
          <w:lang w:val="es-PE" w:eastAsia="ar-SA"/>
        </w:rPr>
      </w:pPr>
    </w:p>
    <w:p w:rsidRPr="008B6A09"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8B6A09">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8B6A09"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8B6A09" w:rsidR="007543CD" w:rsidP="007543CD" w:rsidRDefault="007543CD" w14:paraId="220AA7AD" w14:textId="77777777">
      <w:pPr>
        <w:spacing w:after="0" w:line="360" w:lineRule="auto"/>
        <w:jc w:val="center"/>
        <w:rPr>
          <w:rFonts w:ascii="Times New Roman" w:hAnsi="Times New Roman" w:cs="Times New Roman"/>
          <w:b/>
          <w:bCs/>
          <w:sz w:val="23"/>
          <w:szCs w:val="23"/>
          <w:lang w:val="es-PE"/>
        </w:rPr>
      </w:pPr>
      <w:r w:rsidRPr="008B6A09">
        <w:rPr>
          <w:rFonts w:ascii="Times New Roman" w:hAnsi="Times New Roman" w:cs="Times New Roman"/>
          <w:b/>
          <w:bCs/>
          <w:sz w:val="24"/>
          <w:szCs w:val="23"/>
          <w:lang w:val="es-PE"/>
        </w:rPr>
        <w:t xml:space="preserve">Rolando Eyzaguirre </w:t>
      </w:r>
      <w:proofErr w:type="spellStart"/>
      <w:r w:rsidRPr="008B6A09">
        <w:rPr>
          <w:rFonts w:ascii="Times New Roman" w:hAnsi="Times New Roman" w:cs="Times New Roman"/>
          <w:b/>
          <w:bCs/>
          <w:sz w:val="24"/>
          <w:szCs w:val="23"/>
          <w:lang w:val="es-PE"/>
        </w:rPr>
        <w:t>Maccan</w:t>
      </w:r>
      <w:proofErr w:type="spellEnd"/>
      <w:r w:rsidRPr="008B6A09">
        <w:rPr>
          <w:rFonts w:ascii="Times New Roman" w:hAnsi="Times New Roman" w:cs="Times New Roman"/>
          <w:b/>
          <w:bCs/>
          <w:sz w:val="24"/>
          <w:szCs w:val="23"/>
          <w:lang w:val="es-PE"/>
        </w:rPr>
        <w:t xml:space="preserve"> – </w:t>
      </w:r>
      <w:proofErr w:type="gramStart"/>
      <w:r w:rsidRPr="008B6A09">
        <w:rPr>
          <w:rFonts w:ascii="Times New Roman" w:hAnsi="Times New Roman" w:cs="Times New Roman"/>
          <w:b/>
          <w:bCs/>
          <w:sz w:val="24"/>
          <w:szCs w:val="23"/>
          <w:lang w:val="es-PE"/>
        </w:rPr>
        <w:t>Presidente</w:t>
      </w:r>
      <w:proofErr w:type="gramEnd"/>
    </w:p>
    <w:p w:rsidRPr="008B6A09" w:rsidR="007543CD" w:rsidP="007543CD" w:rsidRDefault="007543CD" w14:paraId="0DCF6E18" w14:textId="77777777">
      <w:pPr>
        <w:spacing w:after="0" w:line="360" w:lineRule="auto"/>
        <w:jc w:val="center"/>
        <w:rPr>
          <w:rFonts w:ascii="Times New Roman" w:hAnsi="Times New Roman" w:cs="Times New Roman"/>
          <w:b/>
          <w:bCs/>
          <w:sz w:val="23"/>
          <w:szCs w:val="23"/>
          <w:lang w:val="es-PE"/>
        </w:rPr>
      </w:pPr>
      <w:r w:rsidRPr="008B6A09">
        <w:rPr>
          <w:rFonts w:ascii="Times New Roman" w:hAnsi="Times New Roman" w:cs="Times New Roman"/>
          <w:b/>
          <w:bCs/>
          <w:sz w:val="24"/>
          <w:szCs w:val="23"/>
          <w:lang w:val="es-PE"/>
        </w:rPr>
        <w:t>María Eugenia Valdez Fernández Baca – Vocal</w:t>
      </w:r>
    </w:p>
    <w:p w:rsidRPr="008B6A09" w:rsidR="007543CD" w:rsidP="007543CD" w:rsidRDefault="007543CD" w14:paraId="69BF44D1" w14:textId="77777777">
      <w:pPr>
        <w:spacing w:after="0" w:line="360" w:lineRule="auto"/>
        <w:jc w:val="center"/>
        <w:rPr>
          <w:rFonts w:ascii="Times New Roman" w:hAnsi="Times New Roman" w:cs="Times New Roman"/>
          <w:b/>
          <w:bCs/>
          <w:sz w:val="23"/>
          <w:szCs w:val="23"/>
          <w:lang w:val="es-PE"/>
        </w:rPr>
      </w:pPr>
      <w:r w:rsidRPr="008B6A09">
        <w:rPr>
          <w:rFonts w:ascii="Times New Roman" w:hAnsi="Times New Roman" w:cs="Times New Roman"/>
          <w:b/>
          <w:bCs/>
          <w:sz w:val="24"/>
          <w:szCs w:val="23"/>
          <w:lang w:val="es-PE"/>
        </w:rPr>
        <w:t>Omar Alfaro Villanueva – Vocal</w:t>
      </w:r>
    </w:p>
    <w:p w:rsidRPr="008B6A09" w:rsidR="007543CD" w:rsidP="007543CD" w:rsidRDefault="007543CD" w14:paraId="69BFE54F" w14:textId="77777777">
      <w:pPr>
        <w:spacing w:after="0" w:line="360" w:lineRule="auto"/>
        <w:jc w:val="center"/>
        <w:rPr>
          <w:rFonts w:ascii="Times New Roman" w:hAnsi="Times New Roman" w:cs="Times New Roman"/>
          <w:sz w:val="23"/>
          <w:szCs w:val="23"/>
          <w:lang w:val="es-PE"/>
        </w:rPr>
      </w:pPr>
      <w:r w:rsidRPr="008B6A09">
        <w:rPr>
          <w:rFonts w:ascii="Times New Roman" w:hAnsi="Times New Roman" w:cs="Times New Roman"/>
          <w:b/>
          <w:bCs/>
          <w:sz w:val="24"/>
          <w:szCs w:val="23"/>
          <w:lang w:val="es-PE"/>
        </w:rPr>
        <w:t>Gonzalo Abad del Busto – Vocal</w:t>
      </w:r>
    </w:p>
    <w:p w:rsidRPr="00A57F3B"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57F3B"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57F3B"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57F3B"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57F3B"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57F3B"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202EA" w:rsidP="00784355" w:rsidRDefault="00D202EA" w14:paraId="5DD66C8B" w14:textId="77777777">
      <w:pPr>
        <w:spacing w:after="0" w:line="240" w:lineRule="auto"/>
      </w:pPr>
      <w:r>
        <w:separator/>
      </w:r>
    </w:p>
  </w:endnote>
  <w:endnote w:type="continuationSeparator" w:id="0">
    <w:p w:rsidR="00D202EA" w:rsidP="00784355" w:rsidRDefault="00D202EA" w14:paraId="04C23C9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202EA" w:rsidP="00784355" w:rsidRDefault="00D202EA" w14:paraId="072001DC" w14:textId="77777777">
      <w:pPr>
        <w:spacing w:after="0" w:line="240" w:lineRule="auto"/>
      </w:pPr>
      <w:r>
        <w:separator/>
      </w:r>
    </w:p>
  </w:footnote>
  <w:footnote w:type="continuationSeparator" w:id="0">
    <w:p w:rsidR="00D202EA" w:rsidP="00784355" w:rsidRDefault="00D202EA" w14:paraId="3A9CB21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7"/>
  </w:num>
  <w:num w:numId="3" w16cid:durableId="333261791">
    <w:abstractNumId w:val="15"/>
  </w:num>
  <w:num w:numId="4" w16cid:durableId="1770345525">
    <w:abstractNumId w:val="14"/>
  </w:num>
  <w:num w:numId="5" w16cid:durableId="1816144979">
    <w:abstractNumId w:val="16"/>
  </w:num>
  <w:num w:numId="6" w16cid:durableId="1304313350">
    <w:abstractNumId w:val="0"/>
  </w:num>
  <w:num w:numId="7" w16cid:durableId="16682880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9"/>
  </w:num>
  <w:num w:numId="17" w16cid:durableId="17998823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3"/>
  </w:num>
  <w:num w:numId="21" w16cid:durableId="1964574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8486A"/>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837A0"/>
    <w:rsid w:val="00A90926"/>
    <w:rsid w:val="00A91E44"/>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4D5"/>
    <w:rsid w:val="00DC399B"/>
    <w:rsid w:val="00DD0F92"/>
    <w:rsid w:val="00DD5E2B"/>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3E0F"/>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3F49"/>
    <w:rsid w:val="00F65837"/>
    <w:rsid w:val="00F713A4"/>
    <w:rsid w:val="00F72D00"/>
    <w:rsid w:val="00F76FC7"/>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2C883EC"/>
    <w:rsid w:val="200AC252"/>
    <w:rsid w:val="2A37C7E3"/>
    <w:rsid w:val="5835575E"/>
    <w:rsid w:val="5D720792"/>
    <w:rsid w:val="60085129"/>
    <w:rsid w:val="601F67AC"/>
    <w:rsid w:val="753DE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1341ADF-DA19-4DD9-9AAA-6C01F06D2AB6}"/>
</file>

<file path=customXml/itemProps3.xml><?xml version="1.0" encoding="utf-8"?>
<ds:datastoreItem xmlns:ds="http://schemas.openxmlformats.org/officeDocument/2006/customXml" ds:itemID="{615DA25D-A1EA-4B4B-A6B4-BF2246C808D8}"/>
</file>

<file path=customXml/itemProps4.xml><?xml version="1.0" encoding="utf-8"?>
<ds:datastoreItem xmlns:ds="http://schemas.openxmlformats.org/officeDocument/2006/customXml" ds:itemID="{C25443CD-8720-4D87-8F68-9AA647CA39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198</cp:revision>
  <cp:lastPrinted>2023-11-21T14:08:00Z</cp:lastPrinted>
  <dcterms:created xsi:type="dcterms:W3CDTF">2023-02-14T22:37:00Z</dcterms:created>
  <dcterms:modified xsi:type="dcterms:W3CDTF">2025-12-04T17:25:19Z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