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B6A09" w:rsidR="00707C99" w:rsidP="00272F4F" w:rsidRDefault="00201C0D" w14:paraId="19FE0E96" w14:textId="6BD05E3B">
      <w:pPr>
        <w:spacing w:after="0" w:line="240" w:lineRule="auto"/>
        <w:jc w:val="center"/>
        <w:rPr>
          <w:rFonts w:ascii="Times New Roman" w:hAnsi="Times New Roman" w:cs="Times New Roman"/>
          <w:b/>
          <w:sz w:val="23"/>
          <w:szCs w:val="23"/>
          <w:lang w:val="es-PE" w:eastAsia="ar-SA"/>
        </w:rPr>
      </w:pPr>
      <w:r w:rsidRPr="008B6A09">
        <w:rPr>
          <w:rFonts w:ascii="Times New Roman" w:hAnsi="Times New Roman" w:cs="Times New Roman"/>
          <w:b/>
          <w:sz w:val="24"/>
          <w:szCs w:val="23"/>
          <w:lang w:val="es-PE" w:eastAsia="ar-SA"/>
        </w:rPr>
        <w:t xml:space="preserve">RESOLUCIÓN DE RECURSO IMPUGNATIVO </w:t>
      </w:r>
      <w:proofErr w:type="spellStart"/>
      <w:r w:rsidRPr="008B6A09" w:rsidR="00707C99">
        <w:rPr>
          <w:rFonts w:ascii="Times New Roman" w:hAnsi="Times New Roman" w:cs="Times New Roman"/>
          <w:b/>
          <w:sz w:val="24"/>
          <w:szCs w:val="23"/>
          <w:lang w:val="es-PE" w:eastAsia="ar-SA"/>
        </w:rPr>
        <w:t>N°</w:t>
      </w:r>
      <w:proofErr w:type="spellEnd"/>
      <w:r w:rsidRPr="008B6A09" w:rsidR="00707C99">
        <w:rPr>
          <w:rFonts w:ascii="Times New Roman" w:hAnsi="Times New Roman" w:cs="Times New Roman"/>
          <w:b/>
          <w:sz w:val="24"/>
          <w:szCs w:val="23"/>
          <w:lang w:val="es-PE" w:eastAsia="ar-SA"/>
        </w:rPr>
        <w:t xml:space="preserve"> </w:t>
      </w:r>
      <w:r w:rsidRPr="008B6A09" w:rsidR="00516293">
        <w:rPr>
          <w:rFonts w:ascii="Times New Roman" w:hAnsi="Times New Roman" w:cs="Times New Roman"/>
          <w:b/>
          <w:sz w:val="24"/>
          <w:szCs w:val="23"/>
          <w:lang w:val="es-PE" w:eastAsia="ar-SA"/>
        </w:rPr>
        <w:t>0</w:t>
      </w:r>
      <w:r w:rsidRPr="008B6A09" w:rsidR="00BA3C20">
        <w:rPr>
          <w:rFonts w:ascii="Times New Roman" w:hAnsi="Times New Roman" w:cs="Times New Roman"/>
          <w:b/>
          <w:sz w:val="24"/>
          <w:szCs w:val="23"/>
          <w:lang w:val="es-PE" w:eastAsia="ar-SA"/>
        </w:rPr>
        <w:t>5</w:t>
      </w:r>
      <w:r w:rsidR="00AA7CBD">
        <w:rPr>
          <w:rFonts w:ascii="Times New Roman" w:hAnsi="Times New Roman" w:cs="Times New Roman"/>
          <w:b/>
          <w:sz w:val="24"/>
          <w:szCs w:val="23"/>
          <w:lang w:val="es-PE" w:eastAsia="ar-SA"/>
        </w:rPr>
        <w:t>9</w:t>
      </w:r>
      <w:r w:rsidRPr="008B6A09" w:rsidR="00C671F5">
        <w:rPr>
          <w:rFonts w:ascii="Times New Roman" w:hAnsi="Times New Roman" w:cs="Times New Roman"/>
          <w:b/>
          <w:sz w:val="24"/>
          <w:szCs w:val="23"/>
          <w:lang w:val="es-PE" w:eastAsia="ar-SA"/>
        </w:rPr>
        <w:t>/2</w:t>
      </w:r>
      <w:r w:rsidRPr="008B6A09" w:rsidR="00AB7BFE">
        <w:rPr>
          <w:rFonts w:ascii="Times New Roman" w:hAnsi="Times New Roman" w:cs="Times New Roman"/>
          <w:b/>
          <w:sz w:val="24"/>
          <w:szCs w:val="23"/>
          <w:lang w:val="es-PE" w:eastAsia="ar-SA"/>
        </w:rPr>
        <w:t>3</w:t>
      </w:r>
    </w:p>
    <w:p w:rsidRPr="008B6A09" w:rsidR="00C202F1" w:rsidP="00C202F1" w:rsidRDefault="00C202F1" w14:paraId="07656E09" w14:textId="77777777">
      <w:pPr>
        <w:spacing w:after="0" w:line="240" w:lineRule="auto"/>
        <w:jc w:val="both"/>
        <w:rPr>
          <w:rFonts w:ascii="Times New Roman" w:hAnsi="Times New Roman" w:cs="Times New Roman"/>
          <w:b/>
          <w:sz w:val="23"/>
          <w:szCs w:val="23"/>
          <w:lang w:val="es-PE"/>
        </w:rPr>
      </w:pPr>
    </w:p>
    <w:p w:rsidR="006578A4" w:rsidP="006578A4" w:rsidRDefault="006578A4" w14:paraId="10643FB6" w14:textId="77777777">
      <w:pPr>
        <w:spacing w:after="0" w:line="240" w:lineRule="auto"/>
        <w:jc w:val="both"/>
        <w:rPr>
          <w:rFonts w:ascii="Times New Roman" w:hAnsi="Times New Roman" w:cs="Times New Roman"/>
          <w:b/>
          <w:sz w:val="24"/>
          <w:szCs w:val="24"/>
          <w:lang w:val="es-PE"/>
        </w:rPr>
      </w:pPr>
    </w:p>
    <w:p w:rsidR="006578A4" w:rsidP="006578A4" w:rsidRDefault="006578A4" w14:paraId="70ECD925" w14:textId="77777777">
      <w:pPr>
        <w:spacing w:line="240" w:lineRule="auto"/>
        <w:jc w:val="both"/>
        <w:outlineLvl w:val="0"/>
        <w:rPr>
          <w:rFonts w:ascii="Times New Roman" w:hAnsi="Times New Roman" w:cs="Times New Roman"/>
          <w:b/>
          <w:bCs/>
          <w:sz w:val="24"/>
          <w:szCs w:val="24"/>
          <w:lang w:val="es-MX"/>
        </w:rPr>
      </w:pPr>
      <w:r>
        <w:rPr>
          <w:rFonts w:ascii="Times New Roman" w:hAnsi="Times New Roman" w:cs="Times New Roman"/>
          <w:b/>
          <w:bCs/>
          <w:sz w:val="24"/>
          <w:szCs w:val="24"/>
          <w:lang w:val="es-MX"/>
        </w:rPr>
        <w:t>VISTOS:</w:t>
      </w:r>
    </w:p>
    <w:p w:rsidR="006578A4" w:rsidP="006578A4" w:rsidRDefault="006578A4" w14:paraId="49534AD7" w14:textId="64245B7D">
      <w:pPr>
        <w:spacing w:line="240" w:lineRule="auto"/>
        <w:jc w:val="both"/>
        <w:outlineLvl w:val="0"/>
        <w:rPr>
          <w:rFonts w:ascii="Times New Roman" w:hAnsi="Times New Roman" w:cs="Times New Roman"/>
          <w:b w:val="1"/>
          <w:bCs w:val="1"/>
          <w:sz w:val="24"/>
          <w:szCs w:val="24"/>
          <w:lang w:val="es-MX"/>
        </w:rPr>
      </w:pPr>
      <w:r>
        <w:rPr>
          <w:rFonts w:ascii="Times New Roman" w:hAnsi="Times New Roman"/>
          <w:sz w:val="24"/>
        </w:rPr>
        <w:t xml:space="preserve">El Recurso de Impugnación presentado por ................................... respecto de la Resolución Nro. 165/23, expedida por el Órgano Resolutivo Unipersonal de esta Defensoría del Asegurado (DEFASEG), conforme a la cual se declaró FUNDADA la reclamación interpuesta por ........................................................................ respecto al …………………;</w:t>
      </w:r>
    </w:p>
    <w:p w:rsidR="006578A4" w:rsidP="006578A4" w:rsidRDefault="006578A4" w14:paraId="1B6AF140" w14:textId="08A5D4A8">
      <w:pPr>
        <w:pStyle w:val="Textoindependiente"/>
        <w:spacing w:line="240" w:lineRule="auto"/>
      </w:pPr>
      <w:r>
        <w:rPr>
          <w:rFonts w:ascii="Times New Roman" w:hAnsi="Times New Roman"/>
          <w:sz w:val="24"/>
        </w:rPr>
        <w:t xml:space="preserve">Que, el indicado recurso se sustenta resumidamente en lo siguiente: a) El ORU estima que corresponde la cobertura patrimonial por transferencias a terceros – la cual se consigna en el numeral 8 de las Coberturas Principales –, puesto que cubre las transferencias que provenga del uso indebido o fraudulento, por parte de terceros no autorizados, de las identificaciones con las cuales el asegurado está autorizado para realizar transferencias; b) no se ha realizado una lectura correcta de la póliza; pues no se ha tomado en cuenta que la mencionada cobertura es respecto de transferencias de fondos remotas, de las Cuentas Corrientes. No se ha hecho una lectura e interpretación literal de la cobertura que se ha decidido aplicar a fin de declarar fundado el reclamo. En el presente caso no nos encontramos ante un supuesto de transferencia remota, ni de una cuenta corriente; c) el reclamo presentado es respecto a la cuenta sueldo de la señora ................... Palma, lo cual se puede confirmar en denuncia policial y en el anexo N°01 presentado por la asegurada; d) el ORU indica que en la denuncia N° ………………… que la reclamante haya señalado que brindó datos referidos a su cuenta de ahorros al tercero que la llamó. No es necesario que ello conste expresamente en la denuncia. Es evidente que la reclamante fue víctima de vishing. Tal como consta en su manifestación, luego de la llamada realizada por el supuesto personal del BBVA se realizó el movimiento no reconocido. Ello debido a que la asegurada brindó los datos solicitados por dicho tercero; e) que el certificado presentado por ................... no sería el contratado por la reclamante, debe tenerse en cuenta que ésta ha presentado un print de la póliza. Con ello se acredita que hay una póliza contratada y que incluye la cobertura por transferencia de cuenta corriente; f)  de conformidad con el artículo 196 del Código Procesal Civil, corresponde que la reclamante acredite que la póliza contratada incluye la cobertura que solicita. Situación que no se ha dado en el presente caso, aun cuando dicha</w:t>
      </w:r>
    </w:p>
    <w:p w:rsidR="006578A4" w:rsidP="006578A4" w:rsidRDefault="006578A4" w14:paraId="70B5E13D" w14:textId="244A4AE4">
      <w:pPr>
        <w:pStyle w:val="Textoindependiente"/>
        <w:spacing w:line="240" w:lineRule="auto"/>
      </w:pPr>
      <w:r w:rsidR="006578A4">
        <w:rPr>
          <w:rFonts w:ascii="Times New Roman" w:hAnsi="Times New Roman"/>
          <w:sz w:val="24"/>
        </w:rPr>
        <w:t xml:space="preserve">parte cuenta con la póliza electrónica; g)  haciendo referencia a la sétima regla interpretativa a la que hace referencia el Órgano Resolutivo Unipersonal, contenida en el artículo IV de la Ley Nro. 29946 – Ley del Contrato de Seguro: “La cobertura, exclusiones y, en general, la extensión del riesgo, así como los derechos de los beneficiarios, previstos en el contrato de seguro, deben interpretarse literalmente”, no corresponde otorgar la cobertura en el presente caso por no ajustarse a lo estipulado en la cobertura patrimonial por transferencias, regulada en el inciso 8 de las coberturas; h) el rechazo al reclamo presentado por la señora </w:t>
      </w:r>
      <w:r w:rsidR="76AD1FA3">
        <w:rPr>
          <w:rFonts w:ascii="Times New Roman" w:hAnsi="Times New Roman"/>
          <w:sz w:val="24"/>
        </w:rPr>
        <w:t>...................</w:t>
      </w:r>
      <w:r w:rsidR="006578A4">
        <w:rPr>
          <w:rFonts w:ascii="Times New Roman" w:hAnsi="Times New Roman"/>
          <w:sz w:val="24"/>
        </w:rPr>
        <w:t xml:space="preserve"> se encuentra justificado, puesto que al evaluar que el presente caso, verificamos que no encaja dentro de las coberturas que brinda la Póliza Seguro de Protección de Tarjeta BBVA</w:t>
      </w:r>
    </w:p>
    <w:p w:rsidR="006578A4" w:rsidP="006578A4" w:rsidRDefault="006578A4" w14:paraId="0C8EDBD2" w14:textId="77777777">
      <w:pPr>
        <w:pStyle w:val="Textoindependiente"/>
        <w:spacing w:line="240" w:lineRule="auto"/>
      </w:pPr>
    </w:p>
    <w:p w:rsidR="006578A4" w:rsidP="006578A4" w:rsidRDefault="006578A4" w14:paraId="5F93C81A" w14:textId="28681738">
      <w:pPr>
        <w:pStyle w:val="Textoindependiente"/>
        <w:spacing w:line="240" w:lineRule="auto"/>
      </w:pPr>
      <w:r>
        <w:rPr>
          <w:rFonts w:ascii="Times New Roman" w:hAnsi="Times New Roman"/>
          <w:sz w:val="24"/>
        </w:rPr>
        <w:t xml:space="preserve">Que, el reclamante absolvió el traslado del recurso impugnatorio indicando, en síntesis, lo siguiente: a)  La aseguradora reconoce que su persona contrato un seguro de protección de tarjeta BBVA, la cual está asociada a una cuenta de ahorros(sueldo) N° ................................................., cabe precisar que por esta cuenta realice el contrato de dicho seguro, de lo contario no tendría sentido contratar un seguro; b) en los incisos i, ii, iii, la Aseguradora reconoce, primero que no proporcionó la información requerida por ORU en el tiempo requerido, porque el importe solicitado no excede de la suma asegurada, incurriendo en una falta, sin embargo, su persona cumplió con remitir toda la información obtenida de la aseguradora y del banco BBVA, la cual no fue fácil de adquirir. (verificar el contrato y/o póliza vigente); c) la aseguradora solicita …………………, en contra de la Resolución N° 165/23, ya que señala que no se dio una lectura correcta de la póliza, en ese sentido según documento enviado por la aseguradora la POLIZA: ..........................., CODIGO SBS N°: ..............................., se puede apreciar que una de las coberturas, es la cobertura patrimonial por transferencias: la cual cubre el dinero del asegurado que sea transferido desde su cuenta corriente y/o de ahorros (sueldo), mediante</w:t>
      </w:r>
    </w:p>
    <w:p w:rsidR="006578A4" w:rsidP="006578A4" w:rsidRDefault="006578A4" w14:paraId="43706BDB" w14:textId="77777777">
      <w:pPr>
        <w:pStyle w:val="Textoindependiente"/>
        <w:spacing w:line="240" w:lineRule="auto"/>
      </w:pPr>
      <w:r>
        <w:rPr>
          <w:rFonts w:ascii="Times New Roman" w:hAnsi="Times New Roman"/>
          <w:sz w:val="24"/>
        </w:rPr>
        <w:t>el uso indebido por parte de terceros; d) la aseguradora asevera que el tipo de robo del cual fue</w:t>
      </w:r>
    </w:p>
    <w:p w:rsidR="006578A4" w:rsidP="006578A4" w:rsidRDefault="006578A4" w14:paraId="4AE6854D" w14:textId="77777777">
      <w:pPr>
        <w:pStyle w:val="Textoindependiente"/>
        <w:spacing w:line="240" w:lineRule="auto"/>
      </w:pPr>
      <w:r>
        <w:rPr>
          <w:rFonts w:ascii="Times New Roman" w:hAnsi="Times New Roman"/>
          <w:sz w:val="24"/>
        </w:rPr>
        <w:t xml:space="preserve">víctima es </w:t>
      </w:r>
      <w:proofErr w:type="spellStart"/>
      <w:r>
        <w:rPr>
          <w:rFonts w:ascii="Times New Roman" w:hAnsi="Times New Roman"/>
          <w:sz w:val="24"/>
        </w:rPr>
        <w:t>vishing</w:t>
      </w:r>
      <w:proofErr w:type="spellEnd"/>
      <w:r>
        <w:rPr>
          <w:rFonts w:ascii="Times New Roman" w:hAnsi="Times New Roman"/>
          <w:sz w:val="24"/>
        </w:rPr>
        <w:t xml:space="preserve"> e incluso señala que eso esta descrito en la manifestación policial que brindó, lo cual es totalmente falso, incurriendo la aseguradora en declaraciones especulativas.</w:t>
      </w:r>
    </w:p>
    <w:p w:rsidR="006578A4" w:rsidP="006578A4" w:rsidRDefault="006578A4" w14:paraId="0894C586" w14:textId="77777777">
      <w:pPr>
        <w:pStyle w:val="Textoindependiente"/>
        <w:spacing w:line="240" w:lineRule="auto"/>
        <w:rPr>
          <w:bCs w:val="0"/>
          <w:color w:val="000000"/>
          <w:lang w:val="es-PE" w:eastAsia="es-PE"/>
        </w:rPr>
      </w:pPr>
    </w:p>
    <w:p w:rsidR="006578A4" w:rsidP="006578A4" w:rsidRDefault="006578A4" w14:paraId="4E6A6465" w14:textId="77777777">
      <w:pPr>
        <w:pStyle w:val="Textoindependiente"/>
        <w:tabs>
          <w:tab w:val="left" w:pos="930"/>
        </w:tabs>
        <w:spacing w:line="240" w:lineRule="auto"/>
      </w:pPr>
      <w:r>
        <w:rPr>
          <w:rFonts w:ascii="Times New Roman" w:hAnsi="Times New Roman"/>
          <w:sz w:val="24"/>
        </w:rPr>
        <w:t>Que, atendiendo a lo expuesto, esta Defensoría resuelve finalmente lo siguiente:</w:t>
      </w:r>
    </w:p>
    <w:p w:rsidR="006578A4" w:rsidP="006578A4" w:rsidRDefault="006578A4" w14:paraId="629A51CD" w14:textId="77777777">
      <w:pPr>
        <w:pStyle w:val="Textoindependiente"/>
        <w:tabs>
          <w:tab w:val="left" w:pos="930"/>
        </w:tabs>
        <w:spacing w:line="240" w:lineRule="auto"/>
      </w:pPr>
    </w:p>
    <w:p w:rsidR="006578A4" w:rsidP="006578A4" w:rsidRDefault="006578A4" w14:paraId="554120E1"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006578A4" w:rsidP="006578A4" w:rsidRDefault="006578A4" w14:paraId="3E9737CC"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006578A4" w:rsidP="006578A4" w:rsidRDefault="006578A4" w14:paraId="4A4461B4"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SEGUNDO: Que el Recurso de Impugnación presentado por la aseguradora no se sustenta en nueva prueba sino en tratar de desvirtuar los fundamentos de la Resolución Impugnada, invocando que (i) no se ha realizado una lectura correcta de la póliza, ya que no se ha tomado en cuenta que la cobertura patrimonial por transferencias es respecto de transferencias de fondos remotas, de las Cuentas Corrientes y que (ii) la reclamante fue víctima de vishing, no siendo un riesgo coberturado por la póliza.</w:t>
      </w:r>
    </w:p>
    <w:p w:rsidR="006578A4" w:rsidP="006578A4" w:rsidRDefault="006578A4" w14:paraId="3C651301" w14:textId="77777777">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En este caso, conforme a los medios probatorios que obran en autos, la reclamante habría sido víctima de fraude informático, realizándose una operación no reconocida (transferencia) desde su cuenta sueldo por la suma de S/. 661.00 (Seiscientos Sesenta y Uno con 00/100 Soles):</w:t>
      </w:r>
    </w:p>
    <w:p w:rsidR="006578A4" w:rsidP="006578A4" w:rsidRDefault="006578A4" w14:paraId="0C96D453" w14:textId="77777777">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Que, el Órgano Resolutivo Unipersonal señaló que no había quedado acreditado fehacientemente que la reclamante brindará sus datos personales a terceros, siendo conclusiones especulativas por parte de la Compañía.</w:t>
      </w:r>
    </w:p>
    <w:p w:rsidR="006578A4" w:rsidP="006578A4" w:rsidRDefault="006578A4" w14:paraId="115C2828" w14:textId="77777777">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Que, la aseguradora no ha cumplido con presentar la póliza y/o certificado del Seguro de Protección de Tarjeta BBVA contratada por el reclamante, donde se plasmen las condiciones particulares, a fin de verificar y analizar las coberturas contratadas, así como la Suma Asegurada.</w:t>
      </w:r>
    </w:p>
    <w:p w:rsidR="006578A4" w:rsidP="006578A4" w:rsidRDefault="006578A4" w14:paraId="177D3C42" w14:textId="7A2A3E04">
      <w:pPr>
        <w:spacing w:line="240" w:lineRule="auto"/>
        <w:jc w:val="both"/>
        <w:rPr>
          <w:rFonts w:ascii="Times New Roman" w:hAnsi="Times New Roman" w:cs="Times New Roman"/>
          <w:sz w:val="24"/>
          <w:szCs w:val="24"/>
          <w:lang w:val="es-PE"/>
        </w:rPr>
      </w:pPr>
      <w:r w:rsidRPr="5588C9F6" w:rsidR="006578A4">
        <w:rPr>
          <w:rFonts w:ascii="Times New Roman" w:hAnsi="Times New Roman" w:cs="Times New Roman"/>
          <w:sz w:val="24"/>
          <w:szCs w:val="24"/>
          <w:lang w:val="es-PE"/>
        </w:rPr>
        <w:t xml:space="preserve">Que, la señora </w:t>
      </w:r>
      <w:r w:rsidRPr="5588C9F6" w:rsidR="76AD1FA3">
        <w:rPr>
          <w:rFonts w:ascii="Times New Roman" w:hAnsi="Times New Roman" w:cs="Times New Roman"/>
          <w:sz w:val="24"/>
          <w:szCs w:val="24"/>
          <w:lang w:val="es-PE"/>
        </w:rPr>
        <w:t>...................</w:t>
      </w:r>
      <w:r w:rsidRPr="5588C9F6" w:rsidR="006578A4">
        <w:rPr>
          <w:rFonts w:ascii="Times New Roman" w:hAnsi="Times New Roman" w:cs="Times New Roman"/>
          <w:sz w:val="24"/>
          <w:szCs w:val="24"/>
          <w:lang w:val="es-PE"/>
        </w:rPr>
        <w:t xml:space="preserve"> ha presentado el certificado contratado - </w:t>
      </w:r>
      <w:r w:rsidRPr="5588C9F6" w:rsidR="42C8745D">
        <w:rPr>
          <w:rFonts w:ascii="Times New Roman" w:hAnsi="Times New Roman" w:cs="Times New Roman"/>
          <w:sz w:val="24"/>
          <w:szCs w:val="24"/>
          <w:lang w:val="es-PE"/>
        </w:rPr>
        <w:t>....................</w:t>
      </w:r>
      <w:r w:rsidRPr="5588C9F6" w:rsidR="006578A4">
        <w:rPr>
          <w:rFonts w:ascii="Times New Roman" w:hAnsi="Times New Roman" w:cs="Times New Roman"/>
          <w:sz w:val="24"/>
          <w:szCs w:val="24"/>
          <w:lang w:val="es-PE"/>
        </w:rPr>
        <w:t>-Junio2020, verificándose la siguiente cobertura:</w:t>
      </w:r>
    </w:p>
    <w:p w:rsidR="006578A4" w:rsidP="006578A4" w:rsidRDefault="006578A4" w14:paraId="3A7D6C85" w14:textId="68248D93">
      <w:pPr>
        <w:spacing w:line="240" w:lineRule="auto"/>
        <w:jc w:val="both"/>
      </w:pPr>
      <w:r w:rsidR="1E30BDEA">
        <w:rPr>
          <w:rFonts w:ascii="Times New Roman" w:hAnsi="Times New Roman"/>
          <w:sz w:val="24"/>
        </w:rPr>
        <w:t>.................................................................................................................................................</w:t>
      </w:r>
    </w:p>
    <w:p w:rsidR="5588C9F6" w:rsidP="5588C9F6" w:rsidRDefault="5588C9F6" w14:paraId="4DD151E7" w14:textId="603BE1E3">
      <w:pPr>
        <w:spacing w:line="240" w:lineRule="auto"/>
        <w:jc w:val="both"/>
      </w:pPr>
    </w:p>
    <w:p w:rsidR="006578A4" w:rsidP="006578A4" w:rsidRDefault="006578A4" w14:paraId="78B8FB29" w14:textId="22933AD6">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Así, la cobertura patrimonial por transferencia encajaría en el presente caso</w:t>
      </w:r>
      <w:r w:rsidR="0009404A">
        <w:rPr>
          <w:rFonts w:ascii="Times New Roman" w:hAnsi="Times New Roman" w:cs="Times New Roman"/>
          <w:sz w:val="24"/>
          <w:szCs w:val="24"/>
          <w:lang w:val="es-PE"/>
        </w:rPr>
        <w:t>,</w:t>
      </w:r>
      <w:r>
        <w:rPr>
          <w:rFonts w:ascii="Times New Roman" w:hAnsi="Times New Roman" w:cs="Times New Roman"/>
          <w:sz w:val="24"/>
          <w:szCs w:val="24"/>
          <w:lang w:val="es-PE"/>
        </w:rPr>
        <w:t xml:space="preserve"> al tratarse de una transferencia a terceros desde su cuenta sueldo – cuenta de ahorros.</w:t>
      </w:r>
    </w:p>
    <w:p w:rsidR="006578A4" w:rsidP="006578A4" w:rsidRDefault="006578A4" w14:paraId="6B8853B8" w14:textId="77777777">
      <w:pPr>
        <w:spacing w:line="240" w:lineRule="auto"/>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TERCERO</w:t>
      </w:r>
      <w:r>
        <w:rPr>
          <w:rFonts w:ascii="Times New Roman" w:hAnsi="Times New Roman" w:cs="Times New Roman"/>
          <w:b/>
          <w:sz w:val="24"/>
          <w:szCs w:val="24"/>
          <w:lang w:val="es-PE"/>
        </w:rPr>
        <w:t>:</w:t>
      </w:r>
      <w:r>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006578A4" w:rsidP="5588C9F6" w:rsidRDefault="006578A4" w14:paraId="6800B58C" w14:textId="5A11E20E">
      <w:pPr>
        <w:spacing w:line="240" w:lineRule="auto"/>
        <w:jc w:val="both"/>
        <w:rPr>
          <w:rFonts w:ascii="Times New Roman" w:hAnsi="Times New Roman" w:cs="Times New Roman"/>
          <w:b w:val="1"/>
          <w:bCs w:val="1"/>
          <w:sz w:val="24"/>
          <w:szCs w:val="24"/>
          <w:lang w:val="es-PE"/>
        </w:rPr>
      </w:pPr>
      <w:r w:rsidRPr="5588C9F6" w:rsidR="006578A4">
        <w:rPr>
          <w:rFonts w:ascii="Times New Roman" w:hAnsi="Times New Roman" w:cs="Times New Roman"/>
          <w:b w:val="1"/>
          <w:bCs w:val="1"/>
          <w:sz w:val="24"/>
          <w:szCs w:val="24"/>
          <w:u w:val="single"/>
          <w:lang w:val="es-PE"/>
        </w:rPr>
        <w:t>CUARTO</w:t>
      </w:r>
      <w:r w:rsidRPr="5588C9F6" w:rsidR="006578A4">
        <w:rPr>
          <w:rFonts w:ascii="Times New Roman" w:hAnsi="Times New Roman" w:cs="Times New Roman"/>
          <w:b w:val="1"/>
          <w:bCs w:val="1"/>
          <w:sz w:val="24"/>
          <w:szCs w:val="24"/>
          <w:lang w:val="es-PE"/>
        </w:rPr>
        <w:t xml:space="preserve">: </w:t>
      </w:r>
      <w:r w:rsidRPr="5588C9F6" w:rsidR="006578A4">
        <w:rPr>
          <w:rFonts w:ascii="Times New Roman" w:hAnsi="Times New Roman" w:cs="Times New Roman"/>
          <w:sz w:val="24"/>
          <w:szCs w:val="24"/>
          <w:lang w:val="es-PE"/>
        </w:rPr>
        <w:t xml:space="preserve">Se exhorta a </w:t>
      </w:r>
      <w:r w:rsidRPr="5588C9F6" w:rsidR="7D772298">
        <w:rPr>
          <w:rFonts w:ascii="Times New Roman" w:hAnsi="Times New Roman" w:cs="Times New Roman"/>
          <w:sz w:val="24"/>
          <w:szCs w:val="24"/>
          <w:lang w:val="es-PE"/>
        </w:rPr>
        <w:t>...................................</w:t>
      </w:r>
      <w:r w:rsidRPr="5588C9F6" w:rsidR="006578A4">
        <w:rPr>
          <w:rFonts w:ascii="Times New Roman" w:hAnsi="Times New Roman" w:cs="Times New Roman"/>
          <w:sz w:val="24"/>
          <w:szCs w:val="24"/>
          <w:lang w:val="es-PE"/>
        </w:rPr>
        <w:t xml:space="preserve"> para que presente las pólizas correspondientes a cada caso, evitando así, contradicciones que solo dilatan de forma innecesaria el procedimiento ante esta entidad.</w:t>
      </w:r>
    </w:p>
    <w:p w:rsidRPr="00AE3EA8" w:rsidR="006578A4" w:rsidP="006578A4" w:rsidRDefault="006578A4" w14:paraId="7E41B7DD" w14:textId="77777777">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Pr="00AE3EA8" w:rsidR="006578A4" w:rsidP="5588C9F6" w:rsidRDefault="006578A4" w14:paraId="3A378ABA" w14:textId="61FAC038">
      <w:pPr>
        <w:pStyle w:val="Default"/>
        <w:spacing w:line="240" w:lineRule="auto"/>
        <w:jc w:val="both"/>
        <w:rPr>
          <w:rFonts w:ascii="Times New Roman" w:hAnsi="Times New Roman" w:cs="Times New Roman"/>
          <w:b w:val="1"/>
          <w:bCs w:val="1"/>
          <w:lang w:val="es-MX"/>
        </w:rPr>
      </w:pPr>
      <w:r>
        <w:rPr>
          <w:rFonts w:ascii="Times New Roman" w:hAnsi="Times New Roman"/>
          <w:sz w:val="24"/>
        </w:rPr>
        <w:t xml:space="preserve">DECLARAR INFUNDADO el Recurso de Impugnación interpuesto por ................................... Y REASEGUROS y, por consiguiente, CONFIRMAR la Resolución N° 165/23.</w:t>
      </w:r>
    </w:p>
    <w:p w:rsidRPr="00AE3EA8" w:rsidR="006578A4" w:rsidP="006578A4" w:rsidRDefault="006578A4" w14:paraId="188C7163" w14:textId="77777777">
      <w:pPr>
        <w:pStyle w:val="Default"/>
        <w:spacing w:line="240" w:lineRule="auto"/>
        <w:jc w:val="both"/>
        <w:rPr>
          <w:rFonts w:ascii="Times New Roman" w:hAnsi="Times New Roman" w:cs="Times New Roman"/>
          <w:b/>
        </w:rPr>
      </w:pPr>
    </w:p>
    <w:p w:rsidRPr="00AE3EA8" w:rsidR="008B6A09" w:rsidP="008B6A09" w:rsidRDefault="0091528B" w14:paraId="000A434B" w14:textId="25FBBDDA">
      <w:pPr>
        <w:spacing w:line="240" w:lineRule="auto"/>
        <w:jc w:val="right"/>
        <w:rPr>
          <w:rFonts w:ascii="Times New Roman" w:hAnsi="Times New Roman" w:cs="Times New Roman"/>
          <w:sz w:val="24"/>
          <w:szCs w:val="24"/>
          <w:lang w:val="es-PE"/>
        </w:rPr>
      </w:pPr>
      <w:r w:rsidRPr="00AE3EA8">
        <w:rPr>
          <w:rFonts w:ascii="Times New Roman" w:hAnsi="Times New Roman" w:eastAsia="Arial Unicode MS" w:cs="Times New Roman"/>
          <w:sz w:val="24"/>
          <w:szCs w:val="24"/>
          <w:lang w:val="es-PE" w:eastAsia="ar-SA"/>
        </w:rPr>
        <w:t xml:space="preserve">Lima, </w:t>
      </w:r>
      <w:r w:rsidRPr="00AE3EA8" w:rsidR="00EE3E0F">
        <w:rPr>
          <w:rFonts w:ascii="Times New Roman" w:hAnsi="Times New Roman" w:eastAsia="Arial Unicode MS" w:cs="Times New Roman"/>
          <w:sz w:val="24"/>
          <w:szCs w:val="24"/>
          <w:lang w:val="es-PE" w:eastAsia="ar-SA"/>
        </w:rPr>
        <w:t>21</w:t>
      </w:r>
      <w:r w:rsidRPr="00AE3EA8" w:rsidR="00570ED6">
        <w:rPr>
          <w:rFonts w:ascii="Times New Roman" w:hAnsi="Times New Roman" w:eastAsia="Arial Unicode MS" w:cs="Times New Roman"/>
          <w:sz w:val="24"/>
          <w:szCs w:val="24"/>
          <w:lang w:val="es-PE" w:eastAsia="ar-SA"/>
        </w:rPr>
        <w:t xml:space="preserve"> </w:t>
      </w:r>
      <w:r w:rsidRPr="00AE3EA8" w:rsidR="00707C99">
        <w:rPr>
          <w:rFonts w:ascii="Times New Roman" w:hAnsi="Times New Roman" w:eastAsia="Arial Unicode MS" w:cs="Times New Roman"/>
          <w:sz w:val="24"/>
          <w:szCs w:val="24"/>
          <w:lang w:val="es-PE" w:eastAsia="ar-SA"/>
        </w:rPr>
        <w:t xml:space="preserve">de </w:t>
      </w:r>
      <w:r w:rsidRPr="00AE3EA8" w:rsidR="00570ED6">
        <w:rPr>
          <w:rFonts w:ascii="Times New Roman" w:hAnsi="Times New Roman" w:eastAsia="Arial Unicode MS" w:cs="Times New Roman"/>
          <w:sz w:val="24"/>
          <w:szCs w:val="24"/>
          <w:lang w:val="es-PE" w:eastAsia="ar-SA"/>
        </w:rPr>
        <w:t>noviembre</w:t>
      </w:r>
      <w:r w:rsidRPr="00AE3EA8" w:rsidR="002F478E">
        <w:rPr>
          <w:rFonts w:ascii="Times New Roman" w:hAnsi="Times New Roman" w:eastAsia="Arial Unicode MS" w:cs="Times New Roman"/>
          <w:sz w:val="24"/>
          <w:szCs w:val="24"/>
          <w:lang w:val="es-PE" w:eastAsia="ar-SA"/>
        </w:rPr>
        <w:t xml:space="preserve"> </w:t>
      </w:r>
      <w:r w:rsidRPr="00AE3EA8" w:rsidR="00F06498">
        <w:rPr>
          <w:rFonts w:ascii="Times New Roman" w:hAnsi="Times New Roman" w:eastAsia="Arial Unicode MS" w:cs="Times New Roman"/>
          <w:sz w:val="24"/>
          <w:szCs w:val="24"/>
          <w:lang w:val="es-PE" w:eastAsia="ar-SA"/>
        </w:rPr>
        <w:t>de 202</w:t>
      </w:r>
      <w:r w:rsidRPr="00AE3EA8" w:rsidR="00B340D4">
        <w:rPr>
          <w:rFonts w:ascii="Times New Roman" w:hAnsi="Times New Roman" w:eastAsia="Arial Unicode MS" w:cs="Times New Roman"/>
          <w:sz w:val="24"/>
          <w:szCs w:val="24"/>
          <w:lang w:val="es-PE" w:eastAsia="ar-SA"/>
        </w:rPr>
        <w:t>3</w:t>
      </w:r>
      <w:r w:rsidRPr="00AE3EA8" w:rsidR="00707C99">
        <w:rPr>
          <w:rFonts w:ascii="Times New Roman" w:hAnsi="Times New Roman" w:eastAsia="Times New Roman" w:cs="Times New Roman"/>
          <w:sz w:val="24"/>
          <w:szCs w:val="24"/>
          <w:lang w:val="es-PE" w:eastAsia="ar-SA"/>
        </w:rPr>
        <w:t xml:space="preserve"> </w:t>
      </w:r>
    </w:p>
    <w:p w:rsidRPr="00AE3EA8" w:rsidR="008B6A09" w:rsidP="008B6A09" w:rsidRDefault="008B6A09" w14:paraId="7433A34B" w14:textId="77777777">
      <w:pPr>
        <w:suppressAutoHyphens/>
        <w:spacing w:after="0" w:line="240" w:lineRule="auto"/>
        <w:jc w:val="right"/>
        <w:outlineLvl w:val="0"/>
        <w:rPr>
          <w:rFonts w:ascii="Times New Roman" w:hAnsi="Times New Roman" w:eastAsia="Arial Unicode MS" w:cs="Times New Roman"/>
          <w:sz w:val="24"/>
          <w:szCs w:val="24"/>
          <w:lang w:val="es-PE" w:eastAsia="ar-SA"/>
        </w:rPr>
      </w:pPr>
    </w:p>
    <w:p w:rsidRPr="00AE3EA8"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AE3EA8">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E3EA8"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AE3EA8" w:rsidR="007543CD" w:rsidP="007543CD" w:rsidRDefault="007543CD" w14:paraId="220AA7AD" w14:textId="77777777">
      <w:pPr>
        <w:spacing w:after="0" w:line="360" w:lineRule="auto"/>
        <w:jc w:val="center"/>
        <w:rPr>
          <w:rFonts w:ascii="Times New Roman" w:hAnsi="Times New Roman" w:cs="Times New Roman"/>
          <w:b/>
          <w:bCs/>
          <w:sz w:val="24"/>
          <w:szCs w:val="24"/>
          <w:lang w:val="es-PE"/>
        </w:rPr>
      </w:pPr>
      <w:r w:rsidRPr="00AE3EA8">
        <w:rPr>
          <w:rFonts w:ascii="Times New Roman" w:hAnsi="Times New Roman" w:cs="Times New Roman"/>
          <w:b/>
          <w:bCs/>
          <w:sz w:val="24"/>
          <w:szCs w:val="24"/>
          <w:lang w:val="es-PE"/>
        </w:rPr>
        <w:t xml:space="preserve">Rolando Eyzaguirre </w:t>
      </w:r>
      <w:proofErr w:type="spellStart"/>
      <w:r w:rsidRPr="00AE3EA8">
        <w:rPr>
          <w:rFonts w:ascii="Times New Roman" w:hAnsi="Times New Roman" w:cs="Times New Roman"/>
          <w:b/>
          <w:bCs/>
          <w:sz w:val="24"/>
          <w:szCs w:val="24"/>
          <w:lang w:val="es-PE"/>
        </w:rPr>
        <w:t>Maccan</w:t>
      </w:r>
      <w:proofErr w:type="spellEnd"/>
      <w:r w:rsidRPr="00AE3EA8">
        <w:rPr>
          <w:rFonts w:ascii="Times New Roman" w:hAnsi="Times New Roman" w:cs="Times New Roman"/>
          <w:b/>
          <w:bCs/>
          <w:sz w:val="24"/>
          <w:szCs w:val="24"/>
          <w:lang w:val="es-PE"/>
        </w:rPr>
        <w:t xml:space="preserve"> – Presidente</w:t>
      </w:r>
    </w:p>
    <w:p w:rsidRPr="00AE3EA8" w:rsidR="007543CD" w:rsidP="007543CD" w:rsidRDefault="007543CD" w14:paraId="0DCF6E18" w14:textId="77777777">
      <w:pPr>
        <w:spacing w:after="0" w:line="360" w:lineRule="auto"/>
        <w:jc w:val="center"/>
        <w:rPr>
          <w:rFonts w:ascii="Times New Roman" w:hAnsi="Times New Roman" w:cs="Times New Roman"/>
          <w:b/>
          <w:bCs/>
          <w:sz w:val="24"/>
          <w:szCs w:val="24"/>
          <w:lang w:val="es-PE"/>
        </w:rPr>
      </w:pPr>
      <w:r w:rsidRPr="00AE3EA8">
        <w:rPr>
          <w:rFonts w:ascii="Times New Roman" w:hAnsi="Times New Roman" w:cs="Times New Roman"/>
          <w:b/>
          <w:bCs/>
          <w:sz w:val="24"/>
          <w:szCs w:val="24"/>
          <w:lang w:val="es-PE"/>
        </w:rPr>
        <w:t>María Eugenia Valdez Fernández Baca – Vocal</w:t>
      </w:r>
    </w:p>
    <w:p w:rsidRPr="00AE3EA8" w:rsidR="007543CD" w:rsidP="007543CD" w:rsidRDefault="007543CD" w14:paraId="69BF44D1" w14:textId="77777777">
      <w:pPr>
        <w:spacing w:after="0" w:line="360" w:lineRule="auto"/>
        <w:jc w:val="center"/>
        <w:rPr>
          <w:rFonts w:ascii="Times New Roman" w:hAnsi="Times New Roman" w:cs="Times New Roman"/>
          <w:b/>
          <w:bCs/>
          <w:sz w:val="24"/>
          <w:szCs w:val="24"/>
          <w:lang w:val="es-PE"/>
        </w:rPr>
      </w:pPr>
      <w:r w:rsidRPr="00AE3EA8">
        <w:rPr>
          <w:rFonts w:ascii="Times New Roman" w:hAnsi="Times New Roman" w:cs="Times New Roman"/>
          <w:b/>
          <w:bCs/>
          <w:sz w:val="24"/>
          <w:szCs w:val="24"/>
          <w:lang w:val="es-PE"/>
        </w:rPr>
        <w:t>Omar Alfaro Villanueva – Vocal</w:t>
      </w:r>
    </w:p>
    <w:p w:rsidRPr="00AE3EA8"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AE3EA8">
        <w:rPr>
          <w:rFonts w:ascii="Times New Roman" w:hAnsi="Times New Roman" w:cs="Times New Roman"/>
          <w:b/>
          <w:bCs/>
          <w:sz w:val="24"/>
          <w:szCs w:val="24"/>
          <w:lang w:val="es-PE"/>
        </w:rPr>
        <w:t>Gonzalo Abad del Busto – Vocal</w:t>
      </w:r>
    </w:p>
    <w:p w:rsidRPr="00A57F3B" w:rsidR="00986F0C" w:rsidP="00556526" w:rsidRDefault="00986F0C" w14:paraId="412CCBAA" w14:textId="77777777">
      <w:pPr>
        <w:spacing w:after="0" w:line="240" w:lineRule="auto"/>
        <w:jc w:val="center"/>
        <w:rPr>
          <w:rFonts w:ascii="Times New Roman" w:hAnsi="Times New Roman" w:cs="Times New Roman"/>
          <w:b/>
          <w:bCs/>
          <w:sz w:val="24"/>
          <w:szCs w:val="24"/>
          <w:lang w:val="es-PE"/>
        </w:rPr>
      </w:pPr>
    </w:p>
    <w:p w:rsidRPr="00A57F3B" w:rsidR="00C6662D" w:rsidP="00C6662D" w:rsidRDefault="00C6662D" w14:paraId="14DFBF1F" w14:textId="77777777">
      <w:pPr>
        <w:spacing w:after="0" w:line="240" w:lineRule="auto"/>
        <w:rPr>
          <w:rFonts w:ascii="Times New Roman" w:hAnsi="Times New Roman" w:cs="Times New Roman"/>
          <w:b/>
          <w:bCs/>
          <w:sz w:val="24"/>
          <w:szCs w:val="24"/>
          <w:lang w:val="es-PE"/>
        </w:rPr>
      </w:pPr>
    </w:p>
    <w:p w:rsidRPr="00A57F3B" w:rsidR="00556526" w:rsidP="00B17E56" w:rsidRDefault="00556526" w14:paraId="5D853B0D" w14:textId="088DF411">
      <w:pPr>
        <w:spacing w:line="240" w:lineRule="auto"/>
        <w:jc w:val="both"/>
        <w:rPr>
          <w:rFonts w:ascii="Times New Roman" w:hAnsi="Times New Roman" w:cs="Times New Roman"/>
          <w:b/>
          <w:bCs/>
          <w:i/>
          <w:iCs/>
          <w:sz w:val="24"/>
          <w:szCs w:val="24"/>
          <w:lang w:val="es-ES_tradnl"/>
        </w:rPr>
      </w:pPr>
    </w:p>
    <w:p w:rsidRPr="00A57F3B"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57F3B"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57F3B" w:rsidR="00C671F5" w:rsidSect="00077B6F">
      <w:headerReference w:type="default" r:id="rId9"/>
      <w:footerReference w:type="default" r:id="rId10"/>
      <w:headerReference w:type="first" r:id="rId8"/>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77C09" w:rsidP="00784355" w:rsidRDefault="00A77C09" w14:paraId="05F86851" w14:textId="77777777">
      <w:pPr>
        <w:spacing w:after="0" w:line="240" w:lineRule="auto"/>
      </w:pPr>
      <w:r>
        <w:separator/>
      </w:r>
    </w:p>
  </w:endnote>
  <w:endnote w:type="continuationSeparator" w:id="0">
    <w:p w:rsidR="00A77C09" w:rsidP="00784355" w:rsidRDefault="00A77C09" w14:paraId="4E4F66A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77C09" w:rsidP="00784355" w:rsidRDefault="00A77C09" w14:paraId="40F56BF4" w14:textId="77777777">
      <w:pPr>
        <w:spacing w:after="0" w:line="240" w:lineRule="auto"/>
      </w:pPr>
      <w:r>
        <w:separator/>
      </w:r>
    </w:p>
  </w:footnote>
  <w:footnote w:type="continuationSeparator" w:id="0">
    <w:p w:rsidR="00A77C09" w:rsidP="00784355" w:rsidRDefault="00A77C09" w14:paraId="598FAD8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2"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2"/>
  </w:num>
  <w:num w:numId="2" w16cid:durableId="1929533434">
    <w:abstractNumId w:val="17"/>
  </w:num>
  <w:num w:numId="3" w16cid:durableId="333261791">
    <w:abstractNumId w:val="15"/>
  </w:num>
  <w:num w:numId="4" w16cid:durableId="1770345525">
    <w:abstractNumId w:val="14"/>
  </w:num>
  <w:num w:numId="5" w16cid:durableId="1816144979">
    <w:abstractNumId w:val="16"/>
  </w:num>
  <w:num w:numId="6" w16cid:durableId="1304313350">
    <w:abstractNumId w:val="0"/>
  </w:num>
  <w:num w:numId="7" w16cid:durableId="16682880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1"/>
  </w:num>
  <w:num w:numId="13" w16cid:durableId="16689044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9"/>
  </w:num>
  <w:num w:numId="17" w16cid:durableId="17998823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3"/>
  </w:num>
  <w:num w:numId="21" w16cid:durableId="1964574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5A04"/>
    <w:rsid w:val="0004480C"/>
    <w:rsid w:val="000512AD"/>
    <w:rsid w:val="00053740"/>
    <w:rsid w:val="00053D16"/>
    <w:rsid w:val="00056D9F"/>
    <w:rsid w:val="0006153B"/>
    <w:rsid w:val="000619A2"/>
    <w:rsid w:val="00063183"/>
    <w:rsid w:val="0006548C"/>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6CCA"/>
    <w:rsid w:val="000A1DAF"/>
    <w:rsid w:val="000A55BA"/>
    <w:rsid w:val="000A5666"/>
    <w:rsid w:val="000A5CAA"/>
    <w:rsid w:val="000B19A0"/>
    <w:rsid w:val="000B58D8"/>
    <w:rsid w:val="000C0734"/>
    <w:rsid w:val="000C1AAB"/>
    <w:rsid w:val="000D5F00"/>
    <w:rsid w:val="000F17DA"/>
    <w:rsid w:val="000F56CC"/>
    <w:rsid w:val="000F6340"/>
    <w:rsid w:val="00111342"/>
    <w:rsid w:val="0011308C"/>
    <w:rsid w:val="00116B6A"/>
    <w:rsid w:val="0012166D"/>
    <w:rsid w:val="00125B9B"/>
    <w:rsid w:val="0013051A"/>
    <w:rsid w:val="001320DF"/>
    <w:rsid w:val="00136E12"/>
    <w:rsid w:val="001373AF"/>
    <w:rsid w:val="001377EF"/>
    <w:rsid w:val="0014650D"/>
    <w:rsid w:val="00150874"/>
    <w:rsid w:val="001508BC"/>
    <w:rsid w:val="001529FE"/>
    <w:rsid w:val="00157979"/>
    <w:rsid w:val="00160361"/>
    <w:rsid w:val="001703D8"/>
    <w:rsid w:val="00170E39"/>
    <w:rsid w:val="00171DF3"/>
    <w:rsid w:val="00174918"/>
    <w:rsid w:val="001749D2"/>
    <w:rsid w:val="00174DA5"/>
    <w:rsid w:val="00181908"/>
    <w:rsid w:val="00181DCE"/>
    <w:rsid w:val="00187BFD"/>
    <w:rsid w:val="0019385F"/>
    <w:rsid w:val="00196365"/>
    <w:rsid w:val="001A008A"/>
    <w:rsid w:val="001A3395"/>
    <w:rsid w:val="001A43EC"/>
    <w:rsid w:val="001A44E1"/>
    <w:rsid w:val="001A555F"/>
    <w:rsid w:val="001B1E59"/>
    <w:rsid w:val="001B3EE9"/>
    <w:rsid w:val="001B58A3"/>
    <w:rsid w:val="001C052B"/>
    <w:rsid w:val="001C3A70"/>
    <w:rsid w:val="001D0EED"/>
    <w:rsid w:val="001D59D9"/>
    <w:rsid w:val="001D6136"/>
    <w:rsid w:val="001E119C"/>
    <w:rsid w:val="001E6657"/>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A31D3"/>
    <w:rsid w:val="002A3D36"/>
    <w:rsid w:val="002A7E2E"/>
    <w:rsid w:val="002B726E"/>
    <w:rsid w:val="002C2A0F"/>
    <w:rsid w:val="002D0DB0"/>
    <w:rsid w:val="002D3B01"/>
    <w:rsid w:val="002D4977"/>
    <w:rsid w:val="002E0275"/>
    <w:rsid w:val="002E1221"/>
    <w:rsid w:val="002E17F9"/>
    <w:rsid w:val="002F09CA"/>
    <w:rsid w:val="002F35F0"/>
    <w:rsid w:val="002F478E"/>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F0C97"/>
    <w:rsid w:val="003F1149"/>
    <w:rsid w:val="003F1B5F"/>
    <w:rsid w:val="003F20C7"/>
    <w:rsid w:val="003F2DC2"/>
    <w:rsid w:val="00403814"/>
    <w:rsid w:val="004049B9"/>
    <w:rsid w:val="00411866"/>
    <w:rsid w:val="00414A7B"/>
    <w:rsid w:val="00417E23"/>
    <w:rsid w:val="0042236E"/>
    <w:rsid w:val="00425ACB"/>
    <w:rsid w:val="00425F75"/>
    <w:rsid w:val="00426C11"/>
    <w:rsid w:val="00440BC2"/>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718F"/>
    <w:rsid w:val="004B155C"/>
    <w:rsid w:val="004B27E2"/>
    <w:rsid w:val="004B51ED"/>
    <w:rsid w:val="004C1C34"/>
    <w:rsid w:val="004C34ED"/>
    <w:rsid w:val="004C51EC"/>
    <w:rsid w:val="004C5A91"/>
    <w:rsid w:val="004E65DD"/>
    <w:rsid w:val="004F0319"/>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43E9"/>
    <w:rsid w:val="00605902"/>
    <w:rsid w:val="00606105"/>
    <w:rsid w:val="00613A39"/>
    <w:rsid w:val="00622ABC"/>
    <w:rsid w:val="00623204"/>
    <w:rsid w:val="00624034"/>
    <w:rsid w:val="00631C06"/>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7844"/>
    <w:rsid w:val="00744447"/>
    <w:rsid w:val="007543CD"/>
    <w:rsid w:val="00761F1D"/>
    <w:rsid w:val="007703E9"/>
    <w:rsid w:val="007708AB"/>
    <w:rsid w:val="00771625"/>
    <w:rsid w:val="00772376"/>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7BF6"/>
    <w:rsid w:val="009E5F11"/>
    <w:rsid w:val="009E7994"/>
    <w:rsid w:val="009F143B"/>
    <w:rsid w:val="009F2EEB"/>
    <w:rsid w:val="009F75DF"/>
    <w:rsid w:val="00A00055"/>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70E4"/>
    <w:rsid w:val="00A77C09"/>
    <w:rsid w:val="00A837A0"/>
    <w:rsid w:val="00A90926"/>
    <w:rsid w:val="00A91E44"/>
    <w:rsid w:val="00A94273"/>
    <w:rsid w:val="00A97287"/>
    <w:rsid w:val="00AA18F9"/>
    <w:rsid w:val="00AA2DED"/>
    <w:rsid w:val="00AA7CBD"/>
    <w:rsid w:val="00AB1C66"/>
    <w:rsid w:val="00AB7BFE"/>
    <w:rsid w:val="00AC4C86"/>
    <w:rsid w:val="00AC4CF3"/>
    <w:rsid w:val="00AC5A9E"/>
    <w:rsid w:val="00AD1FEC"/>
    <w:rsid w:val="00AD2DF1"/>
    <w:rsid w:val="00AE3EA8"/>
    <w:rsid w:val="00AE4125"/>
    <w:rsid w:val="00AE58A1"/>
    <w:rsid w:val="00AE6BD5"/>
    <w:rsid w:val="00AF1C99"/>
    <w:rsid w:val="00AF5E87"/>
    <w:rsid w:val="00B00552"/>
    <w:rsid w:val="00B02BEE"/>
    <w:rsid w:val="00B11C1C"/>
    <w:rsid w:val="00B12E7A"/>
    <w:rsid w:val="00B13613"/>
    <w:rsid w:val="00B17BD8"/>
    <w:rsid w:val="00B17E56"/>
    <w:rsid w:val="00B30B53"/>
    <w:rsid w:val="00B313E9"/>
    <w:rsid w:val="00B32325"/>
    <w:rsid w:val="00B340A4"/>
    <w:rsid w:val="00B340D4"/>
    <w:rsid w:val="00B355EC"/>
    <w:rsid w:val="00B448A4"/>
    <w:rsid w:val="00B45C2D"/>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2152"/>
    <w:rsid w:val="00BB2BE0"/>
    <w:rsid w:val="00BB405B"/>
    <w:rsid w:val="00BB4B19"/>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163B"/>
    <w:rsid w:val="00C41F24"/>
    <w:rsid w:val="00C43FD0"/>
    <w:rsid w:val="00C47619"/>
    <w:rsid w:val="00C51445"/>
    <w:rsid w:val="00C52848"/>
    <w:rsid w:val="00C61FF5"/>
    <w:rsid w:val="00C6662D"/>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92C"/>
    <w:rsid w:val="00D228DE"/>
    <w:rsid w:val="00D22DC3"/>
    <w:rsid w:val="00D25683"/>
    <w:rsid w:val="00D27042"/>
    <w:rsid w:val="00D3103B"/>
    <w:rsid w:val="00D322D9"/>
    <w:rsid w:val="00D422AF"/>
    <w:rsid w:val="00D4253A"/>
    <w:rsid w:val="00D43EB8"/>
    <w:rsid w:val="00D50B42"/>
    <w:rsid w:val="00D50BAF"/>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B74D5"/>
    <w:rsid w:val="00DC399B"/>
    <w:rsid w:val="00DD0F92"/>
    <w:rsid w:val="00DD5E2B"/>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C19C1"/>
    <w:rsid w:val="00EC283A"/>
    <w:rsid w:val="00EC3551"/>
    <w:rsid w:val="00EC7271"/>
    <w:rsid w:val="00ED2086"/>
    <w:rsid w:val="00ED38AF"/>
    <w:rsid w:val="00ED60A1"/>
    <w:rsid w:val="00ED6123"/>
    <w:rsid w:val="00EE1C4A"/>
    <w:rsid w:val="00EE3E0F"/>
    <w:rsid w:val="00EE6D21"/>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3F49"/>
    <w:rsid w:val="00F65837"/>
    <w:rsid w:val="00F713A4"/>
    <w:rsid w:val="00F72D00"/>
    <w:rsid w:val="00F76FC7"/>
    <w:rsid w:val="00F81150"/>
    <w:rsid w:val="00F833B7"/>
    <w:rsid w:val="00F83A22"/>
    <w:rsid w:val="00F84CF9"/>
    <w:rsid w:val="00F87C6C"/>
    <w:rsid w:val="00F87E38"/>
    <w:rsid w:val="00F91A73"/>
    <w:rsid w:val="00F97EA2"/>
    <w:rsid w:val="00FA155E"/>
    <w:rsid w:val="00FA2322"/>
    <w:rsid w:val="00FA31B9"/>
    <w:rsid w:val="00FB297F"/>
    <w:rsid w:val="00FB4B0C"/>
    <w:rsid w:val="00FC0D10"/>
    <w:rsid w:val="00FC1934"/>
    <w:rsid w:val="00FE38F0"/>
    <w:rsid w:val="00FE43A9"/>
    <w:rsid w:val="00FE6588"/>
    <w:rsid w:val="00FE73F3"/>
    <w:rsid w:val="00FF41F3"/>
    <w:rsid w:val="04692878"/>
    <w:rsid w:val="1240E22C"/>
    <w:rsid w:val="1E30BDEA"/>
    <w:rsid w:val="2E943DCC"/>
    <w:rsid w:val="42C8745D"/>
    <w:rsid w:val="445B1E22"/>
    <w:rsid w:val="5588C9F6"/>
    <w:rsid w:val="5C7AB1EB"/>
    <w:rsid w:val="5FDBC818"/>
    <w:rsid w:val="661A2567"/>
    <w:rsid w:val="6859FE68"/>
    <w:rsid w:val="6980EF50"/>
    <w:rsid w:val="718F03E2"/>
    <w:rsid w:val="72B7FBC1"/>
    <w:rsid w:val="76AD1FA3"/>
    <w:rsid w:val="78EA818A"/>
    <w:rsid w:val="7911006C"/>
    <w:rsid w:val="79DFB233"/>
    <w:rsid w:val="7D772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FEA56F4-B1C6-4D19-A9BF-9347E5ADE59D}"/>
</file>

<file path=customXml/itemProps3.xml><?xml version="1.0" encoding="utf-8"?>
<ds:datastoreItem xmlns:ds="http://schemas.openxmlformats.org/officeDocument/2006/customXml" ds:itemID="{BD7E9619-411C-496D-82FB-FD138A6D763D}"/>
</file>

<file path=customXml/itemProps4.xml><?xml version="1.0" encoding="utf-8"?>
<ds:datastoreItem xmlns:ds="http://schemas.openxmlformats.org/officeDocument/2006/customXml" ds:itemID="{A6231D4B-4AE1-4E36-AA37-F0E1B939E2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204</cp:revision>
  <cp:lastPrinted>2023-11-21T14:16:00Z</cp:lastPrinted>
  <dcterms:created xsi:type="dcterms:W3CDTF">2023-02-14T22:37:00Z</dcterms:created>
  <dcterms:modified xsi:type="dcterms:W3CDTF">2025-12-04T17:46:31Z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