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F5B10" w:rsidR="00707C99" w:rsidP="00272F4F" w:rsidRDefault="00201C0D" w14:paraId="19FE0E96" w14:textId="0D101A48">
      <w:pPr>
        <w:spacing w:after="0" w:line="240" w:lineRule="auto"/>
        <w:jc w:val="center"/>
        <w:rPr>
          <w:rFonts w:ascii="Times New Roman" w:hAnsi="Times New Roman" w:cs="Times New Roman"/>
          <w:b/>
          <w:sz w:val="24"/>
          <w:szCs w:val="24"/>
          <w:lang w:val="es-PE" w:eastAsia="ar-SA"/>
        </w:rPr>
      </w:pPr>
      <w:r w:rsidRPr="00FF5B10">
        <w:rPr>
          <w:rFonts w:ascii="Times New Roman" w:hAnsi="Times New Roman" w:cs="Times New Roman"/>
          <w:b/>
          <w:sz w:val="24"/>
          <w:szCs w:val="24"/>
          <w:lang w:val="es-PE" w:eastAsia="ar-SA"/>
        </w:rPr>
        <w:t xml:space="preserve">RESOLUCIÓN DE RECURSO IMPUGNATIVO </w:t>
      </w:r>
      <w:r w:rsidRPr="00FF5B10" w:rsidR="00707C99">
        <w:rPr>
          <w:rFonts w:ascii="Times New Roman" w:hAnsi="Times New Roman" w:cs="Times New Roman"/>
          <w:b/>
          <w:sz w:val="24"/>
          <w:szCs w:val="24"/>
          <w:lang w:val="es-PE" w:eastAsia="ar-SA"/>
        </w:rPr>
        <w:t xml:space="preserve">N° </w:t>
      </w:r>
      <w:r w:rsidRPr="00FF5B10" w:rsidR="00516293">
        <w:rPr>
          <w:rFonts w:ascii="Times New Roman" w:hAnsi="Times New Roman" w:cs="Times New Roman"/>
          <w:b/>
          <w:sz w:val="24"/>
          <w:szCs w:val="24"/>
          <w:lang w:val="es-PE" w:eastAsia="ar-SA"/>
        </w:rPr>
        <w:t>0</w:t>
      </w:r>
      <w:r w:rsidRPr="00FF5B10" w:rsidR="005225EF">
        <w:rPr>
          <w:rFonts w:ascii="Times New Roman" w:hAnsi="Times New Roman" w:cs="Times New Roman"/>
          <w:b/>
          <w:sz w:val="24"/>
          <w:szCs w:val="24"/>
          <w:lang w:val="es-PE" w:eastAsia="ar-SA"/>
        </w:rPr>
        <w:t>6</w:t>
      </w:r>
      <w:r w:rsidRPr="00FF5B10" w:rsidR="00A76B02">
        <w:rPr>
          <w:rFonts w:ascii="Times New Roman" w:hAnsi="Times New Roman" w:cs="Times New Roman"/>
          <w:b/>
          <w:sz w:val="24"/>
          <w:szCs w:val="24"/>
          <w:lang w:val="es-PE" w:eastAsia="ar-SA"/>
        </w:rPr>
        <w:t>2</w:t>
      </w:r>
      <w:r w:rsidRPr="00FF5B10" w:rsidR="00C671F5">
        <w:rPr>
          <w:rFonts w:ascii="Times New Roman" w:hAnsi="Times New Roman" w:cs="Times New Roman"/>
          <w:b/>
          <w:sz w:val="24"/>
          <w:szCs w:val="24"/>
          <w:lang w:val="es-PE" w:eastAsia="ar-SA"/>
        </w:rPr>
        <w:t>/2</w:t>
      </w:r>
      <w:r w:rsidRPr="00FF5B10" w:rsidR="00AB7BFE">
        <w:rPr>
          <w:rFonts w:ascii="Times New Roman" w:hAnsi="Times New Roman" w:cs="Times New Roman"/>
          <w:b/>
          <w:sz w:val="24"/>
          <w:szCs w:val="24"/>
          <w:lang w:val="es-PE" w:eastAsia="ar-SA"/>
        </w:rPr>
        <w:t>3</w:t>
      </w:r>
    </w:p>
    <w:p w:rsidRPr="00FF5B10" w:rsidR="00C202F1" w:rsidP="00C202F1" w:rsidRDefault="00C202F1" w14:paraId="07656E09" w14:textId="77777777">
      <w:pPr>
        <w:spacing w:after="0" w:line="240" w:lineRule="auto"/>
        <w:jc w:val="both"/>
        <w:rPr>
          <w:rFonts w:ascii="Times New Roman" w:hAnsi="Times New Roman" w:cs="Times New Roman"/>
          <w:b/>
          <w:sz w:val="24"/>
          <w:szCs w:val="24"/>
          <w:lang w:val="es-PE"/>
        </w:rPr>
      </w:pPr>
    </w:p>
    <w:p w:rsidRPr="00FF5B10" w:rsidR="00FF5B10" w:rsidP="00FF5B10" w:rsidRDefault="00FF5B10" w14:paraId="4AD143C3" w14:textId="77777777">
      <w:pPr>
        <w:spacing w:line="240" w:lineRule="auto"/>
        <w:jc w:val="both"/>
        <w:outlineLvl w:val="0"/>
        <w:rPr>
          <w:rFonts w:ascii="Times New Roman" w:hAnsi="Times New Roman" w:cs="Times New Roman"/>
          <w:b/>
          <w:bCs/>
          <w:lang w:val="es-MX"/>
        </w:rPr>
      </w:pPr>
      <w:r w:rsidRPr="00FF5B10">
        <w:rPr>
          <w:rFonts w:ascii="Times New Roman" w:hAnsi="Times New Roman" w:cs="Times New Roman"/>
          <w:b/>
          <w:bCs/>
          <w:sz w:val="24"/>
          <w:lang w:val="es-MX"/>
        </w:rPr>
        <w:t>VISTOS:</w:t>
      </w:r>
    </w:p>
    <w:p w:rsidRPr="00FF5B10" w:rsidR="00FF5B10" w:rsidP="00FF5B10" w:rsidRDefault="00FF5B10" w14:paraId="7535C378" w14:textId="6243BF68">
      <w:pPr>
        <w:pStyle w:val="Default"/>
        <w:spacing w:line="240" w:lineRule="auto"/>
        <w:jc w:val="both"/>
        <w:rPr>
          <w:rFonts w:ascii="Times New Roman" w:hAnsi="Times New Roman" w:cs="Times New Roman"/>
        </w:rPr>
      </w:pPr>
      <w:r>
        <w:rPr>
          <w:rFonts w:ascii="Times New Roman" w:hAnsi="Times New Roman"/>
          <w:sz w:val="24"/>
        </w:rPr>
        <w:t xml:space="preserve">El Recurso de Impugnación presentado por ................................................................ respecto de la Resolución Nro. 196/23, expedida por el Órgano Resolutivo Unipersonal de esta Defensoría del Asegurado (DEFASEG), conforme a la cual se declaró INFUNDADA la reclamación interpuesta contra ..................................... respecto al ………………… – PÓLIZA No ....................</w:t>
      </w:r>
    </w:p>
    <w:p w:rsidRPr="00FF5B10" w:rsidR="00FF5B10" w:rsidP="00FF5B10" w:rsidRDefault="00FF5B10" w14:paraId="2A98D605" w14:textId="77777777">
      <w:pPr>
        <w:pStyle w:val="Default"/>
        <w:spacing w:line="240" w:lineRule="auto"/>
        <w:jc w:val="both"/>
        <w:rPr>
          <w:rFonts w:ascii="Times New Roman" w:hAnsi="Times New Roman" w:cs="Times New Roman"/>
        </w:rPr>
      </w:pPr>
    </w:p>
    <w:p w:rsidRPr="00FF5B10" w:rsidR="00FF5B10" w:rsidP="5DC73C9D" w:rsidRDefault="00FF5B10" w14:paraId="4457485F" w14:textId="1D310ACA">
      <w:pPr>
        <w:pStyle w:val="Textoindependiente"/>
        <w:spacing w:line="240" w:lineRule="auto"/>
        <w:rPr>
          <w:b w:val="1"/>
          <w:bCs w:val="1"/>
          <w:lang w:val="es-PE" w:eastAsia="es-PE"/>
        </w:rPr>
      </w:pPr>
      <w:r>
        <w:rPr>
          <w:rFonts w:ascii="Times New Roman" w:hAnsi="Times New Roman"/>
          <w:sz w:val="24"/>
        </w:rPr>
        <w:t xml:space="preserve">Que, el indicado recurso se sustenta resumidamente en lo siguiente: (1) en la  manifestación policial argumenta con más detalle la versión que dio en la denuncia policial, en donde el efectivo policial hace hincapié en las preguntas 5 y 6 a quien de las agraviadas el ocupante de atrás de la moto amenazo con un arma de fuego, ya que en la denuncia N° ………………… claro; por ello, se puede afirmar que la atacada fue su socia ..................., mas no su persona; (2) quiere dejar en claro que fui atacada por el piloto quien fue el que utilizo el cuchillo; (3) el entrevistador para confundirla aún más con respecto al nombre del centro comercial lo vuelve a mencionar en la PREGUNTA 11, dejando claro que en ningún momento en esa pregunta mencionó la palabra PLAZA NORTE y dejando de lado la finalidad de la entrevista que es aclarar los hechos y utilizando esto como causal de rechazo; (4) el efectivo policial realiza preguntas que ayudaran en la investigación y poder saber exactamente de qué centro comercial realizó los retiros y poder ver si hay cámaras en la zona, y encontrar a los que resulten responsables; (5) nunca se contradice en nada, porque  lo que presentó a la aseguradora a través de su correo personal fueron vouchers escaneados a través del aplicativo CamScanner, lo mismo que adjuntó a la manifestación y nunca se negó a que los vouchers no se lo robaron, al contrario si se lo robaron, pero aclara también que por seguridad escanea todos los boletas para llevar un mejor control; (6) por falta de desconocimiento y similitud en la palabra PLAZA, es que indicó en su entrevista que su socia y ella bajaron en la plaza unión, por ello quiere acotar que la plaza unión al igual que la plaza 2 de mayo se encuentran en el centro de lima y separadas por algunas cuadras, lo cual genera confusión y que uno se equivoque al mencionarlas; (7) la aseguradora nunca tuvo la intención de preguntar a detalle en que estación bajó del metropolitano, que lugares tenía cerca del punto o que lugares veía, entre otros; (8) en su manifestación realizada por el efectivo policial si le hicieron preguntas a detalle y hasta le mostraron un mapa del lugar para saber cuál fue la ruta que su socia y ella tomaron; (9) en la denuncia se describe la participación de dos agraviados y de dos delincuentes; por lo tanto, queda claro que su socia ................... fue amenazada con el arma de fuego por el copiloto y ella fue amenazada con cuchillo por el piloto de la moto; (10) en su manifestación describe en varias partes que el centro comercial donde retiró el dinero fue mega plaza, mas no plaza norte; (11) los centros comerciales tienen supermercados distintos y accesos distintos, lo confuso es que tienen nombres similares, pero la palabra tottus con letras grandes y verdes se puede visualizar antes de ingresar al centro comercial y eso es lo que ella recuerda; (12) por el contrario, plaza norte tiene un metro dentro de sus instalaciones y para acceder desde la panamericana norte se debe de pasar por debajo de un puente. se puede visualizar que la estación dos de mayo es una de la estaciones de la ruta b, estación que recibe el nombre de dos de mayo por la misma plaza que se encuentra arriba del metropolitano; por ende, es la que está cerca al lugar del robo y concuerda porque el bus urbanito es el único que lleva a la avenida Abancay a través de la avenida Nicolás de Piérola como menciona su socia y ella en la denuncia como lugar del robo. </w:t>
      </w:r>
    </w:p>
    <w:p w:rsidRPr="00FF5B10" w:rsidR="00FF5B10" w:rsidP="00FF5B10" w:rsidRDefault="00FF5B10" w14:paraId="63803415" w14:textId="77777777">
      <w:pPr>
        <w:pStyle w:val="Textoindependiente"/>
        <w:spacing w:line="240" w:lineRule="auto"/>
        <w:rPr>
          <w:b/>
          <w:bCs w:val="0"/>
          <w:lang w:val="es-PE" w:eastAsia="es-PE"/>
        </w:rPr>
      </w:pPr>
    </w:p>
    <w:p w:rsidRPr="00FF5B10" w:rsidR="00FF5B10" w:rsidP="00FF5B10" w:rsidRDefault="00FF5B10" w14:paraId="485B0616" w14:textId="77777777">
      <w:pPr>
        <w:pStyle w:val="Textoindependiente"/>
        <w:spacing w:line="240" w:lineRule="auto"/>
        <w:rPr>
          <w:color w:val="000000"/>
          <w:lang w:val="es-PE" w:eastAsia="es-PE"/>
        </w:rPr>
      </w:pPr>
      <w:r w:rsidRPr="00FF5B10">
        <w:rPr>
          <w:rFonts w:ascii="Times New Roman" w:hAnsi="Times New Roman"/>
          <w:sz w:val="24"/>
        </w:rPr>
        <w:lastRenderedPageBreak/>
        <w:t xml:space="preserve">Que, la aseguradora absolvió el traslado del recurso impugnatorio indicando, en síntesis, lo siguiente: (1) la </w:t>
      </w:r>
      <w:r w:rsidRPr="00FF5B10">
        <w:rPr>
          <w:rFonts w:ascii="Times New Roman" w:hAnsi="Times New Roman"/>
          <w:color w:val="000000"/>
          <w:sz w:val="24"/>
          <w:lang w:val="es-PE" w:eastAsia="es-PE"/>
        </w:rPr>
        <w:t xml:space="preserve">reclamante, en el recurso presentado, pretende incurrir en error al colegiado, al incurrir en afirmaciones que pretenden desvirtuar erróneamente las contradicciones en las que incurrió; (2) al referirse al arma utilizada, señala la reclamante que, en la entrevista, en las preguntas 5 y 6 hizo referencia solo al cuchillo como el arma utilizada por los delincuentes, puesto que fue el copiloto quien bajó de la moto y la amenazó con un cuchillo. </w:t>
      </w:r>
      <w:r w:rsidRPr="00FF5B10">
        <w:rPr>
          <w:rFonts w:ascii="Times New Roman" w:hAnsi="Times New Roman"/>
          <w:bCs w:val="0"/>
          <w:color w:val="000000"/>
          <w:sz w:val="24"/>
          <w:lang w:val="es-PE" w:eastAsia="es-PE"/>
        </w:rPr>
        <w:t>No obstante, en la pregunta 7 de dicha entrevista se le consultó si durante el robo los delincuentes estaban armados, la amenazaron y si tuvo alguna lesión, a lo cual respondió que uno de los delincuentes si tenía un arma blanca (cuchillo), , de lo cual se desprende que solo uno de los delincuentes se encontraba armado y dicha arma era un cuchillo, lo cual muestra u</w:t>
      </w:r>
      <w:r w:rsidRPr="00FF5B10">
        <w:rPr>
          <w:rFonts w:ascii="Times New Roman" w:hAnsi="Times New Roman"/>
          <w:color w:val="000000"/>
          <w:sz w:val="24"/>
          <w:lang w:val="es-PE" w:eastAsia="es-PE"/>
        </w:rPr>
        <w:t xml:space="preserve">na imprecisión a su denuncia policial en la cual refieren que fueron amenazadas por arma de fuego, lo cual no es señalado durante la entrevista personal; (3) respecto al centro comercial donde realizó el retiro, fue la reclamante misma quien en la pregunta 6 refiere que se encontraba en el centro comercial plaza norte, por lo que es falso que el entrevistador la busque confundir, siendo que las entrevistas realizadas a los asegurados tienen únicamente como fin, tener mayor entendimiento de la circunstancia del evento y pérdida reclamada; (4) en relación al lugar del robo, nuevamente entra en contradicción durante la entrevista personal al referir que se encontraba por Plaza Unión cuando fue víctima de robo, cuando en la denuncia policial manifiesta que con su socia se encontraban transitando por la Av. Nicolás de Piérola cruce con calle Peñaloza- Cercado de Lima. Ahora, la reclamante intenta justificar el reiterado cambio de versión de los hechos, alegando desconocimiento de las calles, cuando los lugares que refiere tienen distintos nombres; (5) durante la entrevista personal se le consultó si tenía algo que agregar, quitar o variar a lo cual indicó negativamente, procediendo a la firma del acta en señal de conformidad. No obstante, también se ratificó en la denuncia policial. </w:t>
      </w:r>
    </w:p>
    <w:p w:rsidRPr="00FF5B10" w:rsidR="00FF5B10" w:rsidP="00FF5B10" w:rsidRDefault="00FF5B10" w14:paraId="67054884" w14:textId="77777777">
      <w:pPr>
        <w:pStyle w:val="Textoindependiente"/>
        <w:spacing w:line="240" w:lineRule="auto"/>
        <w:rPr>
          <w:lang w:val="es-PE"/>
        </w:rPr>
      </w:pPr>
    </w:p>
    <w:p w:rsidRPr="00FF5B10" w:rsidR="00FF5B10" w:rsidP="00FF5B10" w:rsidRDefault="00FF5B10" w14:paraId="50BBD794" w14:textId="77777777">
      <w:pPr>
        <w:pStyle w:val="Textoindependiente"/>
        <w:tabs>
          <w:tab w:val="left" w:pos="930"/>
        </w:tabs>
        <w:spacing w:line="240" w:lineRule="auto"/>
      </w:pPr>
      <w:r w:rsidRPr="00FF5B10">
        <w:rPr>
          <w:rFonts w:ascii="Times New Roman" w:hAnsi="Times New Roman"/>
          <w:sz w:val="24"/>
        </w:rPr>
        <w:t>Que, atendiendo a lo expuesto, esta Defensoría resuelve finalmente lo siguiente:</w:t>
      </w:r>
    </w:p>
    <w:p w:rsidR="00FF5B10" w:rsidP="00FF5B10" w:rsidRDefault="00FF5B10" w14:paraId="5DA18BCB" w14:textId="77777777">
      <w:pPr>
        <w:spacing w:line="240" w:lineRule="auto"/>
        <w:jc w:val="both"/>
        <w:rPr>
          <w:rFonts w:ascii="Times New Roman" w:hAnsi="Times New Roman" w:cs="Times New Roman"/>
          <w:b/>
          <w:u w:val="single"/>
          <w:lang w:val="es-PE"/>
        </w:rPr>
      </w:pPr>
    </w:p>
    <w:p w:rsidRPr="00FF5B10" w:rsidR="00FF5B10" w:rsidP="00FF5B10" w:rsidRDefault="00FF5B10" w14:paraId="2551F825" w14:textId="2A035A07">
      <w:pPr>
        <w:spacing w:line="240" w:lineRule="auto"/>
        <w:jc w:val="both"/>
        <w:rPr>
          <w:rFonts w:ascii="Times New Roman" w:hAnsi="Times New Roman" w:cs="Times New Roman"/>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rsidRPr="00FF5B10" w:rsidR="00FF5B10" w:rsidP="00FF5B10" w:rsidRDefault="00FF5B10" w14:paraId="024F8654" w14:textId="77777777">
      <w:pPr>
        <w:spacing w:line="240" w:lineRule="auto"/>
        <w:jc w:val="both"/>
        <w:rPr>
          <w:rFonts w:ascii="Times New Roman" w:hAnsi="Times New Roman" w:cs="Times New Roman"/>
          <w:bCs/>
          <w:lang w:val="es-ES"/>
        </w:rPr>
      </w:pPr>
      <w:r>
        <w:rPr>
          <w:rFonts w:ascii="Times New Roman" w:hAnsi="Times New Roman"/>
          <w:sz w:val="24"/>
        </w:rPr>
        <w:t xml:space="preserve">Conforme a ello, en el caso concreto, la reclamante sustenta su impugnación al discrepar con el contenido de la Resolución Impugnada.</w:t>
      </w:r>
    </w:p>
    <w:p w:rsidRPr="00FF5B10" w:rsidR="00FF5B10" w:rsidP="00FF5B10" w:rsidRDefault="00FF5B10" w14:paraId="337FC97E" w14:textId="77777777">
      <w:pPr>
        <w:spacing w:line="240" w:lineRule="auto"/>
        <w:jc w:val="both"/>
        <w:rPr>
          <w:rFonts w:ascii="Times New Roman" w:hAnsi="Times New Roman" w:cs="Times New Roman"/>
          <w:bCs/>
          <w:lang w:val="es-PE"/>
        </w:rPr>
      </w:pPr>
      <w:r>
        <w:rPr>
          <w:rFonts w:ascii="Times New Roman" w:hAnsi="Times New Roman"/>
          <w:sz w:val="24"/>
        </w:rPr>
        <w:t xml:space="preserve">SEGUNDO: Conforme al séptimo considerando de la Resolución Impugnada, la reclamación fue desestimada por cuanto se detalló y advirtió la existencia de serias contradicciones en lo manifestado por la reclamante ante la policía y lo respondido en la entrevista, así como incongruencias en que incurrió la reclamante al responder en la entrevista sobre circunstancias relevantes en que habrían ocurrido los hechos.</w:t>
      </w:r>
    </w:p>
    <w:p w:rsidRPr="00FF5B10" w:rsidR="00FF5B10" w:rsidP="00FF5B10" w:rsidRDefault="00FF5B10" w14:paraId="69329830" w14:textId="77777777">
      <w:pPr>
        <w:spacing w:line="240" w:lineRule="auto"/>
        <w:jc w:val="both"/>
        <w:rPr>
          <w:rFonts w:ascii="Times New Roman" w:hAnsi="Times New Roman" w:cs="Times New Roman"/>
          <w:lang w:val="es-PE"/>
        </w:rPr>
      </w:pPr>
      <w:r w:rsidRPr="00FF5B10">
        <w:rPr>
          <w:rFonts w:ascii="Times New Roman" w:hAnsi="Times New Roman" w:cs="Times New Roman"/>
          <w:bCs/>
          <w:sz w:val="24"/>
          <w:lang w:val="es-PE"/>
        </w:rPr>
        <w:t>En ese marco, se apreció que esas</w:t>
      </w:r>
      <w:r w:rsidRPr="00FF5B10">
        <w:rPr>
          <w:rFonts w:ascii="Times New Roman" w:hAnsi="Times New Roman" w:cs="Times New Roman"/>
          <w:sz w:val="24"/>
          <w:lang w:val="es-PE"/>
        </w:rPr>
        <w:t xml:space="preserve"> serias contradicciones e inexactitudes en las declaraciones formuladas por la reclamante configuran indicios razonables de la existencia de una reclamación fraudulenta.</w:t>
      </w:r>
    </w:p>
    <w:p w:rsidRPr="00FF5B10" w:rsidR="00FF5B10" w:rsidP="00FF5B10" w:rsidRDefault="00FF5B10" w14:paraId="4928E77A" w14:textId="77777777">
      <w:pPr>
        <w:spacing w:line="240" w:lineRule="auto"/>
        <w:jc w:val="both"/>
        <w:rPr>
          <w:rFonts w:ascii="Times New Roman" w:hAnsi="Times New Roman" w:cs="Times New Roman"/>
          <w:lang w:val="es-PE"/>
        </w:rPr>
      </w:pPr>
      <w:r>
        <w:rPr>
          <w:rFonts w:ascii="Times New Roman" w:hAnsi="Times New Roman"/>
          <w:sz w:val="24"/>
        </w:rPr>
        <w:t xml:space="preserve">En vía de impugnación no se ha aportado elementos que lleven a una conclusión distinta a la adoptada mediante a la Resolución Impugnada.</w:t>
      </w:r>
    </w:p>
    <w:p w:rsidRPr="00FF5B10" w:rsidR="00FF5B10" w:rsidP="00FF5B10" w:rsidRDefault="00FF5B10" w14:paraId="4145175A" w14:textId="77777777">
      <w:pPr>
        <w:spacing w:line="240" w:lineRule="auto"/>
        <w:jc w:val="both"/>
        <w:rPr>
          <w:rFonts w:ascii="Times New Roman" w:hAnsi="Times New Roman" w:cs="Times New Roman"/>
          <w:lang w:val="es-PE"/>
        </w:rPr>
      </w:pPr>
    </w:p>
    <w:p w:rsidRPr="00FF5B10" w:rsidR="00FF5B10" w:rsidP="00FF5B10" w:rsidRDefault="00FF5B10" w14:paraId="129D9DFB" w14:textId="77777777">
      <w:pPr>
        <w:spacing w:line="240" w:lineRule="auto"/>
        <w:jc w:val="both"/>
        <w:rPr>
          <w:rFonts w:ascii="Times New Roman" w:hAnsi="Times New Roman" w:cs="Times New Roman"/>
          <w:lang w:val="es-PE"/>
        </w:rPr>
      </w:pPr>
      <w:r w:rsidRPr="00FF5B10">
        <w:rPr>
          <w:rFonts w:ascii="Times New Roman" w:hAnsi="Times New Roman" w:cs="Times New Roman"/>
          <w:sz w:val="24"/>
          <w:lang w:val="es-PE"/>
        </w:rPr>
        <w:lastRenderedPageBreak/>
        <w:t xml:space="preserve">En ese sentido, se aprecia que de los antecedentes que obran en autos, está probado que en el presente caso existen versiones contradictorias e inexactas sobre las circunstancias en que habrían ocurrido los hechos bajo los cuales se denuncia un supuesto siniestro. </w:t>
      </w:r>
    </w:p>
    <w:p w:rsidRPr="00FF5B10" w:rsidR="00FF5B10" w:rsidP="00FF5B10" w:rsidRDefault="00FF5B10" w14:paraId="142420FB" w14:textId="77777777">
      <w:pPr>
        <w:pStyle w:val="Default"/>
        <w:spacing w:line="240" w:lineRule="auto"/>
        <w:jc w:val="both"/>
        <w:rPr>
          <w:rFonts w:ascii="Times New Roman" w:hAnsi="Times New Roman" w:cs="Times New Roman"/>
        </w:rPr>
      </w:pPr>
      <w:r w:rsidRPr="00FF5B10">
        <w:rPr>
          <w:rFonts w:ascii="Times New Roman" w:hAnsi="Times New Roman" w:cs="Times New Roman"/>
          <w:sz w:val="24"/>
        </w:rPr>
        <w:t xml:space="preserve">Cabe reiterar que, no resulta razonable que la reclamante brinde declaraciones abiertamente contradictorias e inexactas sobre cómo se materializó el supuesto robo (el arma utilizada), el lugar en que ocurrió, o sobre el cajero de donde se habrían hecho el retiro de dinero. </w:t>
      </w:r>
    </w:p>
    <w:p w:rsidRPr="00FF5B10" w:rsidR="00FF5B10" w:rsidP="00FF5B10" w:rsidRDefault="00FF5B10" w14:paraId="4911F65B" w14:textId="77777777">
      <w:pPr>
        <w:pStyle w:val="Default"/>
        <w:spacing w:line="240" w:lineRule="auto"/>
        <w:jc w:val="both"/>
        <w:rPr>
          <w:rFonts w:ascii="Times New Roman" w:hAnsi="Times New Roman" w:cs="Times New Roman"/>
        </w:rPr>
      </w:pPr>
    </w:p>
    <w:p w:rsidRPr="00FF5B10" w:rsidR="00FF5B10" w:rsidP="00FF5B10" w:rsidRDefault="00FF5B10" w14:paraId="5124CB3D" w14:textId="77777777">
      <w:pPr>
        <w:spacing w:line="240" w:lineRule="auto"/>
        <w:jc w:val="both"/>
        <w:rPr>
          <w:rFonts w:ascii="Times New Roman" w:hAnsi="Times New Roman" w:cs="Times New Roman"/>
          <w:lang w:val="es-PE"/>
        </w:rPr>
      </w:pPr>
      <w:r w:rsidRPr="00FF5B10">
        <w:rPr>
          <w:rFonts w:ascii="Times New Roman" w:hAnsi="Times New Roman" w:cs="Times New Roman"/>
          <w:sz w:val="24"/>
          <w:lang w:val="es-PE"/>
        </w:rPr>
        <w:t>Para esta Defensoría, las graves contradicciones e inexactitudes en que incurrió la declarante configuran una reclamación fraudulenta que conlleva la pérdida del derecho indemnizatorio.</w:t>
      </w:r>
    </w:p>
    <w:p w:rsidRPr="00FF5B10" w:rsidR="00FF5B10" w:rsidP="00FF5B10" w:rsidRDefault="00FF5B10" w14:paraId="097DC651" w14:textId="77777777">
      <w:pPr>
        <w:spacing w:line="240" w:lineRule="auto"/>
        <w:jc w:val="both"/>
        <w:rPr>
          <w:rFonts w:ascii="Times New Roman" w:hAnsi="Times New Roman" w:cs="Times New Roman"/>
          <w:bCs/>
          <w:lang w:val="es-PE"/>
        </w:rPr>
      </w:pPr>
      <w:r w:rsidRPr="00FF5B10">
        <w:rPr>
          <w:rFonts w:ascii="Times New Roman" w:hAnsi="Times New Roman" w:cs="Times New Roman"/>
          <w:b/>
          <w:sz w:val="24"/>
          <w:u w:val="single"/>
          <w:lang w:val="es-PE"/>
        </w:rPr>
        <w:t>TERCERO</w:t>
      </w:r>
      <w:r w:rsidRPr="00FF5B10">
        <w:rPr>
          <w:rFonts w:ascii="Times New Roman" w:hAnsi="Times New Roman" w:cs="Times New Roman"/>
          <w:b/>
          <w:sz w:val="24"/>
          <w:lang w:val="es-PE"/>
        </w:rPr>
        <w:t>:</w:t>
      </w:r>
      <w:r w:rsidRPr="00FF5B10">
        <w:rPr>
          <w:rFonts w:ascii="Times New Roman" w:hAnsi="Times New Roman" w:cs="Times New Roman"/>
          <w:sz w:val="24"/>
          <w:lang w:val="es-PE"/>
        </w:rPr>
        <w:t xml:space="preserve"> </w:t>
      </w:r>
      <w:r w:rsidRPr="00FF5B10">
        <w:rPr>
          <w:rFonts w:ascii="Times New Roman" w:hAnsi="Times New Roman" w:cs="Times New Roman"/>
          <w:bCs/>
          <w:sz w:val="24"/>
          <w:lang w:val="es-PE"/>
        </w:rPr>
        <w:t xml:space="preserve">Atendiendo a lo anterior, se concluye que no existe error ni nueva prueba que contradiga el sustento fáctico de la decisión adoptada por el Órgano Resolutorio Unipersonal. </w:t>
      </w:r>
    </w:p>
    <w:p w:rsidRPr="00FF5B10" w:rsidR="00FF5B10" w:rsidP="00FF5B10" w:rsidRDefault="00FF5B10" w14:paraId="29EDBA5A" w14:textId="77777777">
      <w:pPr>
        <w:spacing w:line="240" w:lineRule="auto"/>
        <w:jc w:val="both"/>
        <w:rPr>
          <w:rFonts w:ascii="Times New Roman" w:hAnsi="Times New Roman" w:cs="Times New Roman"/>
          <w:lang w:val="es-ES"/>
        </w:rPr>
      </w:pPr>
      <w:r w:rsidRPr="00FF5B10">
        <w:rPr>
          <w:rFonts w:ascii="Times New Roman" w:hAnsi="Times New Roman" w:cs="Times New Roman"/>
          <w:bCs/>
          <w:sz w:val="24"/>
          <w:lang w:val="es-PE"/>
        </w:rPr>
        <w:t xml:space="preserve">En ese sentido, el Colegiado reitera su convicción que, de los antecedentes fácticos del caso, se verifican pruebas en el sentido que existen razones fundadas para estimar que el rechazo de cobertura es legítimo, </w:t>
      </w:r>
      <w:r w:rsidRPr="00FF5B10">
        <w:rPr>
          <w:rFonts w:ascii="Times New Roman" w:hAnsi="Times New Roman" w:cs="Times New Roman"/>
          <w:sz w:val="24"/>
          <w:lang w:val="es-PE"/>
        </w:rPr>
        <w:t>por lo que no existe mérito suficiente ni razón objetiva para revocar la resolución recurrida.</w:t>
      </w:r>
    </w:p>
    <w:p w:rsidRPr="00FF5B10" w:rsidR="00FF5B10" w:rsidP="00FF5B10" w:rsidRDefault="00FF5B10" w14:paraId="0FD4686E" w14:textId="77777777">
      <w:pPr>
        <w:spacing w:line="240" w:lineRule="auto"/>
        <w:jc w:val="both"/>
        <w:rPr>
          <w:rFonts w:ascii="Times New Roman" w:hAnsi="Times New Roman" w:cs="Times New Roman"/>
          <w:b/>
          <w:lang w:val="es-PE"/>
        </w:rPr>
      </w:pPr>
      <w:r w:rsidRPr="00FF5B10">
        <w:rPr>
          <w:rFonts w:ascii="Times New Roman" w:hAnsi="Times New Roman" w:cs="Times New Roman"/>
          <w:b/>
          <w:sz w:val="24"/>
          <w:lang w:val="es-PE"/>
        </w:rPr>
        <w:t>RESUELVE:</w:t>
      </w:r>
    </w:p>
    <w:p w:rsidRPr="00FF5B10" w:rsidR="00FF5B10" w:rsidP="00FF5B10" w:rsidRDefault="00FF5B10" w14:paraId="62B6EF58" w14:textId="77777777">
      <w:pPr>
        <w:spacing w:line="240" w:lineRule="auto"/>
        <w:jc w:val="both"/>
        <w:rPr>
          <w:rFonts w:ascii="Times New Roman" w:hAnsi="Times New Roman" w:cs="Times New Roman"/>
          <w:lang w:val="es-PE"/>
        </w:rPr>
      </w:pPr>
    </w:p>
    <w:p w:rsidRPr="00FF5B10" w:rsidR="00F7567C" w:rsidP="00FF5B10" w:rsidRDefault="00FF5B10" w14:paraId="74F6CE19" w14:textId="695E99C2">
      <w:pPr>
        <w:spacing w:line="240" w:lineRule="auto"/>
        <w:jc w:val="both"/>
        <w:rPr>
          <w:rFonts w:ascii="Times New Roman" w:hAnsi="Times New Roman" w:cs="Times New Roman"/>
          <w:lang w:val="es-PE"/>
        </w:rPr>
      </w:pPr>
      <w:r>
        <w:rPr>
          <w:rFonts w:ascii="Times New Roman" w:hAnsi="Times New Roman"/>
          <w:sz w:val="24"/>
        </w:rPr>
        <w:t xml:space="preserve">Declarar INFUNDADO el Recurso de Impugnación interpuesto y, por consiguiente, CONFIRMAR la Resolución Nro. 196/23.</w:t>
      </w:r>
    </w:p>
    <w:p w:rsidRPr="00FF5B10" w:rsidR="008B6A09" w:rsidP="008B6A09" w:rsidRDefault="0091528B" w14:paraId="000A434B" w14:textId="2C71BBF5">
      <w:pPr>
        <w:spacing w:line="240" w:lineRule="auto"/>
        <w:jc w:val="right"/>
        <w:rPr>
          <w:rFonts w:ascii="Times New Roman" w:hAnsi="Times New Roman" w:cs="Times New Roman"/>
          <w:sz w:val="24"/>
          <w:szCs w:val="24"/>
          <w:lang w:val="es-PE"/>
        </w:rPr>
      </w:pPr>
      <w:r w:rsidRPr="00FF5B10">
        <w:rPr>
          <w:rFonts w:ascii="Times New Roman" w:hAnsi="Times New Roman" w:eastAsia="Arial Unicode MS" w:cs="Times New Roman"/>
          <w:sz w:val="24"/>
          <w:szCs w:val="24"/>
          <w:lang w:val="es-PE" w:eastAsia="ar-SA"/>
        </w:rPr>
        <w:t xml:space="preserve">Lima, </w:t>
      </w:r>
      <w:r w:rsidRPr="00FF5B10" w:rsidR="00A76B02">
        <w:rPr>
          <w:rFonts w:ascii="Times New Roman" w:hAnsi="Times New Roman" w:eastAsia="Arial Unicode MS" w:cs="Times New Roman"/>
          <w:sz w:val="24"/>
          <w:szCs w:val="24"/>
          <w:lang w:val="es-PE" w:eastAsia="ar-SA"/>
        </w:rPr>
        <w:t>11</w:t>
      </w:r>
      <w:r w:rsidRPr="00FF5B10" w:rsidR="00570ED6">
        <w:rPr>
          <w:rFonts w:ascii="Times New Roman" w:hAnsi="Times New Roman" w:eastAsia="Arial Unicode MS" w:cs="Times New Roman"/>
          <w:sz w:val="24"/>
          <w:szCs w:val="24"/>
          <w:lang w:val="es-PE" w:eastAsia="ar-SA"/>
        </w:rPr>
        <w:t xml:space="preserve"> </w:t>
      </w:r>
      <w:r w:rsidRPr="00FF5B10" w:rsidR="00707C99">
        <w:rPr>
          <w:rFonts w:ascii="Times New Roman" w:hAnsi="Times New Roman" w:eastAsia="Arial Unicode MS" w:cs="Times New Roman"/>
          <w:sz w:val="24"/>
          <w:szCs w:val="24"/>
          <w:lang w:val="es-PE" w:eastAsia="ar-SA"/>
        </w:rPr>
        <w:t xml:space="preserve">de </w:t>
      </w:r>
      <w:r w:rsidRPr="00FF5B10" w:rsidR="00095105">
        <w:rPr>
          <w:rFonts w:ascii="Times New Roman" w:hAnsi="Times New Roman" w:eastAsia="Arial Unicode MS" w:cs="Times New Roman"/>
          <w:sz w:val="24"/>
          <w:szCs w:val="24"/>
          <w:lang w:val="es-PE" w:eastAsia="ar-SA"/>
        </w:rPr>
        <w:t>diciembre</w:t>
      </w:r>
      <w:r w:rsidRPr="00FF5B10" w:rsidR="002F478E">
        <w:rPr>
          <w:rFonts w:ascii="Times New Roman" w:hAnsi="Times New Roman" w:eastAsia="Arial Unicode MS" w:cs="Times New Roman"/>
          <w:sz w:val="24"/>
          <w:szCs w:val="24"/>
          <w:lang w:val="es-PE" w:eastAsia="ar-SA"/>
        </w:rPr>
        <w:t xml:space="preserve"> </w:t>
      </w:r>
      <w:r w:rsidRPr="00FF5B10" w:rsidR="00F06498">
        <w:rPr>
          <w:rFonts w:ascii="Times New Roman" w:hAnsi="Times New Roman" w:eastAsia="Arial Unicode MS" w:cs="Times New Roman"/>
          <w:sz w:val="24"/>
          <w:szCs w:val="24"/>
          <w:lang w:val="es-PE" w:eastAsia="ar-SA"/>
        </w:rPr>
        <w:t>de 202</w:t>
      </w:r>
      <w:r w:rsidRPr="00FF5B10" w:rsidR="00B340D4">
        <w:rPr>
          <w:rFonts w:ascii="Times New Roman" w:hAnsi="Times New Roman" w:eastAsia="Arial Unicode MS" w:cs="Times New Roman"/>
          <w:sz w:val="24"/>
          <w:szCs w:val="24"/>
          <w:lang w:val="es-PE" w:eastAsia="ar-SA"/>
        </w:rPr>
        <w:t>3</w:t>
      </w:r>
      <w:r w:rsidRPr="00FF5B10" w:rsidR="00707C99">
        <w:rPr>
          <w:rFonts w:ascii="Times New Roman" w:hAnsi="Times New Roman" w:eastAsia="Times New Roman" w:cs="Times New Roman"/>
          <w:sz w:val="24"/>
          <w:szCs w:val="24"/>
          <w:lang w:val="es-PE" w:eastAsia="ar-SA"/>
        </w:rPr>
        <w:t xml:space="preserve"> </w:t>
      </w:r>
    </w:p>
    <w:p w:rsidRPr="00FF5B10"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FF5B10"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FF5B10">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FF5B10"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FF5B10" w:rsidR="007543CD" w:rsidP="007543CD" w:rsidRDefault="007543CD" w14:paraId="0DCF6E18" w14:textId="77777777">
      <w:pPr>
        <w:spacing w:after="0" w:line="360" w:lineRule="auto"/>
        <w:jc w:val="center"/>
        <w:rPr>
          <w:rFonts w:ascii="Times New Roman" w:hAnsi="Times New Roman" w:cs="Times New Roman"/>
          <w:b/>
          <w:bCs/>
          <w:sz w:val="24"/>
          <w:szCs w:val="24"/>
          <w:lang w:val="es-PE"/>
        </w:rPr>
      </w:pPr>
      <w:r w:rsidRPr="00FF5B10">
        <w:rPr>
          <w:rFonts w:ascii="Times New Roman" w:hAnsi="Times New Roman" w:cs="Times New Roman"/>
          <w:b/>
          <w:bCs/>
          <w:sz w:val="24"/>
          <w:szCs w:val="24"/>
          <w:lang w:val="es-PE"/>
        </w:rPr>
        <w:t>María Eugenia Valdez Fernández Baca – Vocal</w:t>
      </w:r>
    </w:p>
    <w:p w:rsidRPr="00FF5B10"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FF5B10">
        <w:rPr>
          <w:rFonts w:ascii="Times New Roman" w:hAnsi="Times New Roman" w:cs="Times New Roman"/>
          <w:b/>
          <w:bCs/>
          <w:sz w:val="24"/>
          <w:szCs w:val="24"/>
          <w:lang w:val="es-PE"/>
        </w:rPr>
        <w:t>Omar Alfaro Villanueva – Vocal</w:t>
      </w:r>
    </w:p>
    <w:p w:rsidRPr="00FF5B10"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FF5B10">
        <w:rPr>
          <w:rFonts w:ascii="Times New Roman" w:hAnsi="Times New Roman" w:cs="Times New Roman"/>
          <w:b/>
          <w:bCs/>
          <w:sz w:val="24"/>
          <w:szCs w:val="24"/>
          <w:lang w:val="es-PE"/>
        </w:rPr>
        <w:t>Gonzalo Abad del Busto – Vocal</w:t>
      </w:r>
    </w:p>
    <w:p w:rsidRPr="00A57F3B"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57F3B" w:rsidR="00C671F5" w:rsidP="5DC73C9D" w:rsidRDefault="00C671F5" w14:paraId="2C3A0205" w14:textId="4CC8B871">
      <w:pPr>
        <w:pStyle w:val="Normal"/>
        <w:spacing w:after="0" w:line="240" w:lineRule="auto"/>
        <w:rPr>
          <w:rFonts w:ascii="Times New Roman" w:hAnsi="Times New Roman" w:cs="Times New Roman"/>
          <w:b w:val="1"/>
          <w:bCs w:val="1"/>
          <w:sz w:val="24"/>
          <w:szCs w:val="24"/>
          <w:lang w:val="es-PE"/>
        </w:rPr>
      </w:pPr>
    </w:p>
    <w:sectPr w:rsidRPr="00A57F3B"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F6242" w:rsidP="00784355" w:rsidRDefault="006F6242" w14:paraId="0ACA9D7D" w14:textId="77777777">
      <w:pPr>
        <w:spacing w:after="0" w:line="240" w:lineRule="auto"/>
      </w:pPr>
      <w:r>
        <w:separator/>
      </w:r>
    </w:p>
  </w:endnote>
  <w:endnote w:type="continuationSeparator" w:id="0">
    <w:p w:rsidR="006F6242" w:rsidP="00784355" w:rsidRDefault="006F6242" w14:paraId="50B2BF3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F6242" w:rsidP="00784355" w:rsidRDefault="006F6242" w14:paraId="3F37E9C1" w14:textId="77777777">
      <w:pPr>
        <w:spacing w:after="0" w:line="240" w:lineRule="auto"/>
      </w:pPr>
      <w:r>
        <w:separator/>
      </w:r>
    </w:p>
  </w:footnote>
  <w:footnote w:type="continuationSeparator" w:id="0">
    <w:p w:rsidR="006F6242" w:rsidP="00784355" w:rsidRDefault="006F6242" w14:paraId="6F05331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8"/>
  </w:num>
  <w:num w:numId="3" w16cid:durableId="333261791">
    <w:abstractNumId w:val="16"/>
  </w:num>
  <w:num w:numId="4" w16cid:durableId="1770345525">
    <w:abstractNumId w:val="15"/>
  </w:num>
  <w:num w:numId="5" w16cid:durableId="1816144979">
    <w:abstractNumId w:val="17"/>
  </w:num>
  <w:num w:numId="6" w16cid:durableId="1304313350">
    <w:abstractNumId w:val="0"/>
  </w:num>
  <w:num w:numId="7" w16cid:durableId="16682880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0"/>
  </w:num>
  <w:num w:numId="17" w16cid:durableId="1799882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1B3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85F6C"/>
    <w:rsid w:val="00490898"/>
    <w:rsid w:val="00495D9A"/>
    <w:rsid w:val="00496A1A"/>
    <w:rsid w:val="004A183E"/>
    <w:rsid w:val="004A3E25"/>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43E9"/>
    <w:rsid w:val="00605902"/>
    <w:rsid w:val="00606105"/>
    <w:rsid w:val="00613A39"/>
    <w:rsid w:val="00622ABC"/>
    <w:rsid w:val="00623204"/>
    <w:rsid w:val="00624034"/>
    <w:rsid w:val="00631C06"/>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242"/>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46BC"/>
    <w:rsid w:val="00A077D2"/>
    <w:rsid w:val="00A16942"/>
    <w:rsid w:val="00A17A72"/>
    <w:rsid w:val="00A20E69"/>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6B02"/>
    <w:rsid w:val="00A770E4"/>
    <w:rsid w:val="00A77C09"/>
    <w:rsid w:val="00A837A0"/>
    <w:rsid w:val="00A85A29"/>
    <w:rsid w:val="00A90926"/>
    <w:rsid w:val="00A91E44"/>
    <w:rsid w:val="00A94273"/>
    <w:rsid w:val="00A97287"/>
    <w:rsid w:val="00AA18F9"/>
    <w:rsid w:val="00AA2DED"/>
    <w:rsid w:val="00AA7CBD"/>
    <w:rsid w:val="00AB1C66"/>
    <w:rsid w:val="00AB7BFE"/>
    <w:rsid w:val="00AC4C86"/>
    <w:rsid w:val="00AC4CF3"/>
    <w:rsid w:val="00AC5A9E"/>
    <w:rsid w:val="00AD1FEC"/>
    <w:rsid w:val="00AD2DF1"/>
    <w:rsid w:val="00AE3EA8"/>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92C"/>
    <w:rsid w:val="00D228DE"/>
    <w:rsid w:val="00D22DC3"/>
    <w:rsid w:val="00D25683"/>
    <w:rsid w:val="00D27042"/>
    <w:rsid w:val="00D3103B"/>
    <w:rsid w:val="00D322D9"/>
    <w:rsid w:val="00D422AF"/>
    <w:rsid w:val="00D4253A"/>
    <w:rsid w:val="00D43EB8"/>
    <w:rsid w:val="00D50B42"/>
    <w:rsid w:val="00D50BAF"/>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550"/>
    <w:rsid w:val="00EC19C1"/>
    <w:rsid w:val="00EC283A"/>
    <w:rsid w:val="00EC3551"/>
    <w:rsid w:val="00EC7271"/>
    <w:rsid w:val="00ED2086"/>
    <w:rsid w:val="00ED38AF"/>
    <w:rsid w:val="00ED60A1"/>
    <w:rsid w:val="00ED6123"/>
    <w:rsid w:val="00EE1C4A"/>
    <w:rsid w:val="00EE2F04"/>
    <w:rsid w:val="00EE3E0F"/>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3F82"/>
    <w:rsid w:val="00FF41F3"/>
    <w:rsid w:val="00FF5B10"/>
    <w:rsid w:val="07539DB4"/>
    <w:rsid w:val="07A3BCFA"/>
    <w:rsid w:val="17DF4D6E"/>
    <w:rsid w:val="2BF178C8"/>
    <w:rsid w:val="3C5C1724"/>
    <w:rsid w:val="4F958E89"/>
    <w:rsid w:val="5DC73C9D"/>
    <w:rsid w:val="642676F7"/>
    <w:rsid w:val="74331246"/>
    <w:rsid w:val="75C9D7D6"/>
    <w:rsid w:val="7A410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3942956">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976DC05-A511-4FAC-8725-8CAF3BA787A6}"/>
</file>

<file path=customXml/itemProps3.xml><?xml version="1.0" encoding="utf-8"?>
<ds:datastoreItem xmlns:ds="http://schemas.openxmlformats.org/officeDocument/2006/customXml" ds:itemID="{DC1F0715-309F-402A-AD42-A312621E5608}"/>
</file>

<file path=customXml/itemProps4.xml><?xml version="1.0" encoding="utf-8"?>
<ds:datastoreItem xmlns:ds="http://schemas.openxmlformats.org/officeDocument/2006/customXml" ds:itemID="{4797AB9F-76B2-42BD-B1B1-CB211CA0E6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220</cp:revision>
  <cp:lastPrinted>2023-12-11T16:21:00Z</cp:lastPrinted>
  <dcterms:created xsi:type="dcterms:W3CDTF">2023-02-14T22:37:00Z</dcterms:created>
  <dcterms:modified xsi:type="dcterms:W3CDTF">2025-12-17T15:44:34Z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