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96279" w:rsidR="00707C99" w:rsidP="00272F4F" w:rsidRDefault="00201C0D" w14:paraId="19FE0E96" w14:textId="40914BA4">
      <w:pPr>
        <w:spacing w:after="0" w:line="240" w:lineRule="auto"/>
        <w:jc w:val="center"/>
        <w:rPr>
          <w:rFonts w:ascii="Times New Roman" w:hAnsi="Times New Roman" w:cs="Times New Roman"/>
          <w:b/>
          <w:sz w:val="23"/>
          <w:szCs w:val="23"/>
          <w:lang w:val="es-PE" w:eastAsia="ar-SA"/>
        </w:rPr>
      </w:pPr>
      <w:r w:rsidRPr="00A96279">
        <w:rPr>
          <w:rFonts w:ascii="Times New Roman" w:hAnsi="Times New Roman" w:cs="Times New Roman"/>
          <w:b/>
          <w:sz w:val="24"/>
          <w:szCs w:val="23"/>
          <w:lang w:val="es-PE" w:eastAsia="ar-SA"/>
        </w:rPr>
        <w:t xml:space="preserve">RESOLUCIÓN DE RECURSO IMPUGNATIVO </w:t>
      </w:r>
      <w:proofErr w:type="spellStart"/>
      <w:r w:rsidRPr="00A96279" w:rsidR="00707C99">
        <w:rPr>
          <w:rFonts w:ascii="Times New Roman" w:hAnsi="Times New Roman" w:cs="Times New Roman"/>
          <w:b/>
          <w:sz w:val="24"/>
          <w:szCs w:val="23"/>
          <w:lang w:val="es-PE" w:eastAsia="ar-SA"/>
        </w:rPr>
        <w:t>N°</w:t>
      </w:r>
      <w:proofErr w:type="spellEnd"/>
      <w:r w:rsidRPr="00A96279" w:rsidR="00707C99">
        <w:rPr>
          <w:rFonts w:ascii="Times New Roman" w:hAnsi="Times New Roman" w:cs="Times New Roman"/>
          <w:b/>
          <w:sz w:val="24"/>
          <w:szCs w:val="23"/>
          <w:lang w:val="es-PE" w:eastAsia="ar-SA"/>
        </w:rPr>
        <w:t xml:space="preserve"> </w:t>
      </w:r>
      <w:r w:rsidRPr="00A96279" w:rsidR="00516293">
        <w:rPr>
          <w:rFonts w:ascii="Times New Roman" w:hAnsi="Times New Roman" w:cs="Times New Roman"/>
          <w:b/>
          <w:sz w:val="24"/>
          <w:szCs w:val="23"/>
          <w:lang w:val="es-PE" w:eastAsia="ar-SA"/>
        </w:rPr>
        <w:t>0</w:t>
      </w:r>
      <w:r w:rsidRPr="00A96279" w:rsidR="005225EF">
        <w:rPr>
          <w:rFonts w:ascii="Times New Roman" w:hAnsi="Times New Roman" w:cs="Times New Roman"/>
          <w:b/>
          <w:sz w:val="24"/>
          <w:szCs w:val="23"/>
          <w:lang w:val="es-PE" w:eastAsia="ar-SA"/>
        </w:rPr>
        <w:t>6</w:t>
      </w:r>
      <w:r w:rsidRPr="00A96279" w:rsidR="00404288">
        <w:rPr>
          <w:rFonts w:ascii="Times New Roman" w:hAnsi="Times New Roman" w:cs="Times New Roman"/>
          <w:b/>
          <w:sz w:val="24"/>
          <w:szCs w:val="23"/>
          <w:lang w:val="es-PE" w:eastAsia="ar-SA"/>
        </w:rPr>
        <w:t>3</w:t>
      </w:r>
      <w:r w:rsidRPr="00A96279" w:rsidR="00C671F5">
        <w:rPr>
          <w:rFonts w:ascii="Times New Roman" w:hAnsi="Times New Roman" w:cs="Times New Roman"/>
          <w:b/>
          <w:sz w:val="24"/>
          <w:szCs w:val="23"/>
          <w:lang w:val="es-PE" w:eastAsia="ar-SA"/>
        </w:rPr>
        <w:t>/2</w:t>
      </w:r>
      <w:r w:rsidRPr="00A96279" w:rsidR="00AB7BFE">
        <w:rPr>
          <w:rFonts w:ascii="Times New Roman" w:hAnsi="Times New Roman" w:cs="Times New Roman"/>
          <w:b/>
          <w:sz w:val="24"/>
          <w:szCs w:val="23"/>
          <w:lang w:val="es-PE" w:eastAsia="ar-SA"/>
        </w:rPr>
        <w:t>3</w:t>
      </w:r>
    </w:p>
    <w:p w:rsidRPr="00A96279" w:rsidR="00C202F1" w:rsidP="00C202F1" w:rsidRDefault="00C202F1" w14:paraId="07656E09" w14:textId="77777777">
      <w:pPr>
        <w:spacing w:after="0" w:line="240" w:lineRule="auto"/>
        <w:jc w:val="both"/>
        <w:rPr>
          <w:rFonts w:ascii="Times New Roman" w:hAnsi="Times New Roman" w:cs="Times New Roman"/>
          <w:b/>
          <w:sz w:val="23"/>
          <w:szCs w:val="23"/>
          <w:lang w:val="es-PE"/>
        </w:rPr>
      </w:pPr>
    </w:p>
    <w:p w:rsidRPr="00A96279" w:rsidR="006578A4" w:rsidP="006578A4" w:rsidRDefault="006578A4" w14:paraId="188C7163" w14:textId="77777777">
      <w:pPr>
        <w:pStyle w:val="Default"/>
        <w:spacing w:line="240" w:lineRule="auto"/>
        <w:jc w:val="both"/>
        <w:rPr>
          <w:rFonts w:ascii="Times New Roman" w:hAnsi="Times New Roman" w:cs="Times New Roman"/>
          <w:b/>
          <w:sz w:val="23"/>
          <w:szCs w:val="23"/>
        </w:rPr>
      </w:pPr>
    </w:p>
    <w:p w:rsidRPr="00A96279" w:rsidR="00A96279" w:rsidP="00A96279" w:rsidRDefault="00A96279" w14:paraId="6BE72769" w14:textId="77777777">
      <w:pPr>
        <w:spacing w:line="240" w:lineRule="auto"/>
        <w:jc w:val="both"/>
        <w:outlineLvl w:val="0"/>
        <w:rPr>
          <w:rFonts w:ascii="Times New Roman" w:hAnsi="Times New Roman" w:cs="Times New Roman"/>
          <w:b/>
          <w:bCs/>
          <w:sz w:val="23"/>
          <w:szCs w:val="23"/>
          <w:lang w:val="es-MX"/>
        </w:rPr>
      </w:pPr>
      <w:r w:rsidRPr="00A96279">
        <w:rPr>
          <w:rFonts w:ascii="Times New Roman" w:hAnsi="Times New Roman" w:cs="Times New Roman"/>
          <w:b/>
          <w:bCs/>
          <w:sz w:val="24"/>
          <w:szCs w:val="23"/>
          <w:lang w:val="es-MX"/>
        </w:rPr>
        <w:t>VISTOS:</w:t>
      </w:r>
    </w:p>
    <w:p w:rsidRPr="00A96279" w:rsidR="00A96279" w:rsidP="00A96279" w:rsidRDefault="00A96279" w14:paraId="1DDFC6D5" w14:textId="319DC763">
      <w:pPr>
        <w:spacing w:line="240" w:lineRule="auto"/>
        <w:jc w:val="both"/>
        <w:outlineLvl w:val="0"/>
        <w:rPr>
          <w:rFonts w:ascii="Times New Roman" w:hAnsi="Times New Roman" w:cs="Times New Roman"/>
          <w:b w:val="1"/>
          <w:bCs w:val="1"/>
          <w:sz w:val="23"/>
          <w:szCs w:val="23"/>
          <w:lang w:val="es-PE"/>
        </w:rPr>
      </w:pPr>
      <w:r>
        <w:rPr>
          <w:rFonts w:ascii="Times New Roman" w:hAnsi="Times New Roman"/>
          <w:sz w:val="24"/>
        </w:rPr>
        <w:t xml:space="preserve">El Recurso de Impugnación presentado por ...................................... respecto de la Resolución Nro. 188/23, expedida por el Órgano Resolutivo Unipersonal de esta Defensoría del Asegurado (DEFASEG), conforme a la cual se declaró FUNDADA la reclamación interpuesta por ................................................................................... respecto al Seguro de Protección de Tarjetas 360° CERTIFICADO N° …………………</w:t>
      </w:r>
    </w:p>
    <w:p w:rsidRPr="00A96279" w:rsidR="00A96279" w:rsidP="00A96279" w:rsidRDefault="00A96279" w14:paraId="2CDB8B35" w14:textId="68577BEC">
      <w:pPr>
        <w:spacing w:line="240" w:lineRule="auto"/>
        <w:jc w:val="both"/>
        <w:outlineLvl w:val="0"/>
        <w:rPr>
          <w:rFonts w:ascii="Times New Roman" w:hAnsi="Times New Roman" w:cs="Times New Roman"/>
          <w:sz w:val="23"/>
          <w:szCs w:val="23"/>
          <w:lang w:val="es-PE"/>
        </w:rPr>
      </w:pPr>
      <w:r w:rsidRPr="434DB0FA" w:rsidR="00A96279">
        <w:rPr>
          <w:rFonts w:ascii="Times New Roman" w:hAnsi="Times New Roman" w:cs="Times New Roman"/>
          <w:sz w:val="24"/>
          <w:szCs w:val="23"/>
          <w:lang w:val="es-PE"/>
        </w:rPr>
        <w:t xml:space="preserve">Que, el indicado recurso se sustenta resumidamente en lo siguiente: a) Con fecha 28 de marzo de 2023, el señor  </w:t>
      </w:r>
      <w:r w:rsidRPr="434DB0FA" w:rsidR="1E5DA966">
        <w:rPr>
          <w:rFonts w:ascii="Times New Roman" w:hAnsi="Times New Roman" w:cs="Times New Roman"/>
          <w:sz w:val="24"/>
          <w:szCs w:val="23"/>
          <w:lang w:val="es-PE"/>
        </w:rPr>
        <w:t>......................</w:t>
      </w:r>
      <w:r w:rsidRPr="434DB0FA" w:rsidR="00A96279">
        <w:rPr>
          <w:rFonts w:ascii="Times New Roman" w:hAnsi="Times New Roman" w:cs="Times New Roman"/>
          <w:sz w:val="24"/>
          <w:szCs w:val="23"/>
          <w:lang w:val="es-PE"/>
        </w:rPr>
        <w:t xml:space="preserve"> contrató el seguro denominado “Seguro de Tarjetas 360°”, tomando conocimiento, en dicho momento, acerca de los términos y condiciones del Seguro contratado, siendo de uno de ellos la obligación de presentar la denuncia policial dentro del plazo de 24 (veinticuatro) horas de ocurrido el robo, extravío, o hurto o desde que se tome conocimiento del mismo; b) no es un hecho controvertido la ocurrencia del evento, ni las circunstancias del mismo, sino el cumplimiento de la carga consistente en interponer la denuncia policial antes de las 24 (veinticuatro) horas de ocurrido el evento o de haber tomado conocimiento del mismo; c) el señor </w:t>
      </w:r>
      <w:r w:rsidRPr="434DB0FA" w:rsidR="1E5DA966">
        <w:rPr>
          <w:rFonts w:ascii="Times New Roman" w:hAnsi="Times New Roman" w:cs="Times New Roman"/>
          <w:sz w:val="24"/>
          <w:szCs w:val="23"/>
          <w:lang w:val="es-PE"/>
        </w:rPr>
        <w:t>......................</w:t>
      </w:r>
      <w:r w:rsidRPr="434DB0FA" w:rsidR="00A96279">
        <w:rPr>
          <w:rFonts w:ascii="Times New Roman" w:hAnsi="Times New Roman" w:cs="Times New Roman"/>
          <w:sz w:val="24"/>
          <w:szCs w:val="23"/>
          <w:lang w:val="es-PE"/>
        </w:rPr>
        <w:t xml:space="preserve"> presentó el 22 de junio de 2023 la denuncia policial por los hechos ocurridos el 16 de junio de 2023; esto es, seis días luego de ocurrido el evento; d) al haberse advertido el incumplimiento de la obligación atribuida al señor </w:t>
      </w:r>
      <w:r w:rsidRPr="434DB0FA" w:rsidR="1E5DA966">
        <w:rPr>
          <w:rFonts w:ascii="Times New Roman" w:hAnsi="Times New Roman" w:cs="Times New Roman"/>
          <w:sz w:val="24"/>
          <w:szCs w:val="23"/>
          <w:lang w:val="es-PE"/>
        </w:rPr>
        <w:t>......................</w:t>
      </w:r>
      <w:r w:rsidRPr="434DB0FA" w:rsidR="00A96279">
        <w:rPr>
          <w:rFonts w:ascii="Times New Roman" w:hAnsi="Times New Roman" w:cs="Times New Roman"/>
          <w:sz w:val="24"/>
          <w:szCs w:val="23"/>
          <w:lang w:val="es-PE"/>
        </w:rPr>
        <w:t xml:space="preserve">, </w:t>
      </w:r>
      <w:r w:rsidRPr="434DB0FA" w:rsidR="79CC9C94">
        <w:rPr>
          <w:rFonts w:ascii="Times New Roman" w:hAnsi="Times New Roman" w:cs="Times New Roman"/>
          <w:sz w:val="24"/>
          <w:szCs w:val="23"/>
          <w:lang w:val="es-PE"/>
        </w:rPr>
        <w:t>......................................</w:t>
      </w:r>
      <w:r w:rsidRPr="434DB0FA" w:rsidR="00A96279">
        <w:rPr>
          <w:rFonts w:ascii="Times New Roman" w:hAnsi="Times New Roman" w:cs="Times New Roman"/>
          <w:sz w:val="24"/>
          <w:szCs w:val="23"/>
          <w:lang w:val="es-PE"/>
        </w:rPr>
        <w:t xml:space="preserve"> denegó la solicitud de cobertura;  e) no es un hecho controvertido determinar si la obligación impuesta al señor </w:t>
      </w:r>
      <w:r w:rsidRPr="434DB0FA" w:rsidR="1E5DA966">
        <w:rPr>
          <w:rFonts w:ascii="Times New Roman" w:hAnsi="Times New Roman" w:cs="Times New Roman"/>
          <w:sz w:val="24"/>
          <w:szCs w:val="23"/>
          <w:lang w:val="es-PE"/>
        </w:rPr>
        <w:t>......................</w:t>
      </w:r>
      <w:r w:rsidRPr="434DB0FA" w:rsidR="00A96279">
        <w:rPr>
          <w:rFonts w:ascii="Times New Roman" w:hAnsi="Times New Roman" w:cs="Times New Roman"/>
          <w:sz w:val="24"/>
          <w:szCs w:val="23"/>
          <w:lang w:val="es-PE"/>
        </w:rPr>
        <w:t xml:space="preserve"> es o no justificada, puesto que este punto no ha sido materia de reclamación, sino determinar si el asegurado cumplió o no con dicha obligación; f) mediante la Resolución materia de apelación, su Despacho concluye que nuestra compañía no habría cumplido con demostrar la forma en la cual la denuncia policial interpuesta en un plazo mayor a 24 (veinticuatro) horas, influye en el alcance de las obligaciones derivadas del contrato de seguro, en la medida que no se podría sostener que la denuncia policial extemporánea genera un perjuicio; g) contrariamente a lo concluido por su Despacho, las cargas contractualmente contenidas en las pólizas y certificados de seguro tienen por objeto ser reglas de conducta cuyo incumplimiento es de cargo del asegurado, y que suele penalizarse porque obstaculiza o dificulta la determinación de las circunstancias y consecuencias del siniestro. Del mismo modo, las cargas en el presente caso, tratándose de una póliza o seguro de protección de tarjeta, que es un producto expuesto a simulación o fraude, requiere cuando menos que las cargas sean razonables, como sería en el presente caso, la constancia oficial de la ocurrencia de un evento; h) la carga que nos ocupa no es considerada una cláusula abusiva ni mucho menos una estipulación prohibida de conformidad con la Ley del Contrato de Seguro, sino que su exigencia es consistente con la proporcionalidad del riesgo relacionado con el producto, además de no ser una regla excesivamente difícil o imposible de ser ejecutada; i) la denuncia policial fuera del plazo establecido en el Seguro evidentemente genera un perjuicio, en la medida que estamos ante un incumplimiento contractual, y con el agravante de que la falta de aviso o de denuncia influye en la verificación o determinación del siniestro, respecto de las circunstancias (participación del asegurado en el evento, bien por dolo o negligencia, causales como ebriedad, entre otras, además de perjudicar la posibilidad de determinar el monto involucrado en el siniestro; j)  concluir que la presentación de la denuncia policial es solo una formalidad innecesaria o una cláusula excesiva podría generar que se abran paso a fraudes y/o simulaciones que afectarán únicamente la siniestralidad del producto del ramo que nos ocupa. </w:t>
      </w:r>
    </w:p>
    <w:p w:rsidRPr="00A96279" w:rsidR="00A96279" w:rsidP="00A96279" w:rsidRDefault="00A96279" w14:paraId="7D784212" w14:textId="49F88909">
      <w:pPr>
        <w:pStyle w:val="Textoindependiente"/>
        <w:spacing w:line="240" w:lineRule="auto"/>
        <w:rPr>
          <w:sz w:val="23"/>
          <w:szCs w:val="23"/>
        </w:rPr>
      </w:pPr>
      <w:r w:rsidRPr="434DB0FA" w:rsidR="00A96279">
        <w:rPr>
          <w:rFonts w:ascii="Times New Roman" w:hAnsi="Times New Roman"/>
          <w:sz w:val="24"/>
          <w:szCs w:val="23"/>
        </w:rPr>
        <w:t xml:space="preserve">Que, el reclamante absolvió el traslado del recurso impugnatorio indicando, en síntesis, lo siguiente: a) Cuando el señor </w:t>
      </w:r>
      <w:r w:rsidRPr="434DB0FA" w:rsidR="1E5DA966">
        <w:rPr>
          <w:rFonts w:ascii="Times New Roman" w:hAnsi="Times New Roman"/>
          <w:sz w:val="24"/>
          <w:szCs w:val="23"/>
        </w:rPr>
        <w:t>......................</w:t>
      </w:r>
      <w:r w:rsidRPr="434DB0FA" w:rsidR="00A96279">
        <w:rPr>
          <w:rFonts w:ascii="Times New Roman" w:hAnsi="Times New Roman"/>
          <w:sz w:val="24"/>
          <w:szCs w:val="23"/>
        </w:rPr>
        <w:t xml:space="preserve"> hizo la llamada al banco, el consumo aún estaba en proceso por lo que podían revertirlo, y solo se le indicó que debía anular la tarjeta en ese preciso instante y fue lo que se hizo; b)  luego como respuesta  le mencionaron que desde ese momento lo vería el seguro que es la entidad que le corresponde; c) el día 22 de junio le enviaron un correo desde la aseguradora donde recién solicitaban la documentación, situación que no le indicaron en la llamada previa que hizo cuando se inició el reclamo vía llamada. “La Ley 29946 establece que todas las estipulaciones contractuales que sean más beneficiosas para el asegurado son válidas. Además, en caso de ambigüedad o duda, los términos del contrato se interpretan en el sentido y con el alcance más favorable al asegurado”; d) su reclamo tiene fundamento legal, ya que desde que tiene el contrato del seguro cuando le ofrecieron le indicaron que mientras su seguro este vigente ellos me cubrirían.: e) La “Ley 29571 establece las normas de protección y defensa de los consumidores. Esta ley tiene como finalidad que los consumidores accedan a productos y servicios idóneos y que gocen de los derechos y los mecanismos efectivos para su protección”. </w:t>
      </w:r>
      <w:r w:rsidRPr="434DB0FA" w:rsidR="00A96279">
        <w:rPr>
          <w:rFonts w:ascii="Times New Roman" w:hAnsi="Times New Roman"/>
          <w:sz w:val="24"/>
          <w:szCs w:val="23"/>
        </w:rPr>
        <w:t>Por ese motivo optó por contratar el seguro confiando de buena fe en lo ofrecido, por lo cual no estarían respetando sus derechos de consumidor.</w:t>
      </w:r>
    </w:p>
    <w:p w:rsidRPr="00A96279" w:rsidR="00A96279" w:rsidP="00A96279" w:rsidRDefault="00A96279" w14:paraId="098BBA3B" w14:textId="77777777">
      <w:pPr>
        <w:pStyle w:val="Textoindependiente"/>
        <w:spacing w:line="240" w:lineRule="auto"/>
        <w:rPr>
          <w:sz w:val="23"/>
          <w:szCs w:val="23"/>
        </w:rPr>
      </w:pPr>
    </w:p>
    <w:p w:rsidRPr="00A96279" w:rsidR="00A96279" w:rsidP="00A96279" w:rsidRDefault="00A96279" w14:paraId="50742F7E" w14:textId="77777777">
      <w:pPr>
        <w:pStyle w:val="Textoindependiente"/>
        <w:tabs>
          <w:tab w:val="left" w:pos="930"/>
        </w:tabs>
        <w:spacing w:line="240" w:lineRule="auto"/>
        <w:rPr>
          <w:sz w:val="23"/>
          <w:szCs w:val="23"/>
        </w:rPr>
      </w:pPr>
      <w:r w:rsidRPr="00A96279">
        <w:rPr>
          <w:rFonts w:ascii="Times New Roman" w:hAnsi="Times New Roman"/>
          <w:sz w:val="24"/>
          <w:szCs w:val="23"/>
        </w:rPr>
        <w:t>Que, atendiendo a lo expuesto, esta Defensoría resuelve finalmente lo siguiente:</w:t>
      </w:r>
    </w:p>
    <w:p w:rsidRPr="00A96279" w:rsidR="00A96279" w:rsidP="00A96279" w:rsidRDefault="00A96279" w14:paraId="144EC83F" w14:textId="77777777">
      <w:pPr>
        <w:pStyle w:val="Textoindependiente"/>
        <w:tabs>
          <w:tab w:val="left" w:pos="930"/>
        </w:tabs>
        <w:spacing w:line="240" w:lineRule="auto"/>
        <w:rPr>
          <w:sz w:val="23"/>
          <w:szCs w:val="23"/>
        </w:rPr>
      </w:pPr>
    </w:p>
    <w:p w:rsidRPr="00A96279" w:rsidR="00A96279" w:rsidP="00A96279" w:rsidRDefault="00A96279" w14:paraId="2D64D9B3" w14:textId="77777777">
      <w:pPr>
        <w:spacing w:line="240" w:lineRule="auto"/>
        <w:jc w:val="both"/>
        <w:rPr>
          <w:rFonts w:ascii="Times New Roman" w:hAnsi="Times New Roman" w:cs="Times New Roman"/>
          <w:sz w:val="23"/>
          <w:szCs w:val="23"/>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rsidRPr="00A96279" w:rsidR="00A96279" w:rsidP="00A96279" w:rsidRDefault="00A96279" w14:paraId="11008671" w14:textId="77777777">
      <w:pPr>
        <w:spacing w:line="240" w:lineRule="auto"/>
        <w:jc w:val="both"/>
        <w:rPr>
          <w:rFonts w:ascii="Times New Roman" w:hAnsi="Times New Roman" w:cs="Times New Roman"/>
          <w:sz w:val="23"/>
          <w:szCs w:val="23"/>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rsidRPr="00A96279" w:rsidR="00A96279" w:rsidP="00A96279" w:rsidRDefault="00A96279" w14:paraId="5C324B6E" w14:textId="77777777">
      <w:pPr>
        <w:spacing w:line="240" w:lineRule="auto"/>
        <w:jc w:val="both"/>
        <w:rPr>
          <w:rFonts w:ascii="Times New Roman" w:hAnsi="Times New Roman" w:cs="Times New Roman"/>
          <w:sz w:val="23"/>
          <w:szCs w:val="23"/>
          <w:lang w:val="es-PE"/>
        </w:rPr>
      </w:pPr>
      <w:r>
        <w:rPr>
          <w:rFonts w:ascii="Times New Roman" w:hAnsi="Times New Roman"/>
          <w:sz w:val="24"/>
        </w:rPr>
        <w:t xml:space="preserve">SEGUNDO: Que el Recurso de Impugnación presentado por la aseguradora no se sustenta en nueva prueba sino en tratar de desvirtuar los fundamentos de la Resolución Impugnada, invocando que el hecho que los asegurados presenten la denuncia policial fuera del plazo establecido en el Seguro sí genera un perjuicio a la aseguradora.</w:t>
      </w:r>
    </w:p>
    <w:p w:rsidRPr="00A96279" w:rsidR="00A96279" w:rsidP="00A96279" w:rsidRDefault="00A96279" w14:paraId="1084A583" w14:textId="77777777">
      <w:pPr>
        <w:tabs>
          <w:tab w:val="left" w:pos="709"/>
          <w:tab w:val="left" w:pos="2160"/>
        </w:tabs>
        <w:spacing w:line="240" w:lineRule="auto"/>
        <w:jc w:val="both"/>
        <w:rPr>
          <w:rFonts w:ascii="Times New Roman" w:hAnsi="Times New Roman" w:cs="Times New Roman"/>
          <w:sz w:val="23"/>
          <w:szCs w:val="23"/>
          <w:lang w:val="es-419"/>
        </w:rPr>
      </w:pPr>
      <w:r w:rsidRPr="00A96279">
        <w:rPr>
          <w:rFonts w:ascii="Times New Roman" w:hAnsi="Times New Roman" w:cs="Times New Roman"/>
          <w:sz w:val="24"/>
          <w:szCs w:val="23"/>
          <w:lang w:val="es-419"/>
        </w:rPr>
        <w:t xml:space="preserve">Al respecto, el artículo 59 de la Ley del Contrato de Seguro -Ley 29946- señala que: </w:t>
      </w:r>
    </w:p>
    <w:p w:rsidRPr="00A96279" w:rsidR="00A96279" w:rsidP="00A96279" w:rsidRDefault="00A96279" w14:paraId="4BCE514E" w14:textId="77777777">
      <w:pPr>
        <w:tabs>
          <w:tab w:val="left" w:pos="709"/>
          <w:tab w:val="left" w:pos="2160"/>
        </w:tabs>
        <w:spacing w:line="240" w:lineRule="auto"/>
        <w:ind w:left="709" w:hanging="709"/>
        <w:jc w:val="both"/>
        <w:rPr>
          <w:rFonts w:ascii="Times New Roman" w:hAnsi="Times New Roman" w:cs="Times New Roman"/>
          <w:i/>
          <w:sz w:val="23"/>
          <w:szCs w:val="23"/>
          <w:lang w:val="es-PE"/>
        </w:rPr>
      </w:pPr>
      <w:r w:rsidRPr="00A96279">
        <w:rPr>
          <w:rFonts w:ascii="Times New Roman" w:hAnsi="Times New Roman" w:cs="Times New Roman"/>
          <w:i/>
          <w:sz w:val="24"/>
          <w:szCs w:val="23"/>
          <w:lang w:val="es-419"/>
        </w:rPr>
        <w:tab/>
      </w:r>
      <w:r w:rsidRPr="00A96279">
        <w:rPr>
          <w:rFonts w:ascii="Times New Roman" w:hAnsi="Times New Roman" w:cs="Times New Roman"/>
          <w:i/>
          <w:sz w:val="24"/>
          <w:szCs w:val="23"/>
          <w:lang w:val="es-419"/>
        </w:rPr>
        <w:t>“</w:t>
      </w:r>
      <w:r w:rsidRPr="00A96279">
        <w:rPr>
          <w:rFonts w:ascii="Times New Roman" w:hAnsi="Times New Roman" w:cs="Times New Roman"/>
          <w:i/>
          <w:sz w:val="24"/>
          <w:szCs w:val="23"/>
          <w:lang w:val="es-PE"/>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A96279">
        <w:rPr>
          <w:rFonts w:ascii="Times New Roman" w:hAnsi="Times New Roman" w:cs="Times New Roman"/>
          <w:i/>
          <w:sz w:val="24"/>
          <w:szCs w:val="23"/>
          <w:lang w:val="es-PE"/>
        </w:rPr>
        <w:t>de acuerdo al</w:t>
      </w:r>
      <w:proofErr w:type="gramEnd"/>
      <w:r w:rsidRPr="00A96279">
        <w:rPr>
          <w:rFonts w:ascii="Times New Roman" w:hAnsi="Times New Roman" w:cs="Times New Roman"/>
          <w:i/>
          <w:sz w:val="24"/>
          <w:szCs w:val="23"/>
          <w:lang w:val="es-PE"/>
        </w:rPr>
        <w:t xml:space="preserve"> siguiente régimen:</w:t>
      </w:r>
    </w:p>
    <w:p w:rsidRPr="00A96279" w:rsidR="00A96279" w:rsidP="00A96279" w:rsidRDefault="00A96279" w14:paraId="4511F873" w14:textId="77777777">
      <w:pPr>
        <w:tabs>
          <w:tab w:val="left" w:pos="709"/>
          <w:tab w:val="left" w:pos="2160"/>
        </w:tabs>
        <w:spacing w:line="240" w:lineRule="auto"/>
        <w:ind w:left="1418" w:hanging="709"/>
        <w:jc w:val="both"/>
        <w:rPr>
          <w:rFonts w:ascii="Times New Roman" w:hAnsi="Times New Roman" w:cs="Times New Roman"/>
          <w:i/>
          <w:sz w:val="23"/>
          <w:szCs w:val="23"/>
          <w:lang w:val="es-PE"/>
        </w:rPr>
      </w:pPr>
      <w:r w:rsidRPr="00A96279">
        <w:rPr>
          <w:rFonts w:ascii="Times New Roman" w:hAnsi="Times New Roman" w:cs="Times New Roman"/>
          <w:i/>
          <w:sz w:val="24"/>
          <w:szCs w:val="23"/>
          <w:lang w:val="es-PE"/>
        </w:rPr>
        <w:t>Cargas posteriores al siniestro</w:t>
      </w:r>
    </w:p>
    <w:p w:rsidRPr="00A96279" w:rsidR="00A96279" w:rsidP="00A96279" w:rsidRDefault="00A96279" w14:paraId="5D7528D2" w14:textId="77777777">
      <w:pPr>
        <w:tabs>
          <w:tab w:val="left" w:pos="709"/>
          <w:tab w:val="left" w:pos="2160"/>
        </w:tabs>
        <w:spacing w:line="240" w:lineRule="auto"/>
        <w:ind w:left="1418" w:hanging="709"/>
        <w:jc w:val="both"/>
        <w:rPr>
          <w:rFonts w:ascii="Times New Roman" w:hAnsi="Times New Roman" w:cs="Times New Roman"/>
          <w:b/>
          <w:i/>
          <w:sz w:val="23"/>
          <w:szCs w:val="23"/>
          <w:u w:val="single"/>
          <w:lang w:val="es-PE"/>
        </w:rPr>
      </w:pPr>
      <w:r w:rsidRPr="00A96279">
        <w:rPr>
          <w:rFonts w:ascii="Times New Roman" w:hAnsi="Times New Roman" w:cs="Times New Roman"/>
          <w:b/>
          <w:i/>
          <w:sz w:val="24"/>
          <w:szCs w:val="23"/>
          <w:lang w:val="es-PE"/>
        </w:rPr>
        <w:t xml:space="preserve">c) </w:t>
      </w:r>
      <w:r w:rsidRPr="00A96279">
        <w:rPr>
          <w:rFonts w:ascii="Times New Roman" w:hAnsi="Times New Roman" w:cs="Times New Roman"/>
          <w:b/>
          <w:i/>
          <w:sz w:val="24"/>
          <w:szCs w:val="23"/>
          <w:lang w:val="es-PE"/>
        </w:rPr>
        <w:tab/>
      </w:r>
      <w:r w:rsidRPr="00A96279">
        <w:rPr>
          <w:rFonts w:ascii="Times New Roman" w:hAnsi="Times New Roman" w:cs="Times New Roman"/>
          <w:b/>
          <w:i/>
          <w:sz w:val="24"/>
          <w:szCs w:val="23"/>
          <w:lang w:val="es-PE"/>
        </w:rPr>
        <w:t xml:space="preserve">Si la carga debe ejecutarse después del siniestro, el asegurador se libera por el incumplimiento del asegurado, si el mismo influyó </w:t>
      </w:r>
      <w:r w:rsidRPr="00A96279">
        <w:rPr>
          <w:rFonts w:ascii="Times New Roman" w:hAnsi="Times New Roman" w:cs="Times New Roman"/>
          <w:b/>
          <w:i/>
          <w:sz w:val="24"/>
          <w:szCs w:val="23"/>
          <w:u w:val="single"/>
          <w:lang w:val="es-PE"/>
        </w:rPr>
        <w:t>en la extensión de la obligación asumida.</w:t>
      </w:r>
    </w:p>
    <w:p w:rsidRPr="00A96279" w:rsidR="00A96279" w:rsidP="00A96279" w:rsidRDefault="00A96279" w14:paraId="72ABE058" w14:textId="77777777">
      <w:pPr>
        <w:tabs>
          <w:tab w:val="left" w:pos="709"/>
          <w:tab w:val="left" w:pos="2160"/>
        </w:tabs>
        <w:spacing w:line="240" w:lineRule="auto"/>
        <w:ind w:left="1418" w:hanging="709"/>
        <w:jc w:val="both"/>
        <w:rPr>
          <w:rFonts w:ascii="Times New Roman" w:hAnsi="Times New Roman" w:cs="Times New Roman"/>
          <w:i/>
          <w:sz w:val="23"/>
          <w:szCs w:val="23"/>
          <w:lang w:val="es-PE"/>
        </w:rPr>
      </w:pPr>
      <w:r w:rsidRPr="00A96279">
        <w:rPr>
          <w:rFonts w:ascii="Times New Roman" w:hAnsi="Times New Roman" w:cs="Times New Roman"/>
          <w:i/>
          <w:sz w:val="24"/>
          <w:szCs w:val="23"/>
          <w:lang w:val="es-PE"/>
        </w:rPr>
        <w:t xml:space="preserve">d) </w:t>
      </w:r>
      <w:r w:rsidRPr="00A96279">
        <w:rPr>
          <w:rFonts w:ascii="Times New Roman" w:hAnsi="Times New Roman" w:cs="Times New Roman"/>
          <w:i/>
          <w:sz w:val="24"/>
          <w:szCs w:val="23"/>
          <w:lang w:val="es-PE"/>
        </w:rPr>
        <w:tab/>
      </w:r>
      <w:r w:rsidRPr="00A96279">
        <w:rPr>
          <w:rFonts w:ascii="Times New Roman" w:hAnsi="Times New Roman" w:cs="Times New Roman"/>
          <w:i/>
          <w:sz w:val="24"/>
          <w:szCs w:val="23"/>
          <w:lang w:val="es-PE"/>
        </w:rPr>
        <w:t>En caso de culpa leve, la indemnización se reduce de manera proporcional a la agravación del siniestro consecuencia del incumplimiento.”</w:t>
      </w:r>
    </w:p>
    <w:p w:rsidRPr="00A96279" w:rsidR="00A96279" w:rsidP="00A96279" w:rsidRDefault="00A96279" w14:paraId="46CA8AED" w14:textId="77777777">
      <w:pPr>
        <w:spacing w:line="240" w:lineRule="auto"/>
        <w:jc w:val="both"/>
        <w:rPr>
          <w:rFonts w:ascii="Times New Roman" w:hAnsi="Times New Roman" w:cs="Times New Roman"/>
          <w:sz w:val="23"/>
          <w:szCs w:val="23"/>
          <w:lang w:val="es-PE"/>
        </w:rPr>
      </w:pPr>
      <w:r w:rsidRPr="00A96279">
        <w:rPr>
          <w:rFonts w:ascii="Times New Roman" w:hAnsi="Times New Roman" w:cs="Times New Roman"/>
          <w:sz w:val="24"/>
          <w:szCs w:val="23"/>
          <w:lang w:val="es-PE"/>
        </w:rPr>
        <w:t xml:space="preserve">Sobre el particular, este Colegiado reitera que la razonabilidad de la carga está directamente vinculada a que influya o no en la extensión de la obligación asumida por la aseguradora. En ese sentido, no basta el incumplimiento literal para acarrear la pérdida de los derechos indemnizatorios, sino que ésta tenga una eficacia efectiva en la responsabilidad que asume la aseguradora. En el </w:t>
      </w:r>
      <w:r w:rsidRPr="00A96279">
        <w:rPr>
          <w:rFonts w:ascii="Times New Roman" w:hAnsi="Times New Roman" w:cs="Times New Roman"/>
          <w:sz w:val="24"/>
          <w:szCs w:val="23"/>
          <w:lang w:val="es-PE"/>
        </w:rPr>
        <w:t>presente caso la aseguradora no ha demostrado cómo la denuncia policial efectuada en un plazo mayor a 4 horas ha influido en el alcance de las obligaciones derivadas del contrato de seguro.</w:t>
      </w:r>
    </w:p>
    <w:p w:rsidRPr="00A96279" w:rsidR="00A96279" w:rsidP="00A96279" w:rsidRDefault="00A96279" w14:paraId="634082C8" w14:textId="723BE370">
      <w:pPr>
        <w:spacing w:line="240" w:lineRule="auto"/>
        <w:jc w:val="both"/>
        <w:rPr>
          <w:rFonts w:ascii="Times New Roman" w:hAnsi="Times New Roman" w:cs="Times New Roman"/>
          <w:sz w:val="23"/>
          <w:szCs w:val="23"/>
          <w:lang w:val="es-PE"/>
        </w:rPr>
      </w:pPr>
      <w:r w:rsidRPr="434DB0FA" w:rsidR="00A96279">
        <w:rPr>
          <w:rFonts w:ascii="Times New Roman" w:hAnsi="Times New Roman" w:cs="Times New Roman"/>
          <w:sz w:val="24"/>
          <w:szCs w:val="23"/>
          <w:lang w:val="es-PE"/>
        </w:rPr>
        <w:t xml:space="preserve">Que, </w:t>
      </w:r>
      <w:r w:rsidRPr="434DB0FA" w:rsidR="79CC9C94">
        <w:rPr>
          <w:rFonts w:ascii="Times New Roman" w:hAnsi="Times New Roman" w:cs="Times New Roman"/>
          <w:sz w:val="24"/>
          <w:szCs w:val="23"/>
          <w:lang w:val="es-PE"/>
        </w:rPr>
        <w:t>......................................</w:t>
      </w:r>
      <w:r w:rsidRPr="434DB0FA" w:rsidR="00A96279">
        <w:rPr>
          <w:rFonts w:ascii="Times New Roman" w:hAnsi="Times New Roman" w:cs="Times New Roman"/>
          <w:sz w:val="24"/>
          <w:szCs w:val="23"/>
          <w:lang w:val="es-PE"/>
        </w:rPr>
        <w:t xml:space="preserve"> señala que la denuncia policial fuera del plazo establecido en el contrato les genera un perjuicio, en tanto hay un incumplimiento contractual y, además, la interposición oportuna de la denuncia policial influye en la verificación o determinación del siniestro, respecto de las circunstancias.</w:t>
      </w:r>
    </w:p>
    <w:p w:rsidRPr="00A96279" w:rsidR="00A96279" w:rsidP="00A96279" w:rsidRDefault="00A96279" w14:paraId="3CE626F2" w14:textId="77777777">
      <w:pPr>
        <w:spacing w:line="240" w:lineRule="auto"/>
        <w:jc w:val="both"/>
        <w:rPr>
          <w:rFonts w:ascii="Times New Roman" w:hAnsi="Times New Roman" w:cs="Times New Roman"/>
          <w:sz w:val="23"/>
          <w:szCs w:val="23"/>
          <w:lang w:val="es-PE"/>
        </w:rPr>
      </w:pPr>
      <w:r w:rsidRPr="00A96279">
        <w:rPr>
          <w:rFonts w:ascii="Times New Roman" w:hAnsi="Times New Roman" w:cs="Times New Roman"/>
          <w:sz w:val="24"/>
          <w:szCs w:val="23"/>
          <w:lang w:val="es-PE"/>
        </w:rPr>
        <w:t>Que, lo señalado tiene sentido en otro tipo de siniestros donde es necesario realizar una investigación para conocer la causa del siniestro, pero tratándose de la realización de un consumo indebido luego del extravío de una tarjeta, dicha denuncia es una comunicación que debe realizarse para poder dejar constancia del hecho; siendo lo más importante en esos casos -para reducir el estado de riesgo-, el bloqueo inmediato de la tarjeta, pues de lo contrario se agrava el estado de riesgo en perjuicio de la aseguradora y del propio titular de la tarjeta.</w:t>
      </w:r>
    </w:p>
    <w:p w:rsidRPr="00A96279" w:rsidR="00A96279" w:rsidP="00A96279" w:rsidRDefault="00A96279" w14:paraId="6470E828" w14:textId="77777777">
      <w:pPr>
        <w:spacing w:line="240" w:lineRule="auto"/>
        <w:jc w:val="both"/>
        <w:rPr>
          <w:rFonts w:ascii="Times New Roman" w:hAnsi="Times New Roman" w:cs="Times New Roman"/>
          <w:sz w:val="23"/>
          <w:szCs w:val="23"/>
          <w:lang w:val="es-PE"/>
        </w:rPr>
      </w:pPr>
      <w:r w:rsidRPr="00A96279">
        <w:rPr>
          <w:rFonts w:ascii="Times New Roman" w:hAnsi="Times New Roman" w:cs="Times New Roman"/>
          <w:b/>
          <w:sz w:val="24"/>
          <w:szCs w:val="23"/>
          <w:u w:val="single"/>
          <w:lang w:val="es-PE"/>
        </w:rPr>
        <w:t>TERCERO</w:t>
      </w:r>
      <w:r w:rsidRPr="00A96279">
        <w:rPr>
          <w:rFonts w:ascii="Times New Roman" w:hAnsi="Times New Roman" w:cs="Times New Roman"/>
          <w:b/>
          <w:sz w:val="24"/>
          <w:szCs w:val="23"/>
          <w:lang w:val="es-PE"/>
        </w:rPr>
        <w:t>:</w:t>
      </w:r>
      <w:r w:rsidRPr="00A96279">
        <w:rPr>
          <w:rFonts w:ascii="Times New Roman" w:hAnsi="Times New Roman" w:cs="Times New Roman"/>
          <w:sz w:val="24"/>
          <w:szCs w:val="23"/>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rsidRPr="00A96279" w:rsidR="00A96279" w:rsidP="00A96279" w:rsidRDefault="00A96279" w14:paraId="5A8722FE" w14:textId="77777777">
      <w:pPr>
        <w:spacing w:line="240" w:lineRule="auto"/>
        <w:jc w:val="both"/>
        <w:rPr>
          <w:rFonts w:ascii="Times New Roman" w:hAnsi="Times New Roman" w:cs="Times New Roman"/>
          <w:b/>
          <w:sz w:val="23"/>
          <w:szCs w:val="23"/>
          <w:lang w:val="es-PE"/>
        </w:rPr>
      </w:pPr>
      <w:r>
        <w:rPr>
          <w:rFonts w:ascii="Times New Roman" w:hAnsi="Times New Roman"/>
          <w:sz w:val="24"/>
        </w:rPr>
        <w:t xml:space="preserve">ATENDIENDO A LO EXPRESADO, CONFORME A SU REGLAMENTO, …………………:</w:t>
      </w:r>
    </w:p>
    <w:p w:rsidRPr="00A96279" w:rsidR="00A96279" w:rsidP="434DB0FA" w:rsidRDefault="00A96279" w14:paraId="0D5649A9" w14:textId="3E135DA1">
      <w:pPr>
        <w:pStyle w:val="Default"/>
        <w:spacing w:line="240" w:lineRule="auto"/>
        <w:jc w:val="both"/>
        <w:rPr>
          <w:rFonts w:ascii="Times New Roman" w:hAnsi="Times New Roman" w:cs="Times New Roman"/>
          <w:b w:val="1"/>
          <w:bCs w:val="1"/>
          <w:sz w:val="23"/>
          <w:szCs w:val="23"/>
        </w:rPr>
      </w:pPr>
      <w:r>
        <w:rPr>
          <w:rFonts w:ascii="Times New Roman" w:hAnsi="Times New Roman"/>
          <w:sz w:val="24"/>
        </w:rPr>
        <w:t xml:space="preserve">DECLARAR INFUNDADO el Recurso de Impugnación interpuesto por ...................................... y, por consiguiente, CONFIRMAR la Resolución N° 188/23.</w:t>
      </w:r>
    </w:p>
    <w:p w:rsidRPr="00A96279" w:rsidR="00F7567C" w:rsidP="006578A4" w:rsidRDefault="00F7567C" w14:paraId="74F6CE19" w14:textId="77777777">
      <w:pPr>
        <w:pStyle w:val="Default"/>
        <w:spacing w:line="240" w:lineRule="auto"/>
        <w:jc w:val="both"/>
        <w:rPr>
          <w:rFonts w:ascii="Times New Roman" w:hAnsi="Times New Roman" w:cs="Times New Roman"/>
          <w:b/>
          <w:sz w:val="23"/>
          <w:szCs w:val="23"/>
        </w:rPr>
      </w:pPr>
    </w:p>
    <w:p w:rsidRPr="00A96279" w:rsidR="008B6A09" w:rsidP="008B6A09" w:rsidRDefault="0091528B" w14:paraId="000A434B" w14:textId="3CA644B3">
      <w:pPr>
        <w:spacing w:line="240" w:lineRule="auto"/>
        <w:jc w:val="right"/>
        <w:rPr>
          <w:rFonts w:ascii="Times New Roman" w:hAnsi="Times New Roman" w:cs="Times New Roman"/>
          <w:sz w:val="23"/>
          <w:szCs w:val="23"/>
          <w:lang w:val="es-PE"/>
        </w:rPr>
      </w:pPr>
      <w:r w:rsidRPr="00A96279">
        <w:rPr>
          <w:rFonts w:ascii="Times New Roman" w:hAnsi="Times New Roman" w:eastAsia="Arial Unicode MS" w:cs="Times New Roman"/>
          <w:sz w:val="24"/>
          <w:szCs w:val="23"/>
          <w:lang w:val="es-PE" w:eastAsia="ar-SA"/>
        </w:rPr>
        <w:t xml:space="preserve">Lima, </w:t>
      </w:r>
      <w:r w:rsidRPr="00A96279" w:rsidR="00A96279">
        <w:rPr>
          <w:rFonts w:ascii="Times New Roman" w:hAnsi="Times New Roman" w:eastAsia="Arial Unicode MS" w:cs="Times New Roman"/>
          <w:sz w:val="24"/>
          <w:szCs w:val="23"/>
          <w:lang w:val="es-PE" w:eastAsia="ar-SA"/>
        </w:rPr>
        <w:t>1</w:t>
      </w:r>
      <w:r w:rsidRPr="00A96279" w:rsidR="00095105">
        <w:rPr>
          <w:rFonts w:ascii="Times New Roman" w:hAnsi="Times New Roman" w:eastAsia="Arial Unicode MS" w:cs="Times New Roman"/>
          <w:sz w:val="24"/>
          <w:szCs w:val="23"/>
          <w:lang w:val="es-PE" w:eastAsia="ar-SA"/>
        </w:rPr>
        <w:t>4</w:t>
      </w:r>
      <w:r w:rsidRPr="00A96279" w:rsidR="00570ED6">
        <w:rPr>
          <w:rFonts w:ascii="Times New Roman" w:hAnsi="Times New Roman" w:eastAsia="Arial Unicode MS" w:cs="Times New Roman"/>
          <w:sz w:val="24"/>
          <w:szCs w:val="23"/>
          <w:lang w:val="es-PE" w:eastAsia="ar-SA"/>
        </w:rPr>
        <w:t xml:space="preserve"> </w:t>
      </w:r>
      <w:r w:rsidRPr="00A96279" w:rsidR="00707C99">
        <w:rPr>
          <w:rFonts w:ascii="Times New Roman" w:hAnsi="Times New Roman" w:eastAsia="Arial Unicode MS" w:cs="Times New Roman"/>
          <w:sz w:val="24"/>
          <w:szCs w:val="23"/>
          <w:lang w:val="es-PE" w:eastAsia="ar-SA"/>
        </w:rPr>
        <w:t xml:space="preserve">de </w:t>
      </w:r>
      <w:r w:rsidRPr="00A96279" w:rsidR="00095105">
        <w:rPr>
          <w:rFonts w:ascii="Times New Roman" w:hAnsi="Times New Roman" w:eastAsia="Arial Unicode MS" w:cs="Times New Roman"/>
          <w:sz w:val="24"/>
          <w:szCs w:val="23"/>
          <w:lang w:val="es-PE" w:eastAsia="ar-SA"/>
        </w:rPr>
        <w:t>diciembre</w:t>
      </w:r>
      <w:r w:rsidRPr="00A96279" w:rsidR="002F478E">
        <w:rPr>
          <w:rFonts w:ascii="Times New Roman" w:hAnsi="Times New Roman" w:eastAsia="Arial Unicode MS" w:cs="Times New Roman"/>
          <w:sz w:val="24"/>
          <w:szCs w:val="23"/>
          <w:lang w:val="es-PE" w:eastAsia="ar-SA"/>
        </w:rPr>
        <w:t xml:space="preserve"> </w:t>
      </w:r>
      <w:r w:rsidRPr="00A96279" w:rsidR="00F06498">
        <w:rPr>
          <w:rFonts w:ascii="Times New Roman" w:hAnsi="Times New Roman" w:eastAsia="Arial Unicode MS" w:cs="Times New Roman"/>
          <w:sz w:val="24"/>
          <w:szCs w:val="23"/>
          <w:lang w:val="es-PE" w:eastAsia="ar-SA"/>
        </w:rPr>
        <w:t>de 202</w:t>
      </w:r>
      <w:r w:rsidRPr="00A96279" w:rsidR="00B340D4">
        <w:rPr>
          <w:rFonts w:ascii="Times New Roman" w:hAnsi="Times New Roman" w:eastAsia="Arial Unicode MS" w:cs="Times New Roman"/>
          <w:sz w:val="24"/>
          <w:szCs w:val="23"/>
          <w:lang w:val="es-PE" w:eastAsia="ar-SA"/>
        </w:rPr>
        <w:t>3</w:t>
      </w:r>
      <w:r w:rsidRPr="00A96279" w:rsidR="00707C99">
        <w:rPr>
          <w:rFonts w:ascii="Times New Roman" w:hAnsi="Times New Roman" w:eastAsia="Times New Roman" w:cs="Times New Roman"/>
          <w:sz w:val="24"/>
          <w:szCs w:val="23"/>
          <w:lang w:val="es-PE" w:eastAsia="ar-SA"/>
        </w:rPr>
        <w:t xml:space="preserve"> </w:t>
      </w:r>
    </w:p>
    <w:p w:rsidRPr="00A96279" w:rsidR="008B6A09" w:rsidP="008B6A09" w:rsidRDefault="008B6A09" w14:paraId="7433A34B" w14:textId="77777777">
      <w:pPr>
        <w:suppressAutoHyphens/>
        <w:spacing w:after="0" w:line="240" w:lineRule="auto"/>
        <w:jc w:val="right"/>
        <w:outlineLvl w:val="0"/>
        <w:rPr>
          <w:rFonts w:ascii="Times New Roman" w:hAnsi="Times New Roman" w:eastAsia="Arial Unicode MS" w:cs="Times New Roman"/>
          <w:sz w:val="23"/>
          <w:szCs w:val="23"/>
          <w:lang w:val="es-PE" w:eastAsia="ar-SA"/>
        </w:rPr>
      </w:pPr>
    </w:p>
    <w:p w:rsidRPr="00A96279" w:rsidR="00A323F4" w:rsidP="00A323F4" w:rsidRDefault="00A323F4" w14:paraId="1B6988F6" w14:textId="77777777">
      <w:pPr>
        <w:spacing w:after="0" w:line="240" w:lineRule="auto"/>
        <w:jc w:val="both"/>
        <w:rPr>
          <w:rFonts w:ascii="Times New Roman" w:hAnsi="Times New Roman" w:cs="Times New Roman"/>
          <w:b/>
          <w:bCs/>
          <w:i/>
          <w:iCs/>
          <w:sz w:val="23"/>
          <w:szCs w:val="23"/>
          <w:lang w:val="es-PE"/>
        </w:rPr>
      </w:pPr>
      <w:r w:rsidRPr="00A96279">
        <w:rPr>
          <w:rFonts w:ascii="Times New Roman" w:hAnsi="Times New Roman" w:cs="Times New Roman"/>
          <w:b/>
          <w:bCs/>
          <w:i/>
          <w:iCs/>
          <w:sz w:val="24"/>
          <w:szCs w:val="23"/>
          <w:lang w:val="es-PE"/>
        </w:rPr>
        <w:t>La Secretaría Técnica certifica que la presente resolución cuenta con el voto de los vocales cuyos nombres figuran en el presente documento.</w:t>
      </w:r>
    </w:p>
    <w:p w:rsidRPr="00A96279" w:rsidR="00A323F4" w:rsidP="00A323F4" w:rsidRDefault="00A323F4" w14:paraId="3AB80116" w14:textId="77777777">
      <w:pPr>
        <w:spacing w:after="0" w:line="360" w:lineRule="auto"/>
        <w:jc w:val="both"/>
        <w:rPr>
          <w:rFonts w:ascii="Times New Roman" w:hAnsi="Times New Roman" w:cs="Times New Roman"/>
          <w:b/>
          <w:bCs/>
          <w:i/>
          <w:iCs/>
          <w:sz w:val="23"/>
          <w:szCs w:val="23"/>
          <w:lang w:val="es-PE"/>
        </w:rPr>
      </w:pPr>
    </w:p>
    <w:p w:rsidRPr="00A96279" w:rsidR="007543CD" w:rsidP="007543CD" w:rsidRDefault="007543CD" w14:paraId="220AA7AD" w14:textId="77777777">
      <w:pPr>
        <w:spacing w:after="0" w:line="360" w:lineRule="auto"/>
        <w:jc w:val="center"/>
        <w:rPr>
          <w:rFonts w:ascii="Times New Roman" w:hAnsi="Times New Roman" w:cs="Times New Roman"/>
          <w:b/>
          <w:bCs/>
          <w:sz w:val="23"/>
          <w:szCs w:val="23"/>
          <w:lang w:val="es-PE"/>
        </w:rPr>
      </w:pPr>
      <w:r w:rsidRPr="00A96279">
        <w:rPr>
          <w:rFonts w:ascii="Times New Roman" w:hAnsi="Times New Roman" w:cs="Times New Roman"/>
          <w:b/>
          <w:bCs/>
          <w:sz w:val="24"/>
          <w:szCs w:val="23"/>
          <w:lang w:val="es-PE"/>
        </w:rPr>
        <w:t xml:space="preserve">Rolando Eyzaguirre </w:t>
      </w:r>
      <w:proofErr w:type="spellStart"/>
      <w:r w:rsidRPr="00A96279">
        <w:rPr>
          <w:rFonts w:ascii="Times New Roman" w:hAnsi="Times New Roman" w:cs="Times New Roman"/>
          <w:b/>
          <w:bCs/>
          <w:sz w:val="24"/>
          <w:szCs w:val="23"/>
          <w:lang w:val="es-PE"/>
        </w:rPr>
        <w:t>Maccan</w:t>
      </w:r>
      <w:proofErr w:type="spellEnd"/>
      <w:r w:rsidRPr="00A96279">
        <w:rPr>
          <w:rFonts w:ascii="Times New Roman" w:hAnsi="Times New Roman" w:cs="Times New Roman"/>
          <w:b/>
          <w:bCs/>
          <w:sz w:val="24"/>
          <w:szCs w:val="23"/>
          <w:lang w:val="es-PE"/>
        </w:rPr>
        <w:t xml:space="preserve"> – </w:t>
      </w:r>
      <w:proofErr w:type="gramStart"/>
      <w:r w:rsidRPr="00A96279">
        <w:rPr>
          <w:rFonts w:ascii="Times New Roman" w:hAnsi="Times New Roman" w:cs="Times New Roman"/>
          <w:b/>
          <w:bCs/>
          <w:sz w:val="24"/>
          <w:szCs w:val="23"/>
          <w:lang w:val="es-PE"/>
        </w:rPr>
        <w:t>Presidente</w:t>
      </w:r>
      <w:proofErr w:type="gramEnd"/>
    </w:p>
    <w:p w:rsidRPr="00A96279" w:rsidR="007543CD" w:rsidP="007543CD" w:rsidRDefault="007543CD" w14:paraId="0DCF6E18" w14:textId="77777777">
      <w:pPr>
        <w:spacing w:after="0" w:line="360" w:lineRule="auto"/>
        <w:jc w:val="center"/>
        <w:rPr>
          <w:rFonts w:ascii="Times New Roman" w:hAnsi="Times New Roman" w:cs="Times New Roman"/>
          <w:b/>
          <w:bCs/>
          <w:sz w:val="23"/>
          <w:szCs w:val="23"/>
          <w:lang w:val="es-PE"/>
        </w:rPr>
      </w:pPr>
      <w:r w:rsidRPr="00A96279">
        <w:rPr>
          <w:rFonts w:ascii="Times New Roman" w:hAnsi="Times New Roman" w:cs="Times New Roman"/>
          <w:b/>
          <w:bCs/>
          <w:sz w:val="24"/>
          <w:szCs w:val="23"/>
          <w:lang w:val="es-PE"/>
        </w:rPr>
        <w:t>María Eugenia Valdez Fernández Baca – Vocal</w:t>
      </w:r>
    </w:p>
    <w:p w:rsidRPr="00A96279" w:rsidR="007543CD" w:rsidP="007543CD" w:rsidRDefault="007543CD" w14:paraId="69BF44D1" w14:textId="77777777">
      <w:pPr>
        <w:spacing w:after="0" w:line="360" w:lineRule="auto"/>
        <w:jc w:val="center"/>
        <w:rPr>
          <w:rFonts w:ascii="Times New Roman" w:hAnsi="Times New Roman" w:cs="Times New Roman"/>
          <w:b/>
          <w:bCs/>
          <w:sz w:val="23"/>
          <w:szCs w:val="23"/>
          <w:lang w:val="es-PE"/>
        </w:rPr>
      </w:pPr>
      <w:r w:rsidRPr="00A96279">
        <w:rPr>
          <w:rFonts w:ascii="Times New Roman" w:hAnsi="Times New Roman" w:cs="Times New Roman"/>
          <w:b/>
          <w:bCs/>
          <w:sz w:val="24"/>
          <w:szCs w:val="23"/>
          <w:lang w:val="es-PE"/>
        </w:rPr>
        <w:t>Omar Alfaro Villanueva – Vocal</w:t>
      </w:r>
    </w:p>
    <w:p w:rsidRPr="00A96279" w:rsidR="007543CD" w:rsidP="007543CD" w:rsidRDefault="007543CD" w14:paraId="69BFE54F" w14:textId="77777777">
      <w:pPr>
        <w:spacing w:after="0" w:line="360" w:lineRule="auto"/>
        <w:jc w:val="center"/>
        <w:rPr>
          <w:rFonts w:ascii="Times New Roman" w:hAnsi="Times New Roman" w:cs="Times New Roman"/>
          <w:sz w:val="23"/>
          <w:szCs w:val="23"/>
          <w:lang w:val="es-PE"/>
        </w:rPr>
      </w:pPr>
      <w:r w:rsidRPr="00A96279">
        <w:rPr>
          <w:rFonts w:ascii="Times New Roman" w:hAnsi="Times New Roman" w:cs="Times New Roman"/>
          <w:b/>
          <w:bCs/>
          <w:sz w:val="24"/>
          <w:szCs w:val="23"/>
          <w:lang w:val="es-PE"/>
        </w:rPr>
        <w:t>Gonzalo Abad del Busto – Vocal</w:t>
      </w:r>
    </w:p>
    <w:p w:rsidRPr="00A96279" w:rsidR="00986F0C" w:rsidP="00556526" w:rsidRDefault="00986F0C" w14:paraId="412CCBAA" w14:textId="77777777">
      <w:pPr>
        <w:spacing w:after="0" w:line="240" w:lineRule="auto"/>
        <w:jc w:val="center"/>
        <w:rPr>
          <w:rFonts w:ascii="Times New Roman" w:hAnsi="Times New Roman" w:cs="Times New Roman"/>
          <w:b/>
          <w:bCs/>
          <w:sz w:val="23"/>
          <w:szCs w:val="23"/>
          <w:lang w:val="es-PE"/>
        </w:rPr>
      </w:pPr>
    </w:p>
    <w:p w:rsidRPr="00A96279" w:rsidR="00C671F5" w:rsidP="434DB0FA" w:rsidRDefault="00C671F5" w14:paraId="2C3A0205" w14:textId="19F3B6B2">
      <w:pPr>
        <w:pStyle w:val="Normal"/>
        <w:spacing w:after="0" w:line="240" w:lineRule="auto"/>
        <w:rPr>
          <w:rFonts w:ascii="Times New Roman" w:hAnsi="Times New Roman" w:cs="Times New Roman"/>
          <w:b w:val="1"/>
          <w:bCs w:val="1"/>
          <w:sz w:val="23"/>
          <w:szCs w:val="23"/>
          <w:lang w:val="es-PE"/>
        </w:rPr>
      </w:pPr>
    </w:p>
    <w:sectPr w:rsidRPr="00A96279" w:rsidR="00C671F5" w:rsidSect="00077B6F">
      <w:headerReference w:type="default" r:id="rId8"/>
      <w:footerReference w:type="default" r:id="rId9"/>
      <w:headerReference w:type="first" r:id="rId12"/>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65584" w:rsidP="00784355" w:rsidRDefault="00065584" w14:paraId="20066571" w14:textId="77777777">
      <w:pPr>
        <w:spacing w:after="0" w:line="240" w:lineRule="auto"/>
      </w:pPr>
      <w:r>
        <w:separator/>
      </w:r>
    </w:p>
  </w:endnote>
  <w:endnote w:type="continuationSeparator" w:id="0">
    <w:p w:rsidR="00065584" w:rsidP="00784355" w:rsidRDefault="00065584" w14:paraId="13A9B22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65584" w:rsidP="00784355" w:rsidRDefault="00065584" w14:paraId="62062A7C" w14:textId="77777777">
      <w:pPr>
        <w:spacing w:after="0" w:line="240" w:lineRule="auto"/>
      </w:pPr>
      <w:r>
        <w:separator/>
      </w:r>
    </w:p>
  </w:footnote>
  <w:footnote w:type="continuationSeparator" w:id="0">
    <w:p w:rsidR="00065584" w:rsidP="00784355" w:rsidRDefault="00065584" w14:paraId="7E0DF4D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18"/>
  </w:num>
  <w:num w:numId="3" w16cid:durableId="333261791">
    <w:abstractNumId w:val="16"/>
  </w:num>
  <w:num w:numId="4" w16cid:durableId="1770345525">
    <w:abstractNumId w:val="15"/>
  </w:num>
  <w:num w:numId="5" w16cid:durableId="1816144979">
    <w:abstractNumId w:val="17"/>
  </w:num>
  <w:num w:numId="6" w16cid:durableId="1304313350">
    <w:abstractNumId w:val="0"/>
  </w:num>
  <w:num w:numId="7" w16cid:durableId="16682880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0"/>
  </w:num>
  <w:num w:numId="17" w16cid:durableId="17998823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9385F"/>
    <w:rsid w:val="00196365"/>
    <w:rsid w:val="001A008A"/>
    <w:rsid w:val="001A3395"/>
    <w:rsid w:val="001A43EC"/>
    <w:rsid w:val="001A44E1"/>
    <w:rsid w:val="001A555F"/>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718F"/>
    <w:rsid w:val="004B155C"/>
    <w:rsid w:val="004B27E2"/>
    <w:rsid w:val="004B51ED"/>
    <w:rsid w:val="004C1C34"/>
    <w:rsid w:val="004C34ED"/>
    <w:rsid w:val="004C51EC"/>
    <w:rsid w:val="004C5A91"/>
    <w:rsid w:val="004E65DD"/>
    <w:rsid w:val="004F0319"/>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43E9"/>
    <w:rsid w:val="00605902"/>
    <w:rsid w:val="00606105"/>
    <w:rsid w:val="00613A39"/>
    <w:rsid w:val="00622ABC"/>
    <w:rsid w:val="00623204"/>
    <w:rsid w:val="00624034"/>
    <w:rsid w:val="00631C06"/>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4447"/>
    <w:rsid w:val="007543CD"/>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7BF6"/>
    <w:rsid w:val="009E5F11"/>
    <w:rsid w:val="009E7994"/>
    <w:rsid w:val="009F143B"/>
    <w:rsid w:val="009F2EEB"/>
    <w:rsid w:val="009F75DF"/>
    <w:rsid w:val="00A00055"/>
    <w:rsid w:val="00A00101"/>
    <w:rsid w:val="00A02270"/>
    <w:rsid w:val="00A046BC"/>
    <w:rsid w:val="00A077D2"/>
    <w:rsid w:val="00A16942"/>
    <w:rsid w:val="00A17A72"/>
    <w:rsid w:val="00A20E69"/>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4C86"/>
    <w:rsid w:val="00AC4CF3"/>
    <w:rsid w:val="00AC5A9E"/>
    <w:rsid w:val="00AD1FEC"/>
    <w:rsid w:val="00AD2DF1"/>
    <w:rsid w:val="00AE3EA8"/>
    <w:rsid w:val="00AE4125"/>
    <w:rsid w:val="00AE58A1"/>
    <w:rsid w:val="00AE6BD5"/>
    <w:rsid w:val="00AF1C99"/>
    <w:rsid w:val="00AF5E87"/>
    <w:rsid w:val="00B00552"/>
    <w:rsid w:val="00B02BEE"/>
    <w:rsid w:val="00B11C1C"/>
    <w:rsid w:val="00B12E7A"/>
    <w:rsid w:val="00B13613"/>
    <w:rsid w:val="00B17BD8"/>
    <w:rsid w:val="00B17E56"/>
    <w:rsid w:val="00B30B53"/>
    <w:rsid w:val="00B313E9"/>
    <w:rsid w:val="00B32325"/>
    <w:rsid w:val="00B340A4"/>
    <w:rsid w:val="00B340D4"/>
    <w:rsid w:val="00B355EC"/>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33F4"/>
    <w:rsid w:val="00BD797F"/>
    <w:rsid w:val="00BE1470"/>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92C"/>
    <w:rsid w:val="00D228DE"/>
    <w:rsid w:val="00D22DC3"/>
    <w:rsid w:val="00D25683"/>
    <w:rsid w:val="00D27042"/>
    <w:rsid w:val="00D3103B"/>
    <w:rsid w:val="00D322D9"/>
    <w:rsid w:val="00D422AF"/>
    <w:rsid w:val="00D4253A"/>
    <w:rsid w:val="00D43EB8"/>
    <w:rsid w:val="00D50B42"/>
    <w:rsid w:val="00D50BAF"/>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B7347"/>
    <w:rsid w:val="00DB74D5"/>
    <w:rsid w:val="00DC399B"/>
    <w:rsid w:val="00DD0F92"/>
    <w:rsid w:val="00DD5E2B"/>
    <w:rsid w:val="00DE585A"/>
    <w:rsid w:val="00DF0424"/>
    <w:rsid w:val="00DF3781"/>
    <w:rsid w:val="00DF6E69"/>
    <w:rsid w:val="00E107CA"/>
    <w:rsid w:val="00E109E4"/>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C19C1"/>
    <w:rsid w:val="00EC283A"/>
    <w:rsid w:val="00EC3551"/>
    <w:rsid w:val="00EC7271"/>
    <w:rsid w:val="00ED2086"/>
    <w:rsid w:val="00ED38AF"/>
    <w:rsid w:val="00ED60A1"/>
    <w:rsid w:val="00ED6123"/>
    <w:rsid w:val="00EE1C4A"/>
    <w:rsid w:val="00EE2F04"/>
    <w:rsid w:val="00EE3E0F"/>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3F82"/>
    <w:rsid w:val="00FF41F3"/>
    <w:rsid w:val="16C3BB9C"/>
    <w:rsid w:val="1E5DA966"/>
    <w:rsid w:val="2C9A26F8"/>
    <w:rsid w:val="2EE2FA0C"/>
    <w:rsid w:val="434DB0FA"/>
    <w:rsid w:val="68E334F5"/>
    <w:rsid w:val="79CC9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F4EC24B5-CD88-4099-B90B-BC0B2FD1549E}"/>
</file>

<file path=customXml/itemProps3.xml><?xml version="1.0" encoding="utf-8"?>
<ds:datastoreItem xmlns:ds="http://schemas.openxmlformats.org/officeDocument/2006/customXml" ds:itemID="{C876F509-A879-41B6-9F7E-7D8D7FEDA9D8}"/>
</file>

<file path=customXml/itemProps4.xml><?xml version="1.0" encoding="utf-8"?>
<ds:datastoreItem xmlns:ds="http://schemas.openxmlformats.org/officeDocument/2006/customXml" ds:itemID="{F6967A19-4151-4B8D-A147-E012647BAFC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218</cp:revision>
  <cp:lastPrinted>2023-12-14T14:39:00Z</cp:lastPrinted>
  <dcterms:created xsi:type="dcterms:W3CDTF">2023-02-14T22:37:00Z</dcterms:created>
  <dcterms:modified xsi:type="dcterms:W3CDTF">2025-12-17T16:31:17Z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