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327EC790" w:rsidR="00707C99" w:rsidRPr="00FA1290" w:rsidRDefault="00201C0D" w:rsidP="00272F4F">
      <w:pPr>
        <w:spacing w:after="0" w:line="240" w:lineRule="auto"/>
        <w:jc w:val="center"/>
        <w:rPr>
          <w:rFonts w:ascii="Times New Roman" w:hAnsi="Times New Roman" w:cs="Times New Roman"/>
          <w:b/>
          <w:sz w:val="24"/>
          <w:szCs w:val="24"/>
          <w:lang w:val="es-PE" w:eastAsia="ar-SA"/>
        </w:rPr>
      </w:pPr>
      <w:r w:rsidRPr="00FA1290">
        <w:rPr>
          <w:rFonts w:ascii="Times New Roman" w:hAnsi="Times New Roman" w:cs="Times New Roman"/>
          <w:b/>
          <w:sz w:val="24"/>
          <w:szCs w:val="24"/>
          <w:lang w:val="es-PE" w:eastAsia="ar-SA"/>
        </w:rPr>
        <w:t xml:space="preserve">RESOLUCIÓN DE RECURSO IMPUGNATIVO </w:t>
      </w:r>
      <w:proofErr w:type="spellStart"/>
      <w:r w:rsidR="00707C99" w:rsidRPr="00FA1290">
        <w:rPr>
          <w:rFonts w:ascii="Times New Roman" w:hAnsi="Times New Roman" w:cs="Times New Roman"/>
          <w:b/>
          <w:sz w:val="24"/>
          <w:szCs w:val="24"/>
          <w:lang w:val="es-PE" w:eastAsia="ar-SA"/>
        </w:rPr>
        <w:t>N°</w:t>
      </w:r>
      <w:proofErr w:type="spellEnd"/>
      <w:r w:rsidR="00707C99" w:rsidRPr="00FA1290">
        <w:rPr>
          <w:rFonts w:ascii="Times New Roman" w:hAnsi="Times New Roman" w:cs="Times New Roman"/>
          <w:b/>
          <w:sz w:val="24"/>
          <w:szCs w:val="24"/>
          <w:lang w:val="es-PE" w:eastAsia="ar-SA"/>
        </w:rPr>
        <w:t xml:space="preserve"> </w:t>
      </w:r>
      <w:r w:rsidR="00516293" w:rsidRPr="00FA1290">
        <w:rPr>
          <w:rFonts w:ascii="Times New Roman" w:hAnsi="Times New Roman" w:cs="Times New Roman"/>
          <w:b/>
          <w:sz w:val="24"/>
          <w:szCs w:val="24"/>
          <w:lang w:val="es-PE" w:eastAsia="ar-SA"/>
        </w:rPr>
        <w:t>0</w:t>
      </w:r>
      <w:r w:rsidR="005225EF" w:rsidRPr="00FA1290">
        <w:rPr>
          <w:rFonts w:ascii="Times New Roman" w:hAnsi="Times New Roman" w:cs="Times New Roman"/>
          <w:b/>
          <w:sz w:val="24"/>
          <w:szCs w:val="24"/>
          <w:lang w:val="es-PE" w:eastAsia="ar-SA"/>
        </w:rPr>
        <w:t>6</w:t>
      </w:r>
      <w:r w:rsidR="009D63E7" w:rsidRPr="00FA1290">
        <w:rPr>
          <w:rFonts w:ascii="Times New Roman" w:hAnsi="Times New Roman" w:cs="Times New Roman"/>
          <w:b/>
          <w:sz w:val="24"/>
          <w:szCs w:val="24"/>
          <w:lang w:val="es-PE" w:eastAsia="ar-SA"/>
        </w:rPr>
        <w:t>6</w:t>
      </w:r>
      <w:r w:rsidR="00C671F5" w:rsidRPr="00FA1290">
        <w:rPr>
          <w:rFonts w:ascii="Times New Roman" w:hAnsi="Times New Roman" w:cs="Times New Roman"/>
          <w:b/>
          <w:sz w:val="24"/>
          <w:szCs w:val="24"/>
          <w:lang w:val="es-PE" w:eastAsia="ar-SA"/>
        </w:rPr>
        <w:t>/2</w:t>
      </w:r>
      <w:r w:rsidR="00AB7BFE" w:rsidRPr="00FA1290">
        <w:rPr>
          <w:rFonts w:ascii="Times New Roman" w:hAnsi="Times New Roman" w:cs="Times New Roman"/>
          <w:b/>
          <w:sz w:val="24"/>
          <w:szCs w:val="24"/>
          <w:lang w:val="es-PE" w:eastAsia="ar-SA"/>
        </w:rPr>
        <w:t>3</w:t>
      </w:r>
    </w:p>
    <w:p w14:paraId="74F6CE19" w14:textId="77777777" w:rsidR="00F7567C" w:rsidRPr="00FA1290" w:rsidRDefault="00F7567C" w:rsidP="00BE695C">
      <w:pPr>
        <w:pStyle w:val="Default"/>
        <w:spacing w:line="240" w:lineRule="auto"/>
        <w:jc w:val="both"/>
        <w:rPr>
          <w:rFonts w:ascii="Times New Roman" w:hAnsi="Times New Roman" w:cs="Times New Roman"/>
          <w:b/>
        </w:rPr>
      </w:pPr>
    </w:p>
    <w:p w14:paraId="443BD0D6" w14:textId="77777777" w:rsidR="00FA1290" w:rsidRPr="00FA1290" w:rsidRDefault="00FA1290" w:rsidP="00FA1290">
      <w:pPr>
        <w:suppressAutoHyphens/>
        <w:spacing w:line="240" w:lineRule="auto"/>
        <w:jc w:val="both"/>
        <w:outlineLvl w:val="0"/>
        <w:rPr>
          <w:rFonts w:ascii="Times New Roman" w:eastAsia="Times New Roman" w:hAnsi="Times New Roman" w:cs="Times New Roman"/>
          <w:b/>
          <w:bCs/>
          <w:sz w:val="24"/>
          <w:szCs w:val="24"/>
          <w:lang w:val="es-MX" w:eastAsia="ar-SA"/>
        </w:rPr>
      </w:pPr>
      <w:r w:rsidRPr="00FA1290">
        <w:rPr>
          <w:rFonts w:ascii="Times New Roman" w:eastAsia="Times New Roman" w:hAnsi="Times New Roman" w:cs="Times New Roman"/>
          <w:b/>
          <w:bCs/>
          <w:sz w:val="24"/>
          <w:szCs w:val="24"/>
          <w:lang w:val="es-MX" w:eastAsia="ar-SA"/>
        </w:rPr>
        <w:t>Vistos:</w:t>
      </w:r>
    </w:p>
    <w:p w14:paraId="1052DB03" w14:textId="3C5D4F35" w:rsidR="00FA1290" w:rsidRPr="00FA1290" w:rsidRDefault="00FA1290" w:rsidP="00FA1290">
      <w:pPr>
        <w:suppressAutoHyphens/>
        <w:spacing w:line="240" w:lineRule="auto"/>
        <w:jc w:val="both"/>
        <w:rPr>
          <w:rFonts w:ascii="Times New Roman" w:eastAsia="Times New Roman" w:hAnsi="Times New Roman" w:cs="Times New Roman"/>
          <w:b/>
          <w:bCs/>
          <w:sz w:val="24"/>
          <w:szCs w:val="24"/>
          <w:lang w:val="es-MX" w:eastAsia="ar-SA"/>
        </w:rPr>
      </w:pPr>
      <w:r>
        <w:rPr>
          <w:rFonts w:ascii="Times New Roman" w:hAnsi="Times New Roman"/>
          <w:sz w:val="24"/>
        </w:rPr>
        <w:t xml:space="preserve">El Recurso de Impugnación presentado con fecha 15 de noviembre de 2023 por ………………… respecto de la Resolución Nº 207/23 de fecha 08 de noviembre de 2023, que declaró INFUNDADA la reclamación interpuesta contra ………………… ………………… Y REASEGUROS respecto del Seguro de Desgravamen N° ………………….</w:t>
      </w:r>
    </w:p>
    <w:bookmarkEnd w:id="0"/>
    <w:p w14:paraId="451F03C7" w14:textId="77777777" w:rsidR="00FA1290" w:rsidRPr="00FA1290" w:rsidRDefault="00FA1290" w:rsidP="00FA1290">
      <w:pPr>
        <w:pStyle w:val="Default"/>
        <w:spacing w:line="240" w:lineRule="auto"/>
        <w:jc w:val="both"/>
        <w:rPr>
          <w:rFonts w:ascii="Times New Roman" w:hAnsi="Times New Roman" w:cs="Times New Roman"/>
          <w:bCs/>
          <w:lang w:val="es-MX" w:eastAsia="ar-SA"/>
        </w:rPr>
      </w:pPr>
      <w:r>
        <w:rPr>
          <w:rFonts w:ascii="Times New Roman" w:hAnsi="Times New Roman"/>
          <w:sz w:val="24"/>
        </w:rPr>
        <w:t xml:space="preserve">Que, a través del señalado recurso el reclamante manifiesta su disconformidad con lo resuelto señalando resumidamente lo siguiente: a) no se ha visto el fondo de la condición del asegurado, no se está tomando en cuenta que el MINSA y ESSALUD cuando emiten el certificado de discapacidad tienen otra tipificación, terminología médica y calificación, y no se refieren a la invalidez total, permanente y definitiva; b) los términos invalidez y discapacidad son totalmente diferentes, y no se está homologando con buen criterio los conceptos y calificaciones que se emiten; c) cuando una persona es calificada con discapacidad severa recibe su pensión de jubilación, lo que se acredita con la Resolución que adjunta; d) añade que se ha pasado ligeramente el cronograma del trámite como si los plazos fijados por la SBS no tuvieran importancia; e) siendo que ………………… no ha aclarado por qué hay 3 cartas notariales de rechazo, se cuestiona de quién es la responsabilidad de la falta de claridad de comunicación respecto a dicho tema, si de la aseguradora o del banco, considerando que quien contrató la póliza fue el Banco.</w:t>
      </w:r>
    </w:p>
    <w:p w14:paraId="51E0C4A1" w14:textId="77777777" w:rsidR="00FA1290" w:rsidRPr="00FA1290" w:rsidRDefault="00FA1290" w:rsidP="00FA1290">
      <w:pPr>
        <w:pStyle w:val="Default"/>
        <w:spacing w:line="240" w:lineRule="auto"/>
        <w:jc w:val="both"/>
        <w:rPr>
          <w:rFonts w:ascii="Times New Roman" w:hAnsi="Times New Roman" w:cs="Times New Roman"/>
          <w:bCs/>
          <w:lang w:val="es-MX" w:eastAsia="ar-SA"/>
        </w:rPr>
      </w:pPr>
    </w:p>
    <w:p w14:paraId="36E43E70" w14:textId="77777777" w:rsidR="00FA1290" w:rsidRPr="00FA1290" w:rsidRDefault="00FA1290" w:rsidP="00FA1290">
      <w:pPr>
        <w:pStyle w:val="Default"/>
        <w:spacing w:line="240" w:lineRule="auto"/>
        <w:jc w:val="both"/>
        <w:rPr>
          <w:rFonts w:ascii="Times New Roman" w:hAnsi="Times New Roman" w:cs="Times New Roman"/>
          <w:bCs/>
          <w:lang w:val="es-MX" w:eastAsia="ar-SA"/>
        </w:rPr>
      </w:pPr>
      <w:r>
        <w:rPr>
          <w:rFonts w:ascii="Times New Roman" w:hAnsi="Times New Roman"/>
          <w:sz w:val="24"/>
        </w:rPr>
        <w:t xml:space="preserve">Que, habiéndose corrido traslado de la impugnación a la aseguradora, esta absolvió el recurso con fecha 20 de noviembre de 2023, señalando resumidamente lo siguiente: a) la DEFSEG actúa dentro de un marco que privilegia la legalidad y el contenido contractual frente a cualquier apreciación subjetiva que no resulta concordante con los pactos contractuales o la ley; b) en lo que respecta a la terminología que indica el reclamante, incluso tomando como referencia dicha terminología, el asegurado únicamente ha alcanzado una porcentaje de 52.72% de discapacidad, es decir, no habría alcanzado los 2/3 (66.66%) requerido en la póliza, de donde queda claro que al no haber alcanzado dicho porcentaje no procede la obtención de cobertura, por lo que solicitan se confirme la Resolución Impugnada.  </w:t>
      </w:r>
    </w:p>
    <w:p w14:paraId="6D3C2261" w14:textId="77777777" w:rsidR="00FA1290" w:rsidRPr="00FA1290" w:rsidRDefault="00FA1290" w:rsidP="00FA1290">
      <w:pPr>
        <w:pStyle w:val="Default"/>
        <w:spacing w:line="240" w:lineRule="auto"/>
        <w:jc w:val="both"/>
        <w:rPr>
          <w:rFonts w:ascii="Times New Roman" w:hAnsi="Times New Roman" w:cs="Times New Roman"/>
          <w:bCs/>
          <w:lang w:val="es-MX" w:eastAsia="ar-SA"/>
        </w:rPr>
      </w:pPr>
    </w:p>
    <w:p w14:paraId="36FFDF52" w14:textId="77777777" w:rsidR="00FA1290" w:rsidRPr="00FA1290" w:rsidRDefault="00FA1290" w:rsidP="00FA1290">
      <w:pPr>
        <w:pStyle w:val="Default"/>
        <w:spacing w:line="240" w:lineRule="auto"/>
        <w:jc w:val="both"/>
        <w:rPr>
          <w:rFonts w:ascii="Times New Roman" w:hAnsi="Times New Roman" w:cs="Times New Roman"/>
          <w:bCs/>
          <w:lang w:val="es-MX" w:eastAsia="ar-SA"/>
        </w:rPr>
      </w:pPr>
      <w:r w:rsidRPr="00FA1290">
        <w:rPr>
          <w:rFonts w:ascii="Times New Roman" w:hAnsi="Times New Roman" w:cs="Times New Roman"/>
          <w:bCs/>
          <w:sz w:val="24"/>
          <w:lang w:val="es-MX" w:eastAsia="ar-SA"/>
        </w:rPr>
        <w:t>Que, el expediente se encuentra en condiciones para que este colegiado expida su pronunciamiento.</w:t>
      </w:r>
    </w:p>
    <w:p w14:paraId="11271ED7" w14:textId="77777777" w:rsidR="00FA1290" w:rsidRPr="00FA1290" w:rsidRDefault="00FA1290" w:rsidP="00FA1290">
      <w:pPr>
        <w:suppressAutoHyphens/>
        <w:spacing w:line="240" w:lineRule="auto"/>
        <w:jc w:val="both"/>
        <w:rPr>
          <w:rFonts w:ascii="Times New Roman" w:eastAsia="Times New Roman" w:hAnsi="Times New Roman" w:cs="Times New Roman"/>
          <w:bCs/>
          <w:sz w:val="24"/>
          <w:szCs w:val="24"/>
          <w:lang w:val="es-MX" w:eastAsia="ar-SA"/>
        </w:rPr>
      </w:pPr>
    </w:p>
    <w:p w14:paraId="24D6CD9D" w14:textId="77777777" w:rsidR="00FA1290" w:rsidRPr="00FA1290" w:rsidRDefault="00FA1290" w:rsidP="00FA1290">
      <w:pPr>
        <w:suppressAutoHyphens/>
        <w:spacing w:line="240" w:lineRule="auto"/>
        <w:jc w:val="both"/>
        <w:rPr>
          <w:rFonts w:ascii="Times New Roman" w:eastAsia="Times New Roman" w:hAnsi="Times New Roman" w:cs="Times New Roman"/>
          <w:bCs/>
          <w:sz w:val="24"/>
          <w:szCs w:val="24"/>
          <w:lang w:val="es-MX" w:eastAsia="ar-SA"/>
        </w:rPr>
      </w:pPr>
      <w:r w:rsidRPr="00FA1290">
        <w:rPr>
          <w:rFonts w:ascii="Times New Roman" w:eastAsia="Times New Roman" w:hAnsi="Times New Roman" w:cs="Times New Roman"/>
          <w:b/>
          <w:bCs/>
          <w:sz w:val="24"/>
          <w:szCs w:val="24"/>
          <w:lang w:val="es-MX" w:eastAsia="ar-SA"/>
        </w:rPr>
        <w:t>Considerando:</w:t>
      </w:r>
    </w:p>
    <w:p w14:paraId="4DD12FA8" w14:textId="77777777" w:rsidR="00FA1290" w:rsidRPr="00FA1290" w:rsidRDefault="00FA1290" w:rsidP="00FA1290">
      <w:pPr>
        <w:spacing w:line="240" w:lineRule="auto"/>
        <w:jc w:val="both"/>
        <w:rPr>
          <w:rFonts w:ascii="Times New Roman" w:hAnsi="Times New Roman" w:cs="Times New Roman"/>
          <w:bCs/>
          <w:sz w:val="24"/>
          <w:szCs w:val="24"/>
          <w:lang w:val="es-PE"/>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el reclamante ha ejercido formalmente su derecho a contradecir lo resuelto por la Defensoría.</w:t>
      </w:r>
    </w:p>
    <w:p w14:paraId="6D1E20C3" w14:textId="77777777" w:rsidR="00FA1290" w:rsidRPr="00FA1290" w:rsidRDefault="00FA1290" w:rsidP="00FA1290">
      <w:pPr>
        <w:spacing w:line="240" w:lineRule="auto"/>
        <w:jc w:val="both"/>
        <w:rPr>
          <w:rFonts w:ascii="Times New Roman" w:hAnsi="Times New Roman" w:cs="Times New Roman"/>
          <w:sz w:val="24"/>
          <w:szCs w:val="24"/>
          <w:lang w:val="es-PE"/>
        </w:rPr>
      </w:pPr>
    </w:p>
    <w:p w14:paraId="37DBC5C9" w14:textId="77777777" w:rsidR="00FA1290" w:rsidRPr="00FA1290" w:rsidRDefault="00FA1290" w:rsidP="00FA1290">
      <w:pPr>
        <w:tabs>
          <w:tab w:val="left" w:pos="0"/>
          <w:tab w:val="left" w:pos="2160"/>
        </w:tabs>
        <w:spacing w:line="240" w:lineRule="auto"/>
        <w:jc w:val="both"/>
        <w:rPr>
          <w:rFonts w:ascii="Times New Roman" w:hAnsi="Times New Roman" w:cs="Times New Roman"/>
          <w:sz w:val="24"/>
          <w:szCs w:val="24"/>
          <w:lang w:val="es-ES"/>
        </w:rPr>
      </w:pPr>
      <w:r w:rsidRPr="00FA1290">
        <w:rPr>
          <w:rFonts w:ascii="Times New Roman" w:hAnsi="Times New Roman" w:cs="Times New Roman"/>
          <w:b/>
          <w:sz w:val="24"/>
          <w:szCs w:val="24"/>
          <w:u w:val="single"/>
          <w:lang w:val="es-PE"/>
        </w:rPr>
        <w:lastRenderedPageBreak/>
        <w:t>Segundo</w:t>
      </w:r>
      <w:r w:rsidRPr="00FA1290">
        <w:rPr>
          <w:rFonts w:ascii="Times New Roman" w:hAnsi="Times New Roman" w:cs="Times New Roman"/>
          <w:b/>
          <w:sz w:val="24"/>
          <w:szCs w:val="24"/>
          <w:lang w:val="es-PE"/>
        </w:rPr>
        <w:t>:</w:t>
      </w:r>
      <w:r w:rsidRPr="00FA1290">
        <w:rPr>
          <w:rFonts w:ascii="Times New Roman" w:hAnsi="Times New Roman" w:cs="Times New Roman"/>
          <w:sz w:val="24"/>
          <w:szCs w:val="24"/>
          <w:lang w:val="es-PE"/>
        </w:rPr>
        <w:t xml:space="preserve"> Atendiendo a los fundamentos de la impugnación interpuesta, se advierte que el reclamante insiste en sus argumentos ya analizados, </w:t>
      </w:r>
      <w:r w:rsidRPr="00FA1290">
        <w:rPr>
          <w:rFonts w:ascii="Times New Roman" w:hAnsi="Times New Roman" w:cs="Times New Roman"/>
          <w:bCs/>
          <w:sz w:val="24"/>
          <w:szCs w:val="24"/>
          <w:lang w:val="es-PE"/>
        </w:rPr>
        <w:t xml:space="preserve">de manera que el </w:t>
      </w:r>
      <w:r w:rsidRPr="00FA1290">
        <w:rPr>
          <w:rFonts w:ascii="Times New Roman" w:hAnsi="Times New Roman" w:cs="Times New Roman"/>
          <w:sz w:val="24"/>
          <w:szCs w:val="24"/>
          <w:lang w:val="es-ES"/>
        </w:rPr>
        <w:t xml:space="preserve">recurso impugnativo interpuesto por el reclamante puede ser categorizado, por su contenido mismo, como una solicitud de revisión general, sustentada en el criterio del reclamante, que esta Defensoría respeta, pero no comparte. </w:t>
      </w:r>
    </w:p>
    <w:p w14:paraId="72398759" w14:textId="77777777" w:rsidR="00FA1290" w:rsidRPr="00FA1290" w:rsidRDefault="00FA1290" w:rsidP="00FA1290">
      <w:pPr>
        <w:tabs>
          <w:tab w:val="left" w:pos="0"/>
          <w:tab w:val="left" w:pos="2160"/>
        </w:tabs>
        <w:spacing w:line="240" w:lineRule="auto"/>
        <w:jc w:val="both"/>
        <w:rPr>
          <w:rFonts w:ascii="Times New Roman" w:hAnsi="Times New Roman" w:cs="Times New Roman"/>
          <w:sz w:val="24"/>
          <w:szCs w:val="24"/>
          <w:lang w:val="es-ES"/>
        </w:rPr>
      </w:pPr>
      <w:r w:rsidRPr="00FA1290">
        <w:rPr>
          <w:rFonts w:ascii="Times New Roman" w:hAnsi="Times New Roman" w:cs="Times New Roman"/>
          <w:sz w:val="24"/>
          <w:szCs w:val="24"/>
          <w:lang w:val="es-ES"/>
        </w:rPr>
        <w:t>Que el otorgamiento de una pensión de jubilación al reclamante por las razones que indica, no determina que corresponda el otorgamiento de la cobertura de invalidez reclamada, toda vez que para que esta se configure debe acreditarse que se ha alcanzado el porcentaje de menoscabo previsto en la póliza, lo que no ha ocurrido en este caso, no corresponde realizar una homologación de criterios, pues la póliza es clara al establecer que debe existir un dictamen que establezca un porcentaje superior a los 2/3 de la capacidad de trabajo.</w:t>
      </w:r>
    </w:p>
    <w:p w14:paraId="365D5BD8" w14:textId="7020D665" w:rsidR="00FA1290" w:rsidRPr="00FA1290" w:rsidRDefault="00FA1290" w:rsidP="00FA1290">
      <w:pPr>
        <w:tabs>
          <w:tab w:val="left" w:pos="0"/>
          <w:tab w:val="left" w:pos="2160"/>
        </w:tabs>
        <w:spacing w:line="240" w:lineRule="auto"/>
        <w:jc w:val="both"/>
        <w:rPr>
          <w:rFonts w:ascii="Times New Roman" w:hAnsi="Times New Roman" w:cs="Times New Roman"/>
          <w:sz w:val="24"/>
          <w:szCs w:val="24"/>
          <w:lang w:val="es-ES"/>
        </w:rPr>
      </w:pPr>
      <w:r>
        <w:rPr>
          <w:rFonts w:ascii="Times New Roman" w:hAnsi="Times New Roman"/>
          <w:sz w:val="24"/>
        </w:rPr>
        <w:t xml:space="preserve">Sobre el particular, este colegiado tiene a bien, reiterar los siguientes párrafos de la Resolución Impugnada:</w:t>
      </w:r>
    </w:p>
    <w:p w14:paraId="36993254" w14:textId="5860986F" w:rsidR="00FA1290" w:rsidRPr="00FA1290" w:rsidRDefault="00FA1290" w:rsidP="00FA1290">
      <w:pPr>
        <w:tabs>
          <w:tab w:val="left" w:pos="0"/>
          <w:tab w:val="left" w:pos="2160"/>
        </w:tabs>
        <w:spacing w:line="240" w:lineRule="auto"/>
        <w:ind w:left="708"/>
        <w:jc w:val="both"/>
        <w:rPr>
          <w:rFonts w:ascii="Times New Roman" w:hAnsi="Times New Roman" w:cs="Times New Roman"/>
          <w:sz w:val="24"/>
          <w:szCs w:val="24"/>
          <w:lang w:val="es-ES"/>
        </w:rPr>
      </w:pPr>
      <w:r>
        <w:rPr>
          <w:rFonts w:ascii="Times New Roman" w:hAnsi="Times New Roman"/>
          <w:sz w:val="24"/>
        </w:rPr>
        <w:t xml:space="preserve">…………………</w:t>
      </w:r>
    </w:p>
    <w:p w14:paraId="7FC00B83" w14:textId="77777777" w:rsidR="00FA1290" w:rsidRPr="00FA1290" w:rsidRDefault="00FA1290" w:rsidP="00FA1290">
      <w:pPr>
        <w:tabs>
          <w:tab w:val="left" w:pos="0"/>
          <w:tab w:val="left" w:pos="2160"/>
        </w:tabs>
        <w:spacing w:line="240" w:lineRule="auto"/>
        <w:jc w:val="both"/>
        <w:rPr>
          <w:rFonts w:ascii="Times New Roman" w:hAnsi="Times New Roman" w:cs="Times New Roman"/>
          <w:sz w:val="24"/>
          <w:szCs w:val="24"/>
          <w:lang w:val="es-ES"/>
        </w:rPr>
      </w:pPr>
      <w:r>
        <w:rPr>
          <w:rFonts w:ascii="Times New Roman" w:hAnsi="Times New Roman"/>
          <w:sz w:val="24"/>
        </w:rPr>
        <w:t xml:space="preserve">En lo que respecta a que no se habría analizado el cronograma del trámite. Dicho análisis resulta pertinente cuando estando ante un evento cubierto por el seguro, este es rechazado debido a una exclusión de cobertura, o al incumplimiento de una carga que genera la pérdida del derecho indemnizatorio. Sin embargo, en este caso, la Resolución Impugnada no se ha pronunciado sobre una exclusión de cobertura, sino que ha determinado que no se ha configurado el riesgo cubierto.</w:t>
      </w:r>
    </w:p>
    <w:p w14:paraId="189CBFE1" w14:textId="77777777" w:rsidR="00FA1290" w:rsidRPr="00FA1290" w:rsidRDefault="00FA1290" w:rsidP="00FA1290">
      <w:pPr>
        <w:tabs>
          <w:tab w:val="left" w:pos="0"/>
          <w:tab w:val="left" w:pos="2160"/>
        </w:tabs>
        <w:spacing w:line="240" w:lineRule="auto"/>
        <w:jc w:val="both"/>
        <w:rPr>
          <w:rFonts w:ascii="Times New Roman" w:hAnsi="Times New Roman" w:cs="Times New Roman"/>
          <w:bCs/>
          <w:sz w:val="24"/>
          <w:szCs w:val="24"/>
          <w:lang w:val="es-MX"/>
        </w:rPr>
      </w:pPr>
      <w:r w:rsidRPr="00FA1290">
        <w:rPr>
          <w:rFonts w:ascii="Times New Roman" w:hAnsi="Times New Roman" w:cs="Times New Roman"/>
          <w:sz w:val="24"/>
          <w:szCs w:val="24"/>
          <w:lang w:val="es-ES"/>
        </w:rPr>
        <w:t xml:space="preserve">En otras palabras, cuando una aseguradora no se pronuncia sobre una solicitud de cobertura dentro del plazo de ley, podría operar la figura del siniestro consentido, pero ello ocurre cuando estamos ante un riesgo configurado y acreditado. </w:t>
      </w:r>
      <w:r w:rsidRPr="00FA1290">
        <w:rPr>
          <w:rFonts w:ascii="Times New Roman" w:hAnsi="Times New Roman" w:cs="Times New Roman"/>
          <w:bCs/>
          <w:sz w:val="24"/>
          <w:szCs w:val="24"/>
          <w:lang w:val="es-MX"/>
        </w:rPr>
        <w:t>Ocurrido y acreditado dicho siniestro, si la aseguradora invoca una exclusión de cobertura, o el incumplimiento de una carga que genera la pérdida del derecho indemnizatorio, ello debe ser comunicado dentro del plazo de ley.  Dicho análisis no es aplicable al presente caso, porque no estamos ante un riesgo configurado, en tanto la invalidez que presenta el asegurado no corresponde a la cubierta por la póliza.</w:t>
      </w:r>
    </w:p>
    <w:p w14:paraId="5079CF56" w14:textId="77777777" w:rsidR="00FA1290" w:rsidRPr="00FA1290" w:rsidRDefault="00FA1290" w:rsidP="00FA1290">
      <w:pPr>
        <w:tabs>
          <w:tab w:val="left" w:pos="0"/>
          <w:tab w:val="left" w:pos="2160"/>
        </w:tabs>
        <w:spacing w:line="240" w:lineRule="auto"/>
        <w:jc w:val="both"/>
        <w:rPr>
          <w:rFonts w:ascii="Times New Roman" w:hAnsi="Times New Roman" w:cs="Times New Roman"/>
          <w:bCs/>
          <w:sz w:val="24"/>
          <w:szCs w:val="24"/>
          <w:lang w:val="es-MX"/>
        </w:rPr>
      </w:pPr>
    </w:p>
    <w:p w14:paraId="6C1403B6" w14:textId="77777777" w:rsidR="00FA1290" w:rsidRPr="00FA1290" w:rsidRDefault="00FA1290" w:rsidP="00FA1290">
      <w:pPr>
        <w:tabs>
          <w:tab w:val="left" w:pos="0"/>
          <w:tab w:val="left" w:pos="2160"/>
        </w:tabs>
        <w:spacing w:line="240" w:lineRule="auto"/>
        <w:jc w:val="both"/>
        <w:rPr>
          <w:rFonts w:ascii="Times New Roman" w:hAnsi="Times New Roman" w:cs="Times New Roman"/>
          <w:bCs/>
          <w:sz w:val="24"/>
          <w:szCs w:val="24"/>
          <w:lang w:val="es-MX"/>
        </w:rPr>
      </w:pPr>
      <w:r w:rsidRPr="00FA1290">
        <w:rPr>
          <w:rFonts w:ascii="Times New Roman" w:hAnsi="Times New Roman" w:cs="Times New Roman"/>
          <w:sz w:val="24"/>
          <w:szCs w:val="24"/>
          <w:lang w:val="es-MX"/>
        </w:rPr>
        <w:lastRenderedPageBreak/>
        <w:t xml:space="preserve">En efecto, </w:t>
      </w:r>
      <w:r w:rsidRPr="00FA1290">
        <w:rPr>
          <w:rFonts w:ascii="Times New Roman" w:hAnsi="Times New Roman" w:cs="Times New Roman"/>
          <w:sz w:val="24"/>
          <w:szCs w:val="24"/>
          <w:lang w:val="es-ES"/>
        </w:rPr>
        <w:t xml:space="preserve">la </w:t>
      </w:r>
      <w:r w:rsidRPr="00FA1290">
        <w:rPr>
          <w:rFonts w:ascii="Times New Roman" w:hAnsi="Times New Roman" w:cs="Times New Roman"/>
          <w:bCs/>
          <w:sz w:val="24"/>
          <w:szCs w:val="24"/>
          <w:lang w:val="es-MX"/>
        </w:rPr>
        <w:t xml:space="preserve">figura del siniestro consentido presupone la existencia de un contrato de seguro válido y vigente respecto del asegurado y de la ocurrencia de un siniestro amparado bajo los términos de la póliza. En consecuencia, no corresponde declarar consentido un siniestro cuando el contrato es nulo, se reclama una cobertura inexistente, el reclamante no se encontraba asegurado bajo la póliza o -como ocurren en el caso que nos ocupa-, cuando el riesgo asegurado no se ha acreditado; pues no se puede aplicar la consecuencia de la norma (el pago de un siniestro) cuando no se ha acreditado la configuración del riesgo cubierto. La no aplicación de la figura del siniestro consentido en dichos supuestos es un aspecto reconocido por esta Defensoría en reiterados precedentes. </w:t>
      </w:r>
    </w:p>
    <w:p w14:paraId="4E76EDB7" w14:textId="77777777" w:rsidR="00FA1290" w:rsidRPr="00FA1290" w:rsidRDefault="00FA1290" w:rsidP="00FA1290">
      <w:pPr>
        <w:tabs>
          <w:tab w:val="left" w:pos="0"/>
          <w:tab w:val="left" w:pos="2160"/>
        </w:tabs>
        <w:spacing w:line="240" w:lineRule="auto"/>
        <w:jc w:val="both"/>
        <w:rPr>
          <w:rFonts w:ascii="Times New Roman" w:hAnsi="Times New Roman" w:cs="Times New Roman"/>
          <w:bCs/>
          <w:sz w:val="24"/>
          <w:szCs w:val="24"/>
          <w:lang w:val="es-MX"/>
        </w:rPr>
      </w:pPr>
      <w:r>
        <w:rPr>
          <w:rFonts w:ascii="Times New Roman" w:hAnsi="Times New Roman"/>
          <w:sz w:val="24"/>
        </w:rPr>
        <w:t xml:space="preserve">Finalmente, este colegiado tiene a bien señalar que, la disconformidad y cuestionamientos del reclamante respecto de la existencia de tres cartas notariales y una observación, corresponden a aspectos de idoneidad de servicios, respecto del cual esta Defensoría carece de competencia, conforme fue expuesto en el segundo considerando de la Resolución Impugnada.  </w:t>
      </w:r>
    </w:p>
    <w:p w14:paraId="2FF02D85" w14:textId="77777777" w:rsidR="00FA1290" w:rsidRPr="00FA1290" w:rsidRDefault="00FA1290" w:rsidP="00FA1290">
      <w:pPr>
        <w:tabs>
          <w:tab w:val="left" w:pos="2160"/>
        </w:tabs>
        <w:spacing w:line="240" w:lineRule="auto"/>
        <w:jc w:val="both"/>
        <w:rPr>
          <w:rFonts w:ascii="Times New Roman" w:hAnsi="Times New Roman" w:cs="Times New Roman"/>
          <w:sz w:val="24"/>
          <w:szCs w:val="24"/>
          <w:lang w:val="es-ES"/>
        </w:rPr>
      </w:pPr>
      <w:r w:rsidRPr="00FA1290">
        <w:rPr>
          <w:rFonts w:ascii="Times New Roman" w:hAnsi="Times New Roman" w:cs="Times New Roman"/>
          <w:sz w:val="24"/>
          <w:szCs w:val="24"/>
          <w:lang w:val="es-ES"/>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14:paraId="5AFC32C3" w14:textId="77777777" w:rsidR="00FA1290" w:rsidRPr="00FA1290" w:rsidRDefault="00FA1290" w:rsidP="00FA1290">
      <w:pPr>
        <w:spacing w:line="240" w:lineRule="auto"/>
        <w:jc w:val="both"/>
        <w:rPr>
          <w:rFonts w:ascii="Times New Roman" w:eastAsia="Arial Unicode MS" w:hAnsi="Times New Roman" w:cs="Times New Roman"/>
          <w:b/>
          <w:bCs/>
          <w:sz w:val="24"/>
          <w:szCs w:val="24"/>
          <w:lang w:val="es-PE"/>
        </w:rPr>
      </w:pPr>
      <w:r w:rsidRPr="00FA1290">
        <w:rPr>
          <w:rFonts w:ascii="Times New Roman" w:eastAsia="Arial Unicode MS" w:hAnsi="Times New Roman" w:cs="Times New Roman"/>
          <w:b/>
          <w:bCs/>
          <w:sz w:val="24"/>
          <w:szCs w:val="24"/>
          <w:lang w:val="es-ES"/>
        </w:rPr>
        <w:t xml:space="preserve">RESUELVE: </w:t>
      </w:r>
    </w:p>
    <w:p w14:paraId="35AB9AAB" w14:textId="37A19F2F" w:rsidR="00FA1290" w:rsidRDefault="00FA1290" w:rsidP="00FA1290">
      <w:pPr>
        <w:spacing w:line="240" w:lineRule="auto"/>
        <w:jc w:val="both"/>
        <w:rPr>
          <w:rFonts w:ascii="Times New Roman" w:eastAsia="Times New Roman" w:hAnsi="Times New Roman" w:cs="Times New Roman"/>
          <w:sz w:val="24"/>
          <w:szCs w:val="24"/>
          <w:lang w:val="es-ES" w:eastAsia="ar-SA"/>
        </w:rPr>
      </w:pPr>
      <w:r>
        <w:rPr>
          <w:rFonts w:ascii="Times New Roman" w:hAnsi="Times New Roman"/>
          <w:sz w:val="24"/>
        </w:rPr>
        <w:t xml:space="preserve">Declarar INFUNDADO el recurso impugnativo interpuesto y, por consiguiente, ratificar la Resolución Nº 207/23 de fecha 08 de noviembre de  2023 que declaró INFUNDADA la reclamación interpuesta por don …………………, dejando a salvo el derecho del reclamante de acudir ante las instancias que estime pertinente.</w:t>
      </w:r>
    </w:p>
    <w:p w14:paraId="06345190" w14:textId="77777777" w:rsidR="00FA1290" w:rsidRPr="00FA1290" w:rsidRDefault="00FA1290" w:rsidP="00FA1290">
      <w:pPr>
        <w:spacing w:line="240" w:lineRule="auto"/>
        <w:jc w:val="both"/>
        <w:rPr>
          <w:rFonts w:ascii="Times New Roman" w:eastAsia="Times New Roman" w:hAnsi="Times New Roman" w:cs="Times New Roman"/>
          <w:sz w:val="24"/>
          <w:szCs w:val="24"/>
          <w:lang w:val="es-ES" w:eastAsia="ar-SA"/>
        </w:rPr>
      </w:pPr>
    </w:p>
    <w:p w14:paraId="000A434B" w14:textId="3CA644B3" w:rsidR="008B6A09" w:rsidRPr="00FA1290" w:rsidRDefault="0091528B" w:rsidP="008B6A09">
      <w:pPr>
        <w:spacing w:line="240" w:lineRule="auto"/>
        <w:jc w:val="right"/>
        <w:rPr>
          <w:rFonts w:ascii="Times New Roman" w:hAnsi="Times New Roman" w:cs="Times New Roman"/>
          <w:sz w:val="24"/>
          <w:szCs w:val="24"/>
          <w:lang w:val="es-PE"/>
        </w:rPr>
      </w:pPr>
      <w:r w:rsidRPr="00FA1290">
        <w:rPr>
          <w:rFonts w:ascii="Times New Roman" w:eastAsia="Arial Unicode MS" w:hAnsi="Times New Roman" w:cs="Times New Roman"/>
          <w:sz w:val="24"/>
          <w:szCs w:val="24"/>
          <w:lang w:val="es-PE" w:eastAsia="ar-SA"/>
        </w:rPr>
        <w:t xml:space="preserve">Lima, </w:t>
      </w:r>
      <w:r w:rsidR="00A96279" w:rsidRPr="00FA1290">
        <w:rPr>
          <w:rFonts w:ascii="Times New Roman" w:eastAsia="Arial Unicode MS" w:hAnsi="Times New Roman" w:cs="Times New Roman"/>
          <w:sz w:val="24"/>
          <w:szCs w:val="24"/>
          <w:lang w:val="es-PE" w:eastAsia="ar-SA"/>
        </w:rPr>
        <w:t>1</w:t>
      </w:r>
      <w:r w:rsidR="00095105" w:rsidRPr="00FA1290">
        <w:rPr>
          <w:rFonts w:ascii="Times New Roman" w:eastAsia="Arial Unicode MS" w:hAnsi="Times New Roman" w:cs="Times New Roman"/>
          <w:sz w:val="24"/>
          <w:szCs w:val="24"/>
          <w:lang w:val="es-PE" w:eastAsia="ar-SA"/>
        </w:rPr>
        <w:t>4</w:t>
      </w:r>
      <w:r w:rsidR="00570ED6" w:rsidRPr="00FA1290">
        <w:rPr>
          <w:rFonts w:ascii="Times New Roman" w:eastAsia="Arial Unicode MS" w:hAnsi="Times New Roman" w:cs="Times New Roman"/>
          <w:sz w:val="24"/>
          <w:szCs w:val="24"/>
          <w:lang w:val="es-PE" w:eastAsia="ar-SA"/>
        </w:rPr>
        <w:t xml:space="preserve"> </w:t>
      </w:r>
      <w:r w:rsidR="00707C99" w:rsidRPr="00FA1290">
        <w:rPr>
          <w:rFonts w:ascii="Times New Roman" w:eastAsia="Arial Unicode MS" w:hAnsi="Times New Roman" w:cs="Times New Roman"/>
          <w:sz w:val="24"/>
          <w:szCs w:val="24"/>
          <w:lang w:val="es-PE" w:eastAsia="ar-SA"/>
        </w:rPr>
        <w:t xml:space="preserve">de </w:t>
      </w:r>
      <w:r w:rsidR="00095105" w:rsidRPr="00FA1290">
        <w:rPr>
          <w:rFonts w:ascii="Times New Roman" w:eastAsia="Arial Unicode MS" w:hAnsi="Times New Roman" w:cs="Times New Roman"/>
          <w:sz w:val="24"/>
          <w:szCs w:val="24"/>
          <w:lang w:val="es-PE" w:eastAsia="ar-SA"/>
        </w:rPr>
        <w:t>diciembre</w:t>
      </w:r>
      <w:r w:rsidR="002F478E" w:rsidRPr="00FA1290">
        <w:rPr>
          <w:rFonts w:ascii="Times New Roman" w:eastAsia="Arial Unicode MS" w:hAnsi="Times New Roman" w:cs="Times New Roman"/>
          <w:sz w:val="24"/>
          <w:szCs w:val="24"/>
          <w:lang w:val="es-PE" w:eastAsia="ar-SA"/>
        </w:rPr>
        <w:t xml:space="preserve"> </w:t>
      </w:r>
      <w:r w:rsidR="00F06498" w:rsidRPr="00FA1290">
        <w:rPr>
          <w:rFonts w:ascii="Times New Roman" w:eastAsia="Arial Unicode MS" w:hAnsi="Times New Roman" w:cs="Times New Roman"/>
          <w:sz w:val="24"/>
          <w:szCs w:val="24"/>
          <w:lang w:val="es-PE" w:eastAsia="ar-SA"/>
        </w:rPr>
        <w:t>de 202</w:t>
      </w:r>
      <w:r w:rsidR="00B340D4" w:rsidRPr="00FA1290">
        <w:rPr>
          <w:rFonts w:ascii="Times New Roman" w:eastAsia="Arial Unicode MS" w:hAnsi="Times New Roman" w:cs="Times New Roman"/>
          <w:sz w:val="24"/>
          <w:szCs w:val="24"/>
          <w:lang w:val="es-PE" w:eastAsia="ar-SA"/>
        </w:rPr>
        <w:t>3</w:t>
      </w:r>
      <w:r w:rsidR="00707C99" w:rsidRPr="00FA1290">
        <w:rPr>
          <w:rFonts w:ascii="Times New Roman" w:eastAsia="Times New Roman" w:hAnsi="Times New Roman" w:cs="Times New Roman"/>
          <w:sz w:val="24"/>
          <w:szCs w:val="24"/>
          <w:lang w:val="es-PE" w:eastAsia="ar-SA"/>
        </w:rPr>
        <w:t xml:space="preserve"> </w:t>
      </w:r>
    </w:p>
    <w:p w14:paraId="7433A34B" w14:textId="77777777" w:rsidR="008B6A09" w:rsidRPr="00FA1290" w:rsidRDefault="008B6A09" w:rsidP="008B6A09">
      <w:pPr>
        <w:suppressAutoHyphens/>
        <w:spacing w:after="0" w:line="240" w:lineRule="auto"/>
        <w:jc w:val="right"/>
        <w:outlineLvl w:val="0"/>
        <w:rPr>
          <w:rFonts w:ascii="Times New Roman" w:eastAsia="Arial Unicode MS" w:hAnsi="Times New Roman" w:cs="Times New Roman"/>
          <w:sz w:val="24"/>
          <w:szCs w:val="24"/>
          <w:lang w:val="es-PE" w:eastAsia="ar-SA"/>
        </w:rPr>
      </w:pPr>
    </w:p>
    <w:p w14:paraId="1B6988F6" w14:textId="77777777" w:rsidR="00A323F4" w:rsidRPr="00FA1290" w:rsidRDefault="00A323F4" w:rsidP="00A323F4">
      <w:pPr>
        <w:spacing w:after="0" w:line="240" w:lineRule="auto"/>
        <w:jc w:val="both"/>
        <w:rPr>
          <w:rFonts w:ascii="Times New Roman" w:hAnsi="Times New Roman" w:cs="Times New Roman"/>
          <w:b/>
          <w:bCs/>
          <w:i/>
          <w:iCs/>
          <w:sz w:val="24"/>
          <w:szCs w:val="24"/>
          <w:lang w:val="es-PE"/>
        </w:rPr>
      </w:pPr>
      <w:r w:rsidRPr="00FA1290">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FA1290" w:rsidRDefault="00A323F4" w:rsidP="00A323F4">
      <w:pPr>
        <w:spacing w:after="0" w:line="360" w:lineRule="auto"/>
        <w:jc w:val="both"/>
        <w:rPr>
          <w:rFonts w:ascii="Times New Roman" w:hAnsi="Times New Roman" w:cs="Times New Roman"/>
          <w:b/>
          <w:bCs/>
          <w:i/>
          <w:iCs/>
          <w:sz w:val="24"/>
          <w:szCs w:val="24"/>
          <w:lang w:val="es-PE"/>
        </w:rPr>
      </w:pPr>
    </w:p>
    <w:p w14:paraId="220AA7AD" w14:textId="77777777" w:rsidR="007543CD" w:rsidRPr="00FA1290" w:rsidRDefault="007543CD" w:rsidP="007543CD">
      <w:pPr>
        <w:spacing w:after="0" w:line="360" w:lineRule="auto"/>
        <w:jc w:val="center"/>
        <w:rPr>
          <w:rFonts w:ascii="Times New Roman" w:hAnsi="Times New Roman" w:cs="Times New Roman"/>
          <w:b/>
          <w:bCs/>
          <w:sz w:val="24"/>
          <w:szCs w:val="24"/>
          <w:lang w:val="es-PE"/>
        </w:rPr>
      </w:pPr>
      <w:r w:rsidRPr="00FA1290">
        <w:rPr>
          <w:rFonts w:ascii="Times New Roman" w:hAnsi="Times New Roman" w:cs="Times New Roman"/>
          <w:b/>
          <w:bCs/>
          <w:sz w:val="24"/>
          <w:szCs w:val="24"/>
          <w:lang w:val="es-PE"/>
        </w:rPr>
        <w:t xml:space="preserve">Rolando Eyzaguirre </w:t>
      </w:r>
      <w:proofErr w:type="spellStart"/>
      <w:r w:rsidRPr="00FA1290">
        <w:rPr>
          <w:rFonts w:ascii="Times New Roman" w:hAnsi="Times New Roman" w:cs="Times New Roman"/>
          <w:b/>
          <w:bCs/>
          <w:sz w:val="24"/>
          <w:szCs w:val="24"/>
          <w:lang w:val="es-PE"/>
        </w:rPr>
        <w:t>Maccan</w:t>
      </w:r>
      <w:proofErr w:type="spellEnd"/>
      <w:r w:rsidRPr="00FA1290">
        <w:rPr>
          <w:rFonts w:ascii="Times New Roman" w:hAnsi="Times New Roman" w:cs="Times New Roman"/>
          <w:b/>
          <w:bCs/>
          <w:sz w:val="24"/>
          <w:szCs w:val="24"/>
          <w:lang w:val="es-PE"/>
        </w:rPr>
        <w:t xml:space="preserve"> – </w:t>
      </w:r>
      <w:proofErr w:type="gramStart"/>
      <w:r w:rsidRPr="00FA1290">
        <w:rPr>
          <w:rFonts w:ascii="Times New Roman" w:hAnsi="Times New Roman" w:cs="Times New Roman"/>
          <w:b/>
          <w:bCs/>
          <w:sz w:val="24"/>
          <w:szCs w:val="24"/>
          <w:lang w:val="es-PE"/>
        </w:rPr>
        <w:t>Presidente</w:t>
      </w:r>
      <w:proofErr w:type="gramEnd"/>
    </w:p>
    <w:p w14:paraId="0DCF6E18" w14:textId="77777777" w:rsidR="007543CD" w:rsidRPr="00FA1290" w:rsidRDefault="007543CD" w:rsidP="007543CD">
      <w:pPr>
        <w:spacing w:after="0" w:line="360" w:lineRule="auto"/>
        <w:jc w:val="center"/>
        <w:rPr>
          <w:rFonts w:ascii="Times New Roman" w:hAnsi="Times New Roman" w:cs="Times New Roman"/>
          <w:b/>
          <w:bCs/>
          <w:sz w:val="24"/>
          <w:szCs w:val="24"/>
          <w:lang w:val="es-PE"/>
        </w:rPr>
      </w:pPr>
      <w:r w:rsidRPr="00FA1290">
        <w:rPr>
          <w:rFonts w:ascii="Times New Roman" w:hAnsi="Times New Roman" w:cs="Times New Roman"/>
          <w:b/>
          <w:bCs/>
          <w:sz w:val="24"/>
          <w:szCs w:val="24"/>
          <w:lang w:val="es-PE"/>
        </w:rPr>
        <w:t>María Eugenia Valdez Fernández Baca – Vocal</w:t>
      </w:r>
    </w:p>
    <w:p w14:paraId="69BF44D1" w14:textId="77777777" w:rsidR="007543CD" w:rsidRPr="00FA1290" w:rsidRDefault="007543CD" w:rsidP="007543CD">
      <w:pPr>
        <w:spacing w:after="0" w:line="360" w:lineRule="auto"/>
        <w:jc w:val="center"/>
        <w:rPr>
          <w:rFonts w:ascii="Times New Roman" w:hAnsi="Times New Roman" w:cs="Times New Roman"/>
          <w:b/>
          <w:bCs/>
          <w:sz w:val="24"/>
          <w:szCs w:val="24"/>
          <w:lang w:val="es-PE"/>
        </w:rPr>
      </w:pPr>
      <w:r w:rsidRPr="00FA1290">
        <w:rPr>
          <w:rFonts w:ascii="Times New Roman" w:hAnsi="Times New Roman" w:cs="Times New Roman"/>
          <w:b/>
          <w:bCs/>
          <w:sz w:val="24"/>
          <w:szCs w:val="24"/>
          <w:lang w:val="es-PE"/>
        </w:rPr>
        <w:t>Omar Alfaro Villanueva – Vocal</w:t>
      </w:r>
    </w:p>
    <w:p w14:paraId="69BFE54F" w14:textId="77777777" w:rsidR="007543CD" w:rsidRPr="00FA1290" w:rsidRDefault="007543CD" w:rsidP="007543CD">
      <w:pPr>
        <w:spacing w:after="0" w:line="360" w:lineRule="auto"/>
        <w:jc w:val="center"/>
        <w:rPr>
          <w:rFonts w:ascii="Times New Roman" w:hAnsi="Times New Roman" w:cs="Times New Roman"/>
          <w:sz w:val="24"/>
          <w:szCs w:val="24"/>
          <w:lang w:val="es-PE"/>
        </w:rPr>
      </w:pPr>
      <w:r w:rsidRPr="00FA1290">
        <w:rPr>
          <w:rFonts w:ascii="Times New Roman" w:hAnsi="Times New Roman" w:cs="Times New Roman"/>
          <w:b/>
          <w:bCs/>
          <w:sz w:val="24"/>
          <w:szCs w:val="24"/>
          <w:lang w:val="es-PE"/>
        </w:rPr>
        <w:t>Gonzalo Abad del Busto – Vocal</w:t>
      </w:r>
    </w:p>
    <w:p w14:paraId="412CCBAA" w14:textId="77777777" w:rsidR="00986F0C" w:rsidRPr="00FA1290"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05755" w14:textId="77777777" w:rsidR="00D451C9" w:rsidRDefault="00D451C9" w:rsidP="00784355">
      <w:pPr>
        <w:spacing w:after="0" w:line="240" w:lineRule="auto"/>
      </w:pPr>
      <w:r>
        <w:separator/>
      </w:r>
    </w:p>
  </w:endnote>
  <w:endnote w:type="continuationSeparator" w:id="0">
    <w:p w14:paraId="3160BF7C" w14:textId="77777777" w:rsidR="00D451C9" w:rsidRDefault="00D451C9"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5E8B7" w14:textId="77777777" w:rsidR="00D451C9" w:rsidRDefault="00D451C9" w:rsidP="00784355">
      <w:pPr>
        <w:spacing w:after="0" w:line="240" w:lineRule="auto"/>
      </w:pPr>
      <w:r>
        <w:separator/>
      </w:r>
    </w:p>
  </w:footnote>
  <w:footnote w:type="continuationSeparator" w:id="0">
    <w:p w14:paraId="35DF8602" w14:textId="77777777" w:rsidR="00D451C9" w:rsidRDefault="00D451C9"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8"/>
  </w:num>
  <w:num w:numId="3" w16cid:durableId="333261791">
    <w:abstractNumId w:val="16"/>
  </w:num>
  <w:num w:numId="4" w16cid:durableId="1770345525">
    <w:abstractNumId w:val="15"/>
  </w:num>
  <w:num w:numId="5" w16cid:durableId="1816144979">
    <w:abstractNumId w:val="17"/>
  </w:num>
  <w:num w:numId="6" w16cid:durableId="1304313350">
    <w:abstractNumId w:val="0"/>
  </w:num>
  <w:num w:numId="7" w16cid:durableId="1668288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0"/>
  </w:num>
  <w:num w:numId="17" w16cid:durableId="1799882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31C06"/>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75DF"/>
    <w:rsid w:val="00A00055"/>
    <w:rsid w:val="00A00101"/>
    <w:rsid w:val="00A02270"/>
    <w:rsid w:val="00A046BC"/>
    <w:rsid w:val="00A077D2"/>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2F04"/>
    <w:rsid w:val="00EE3E0F"/>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E38F0"/>
    <w:rsid w:val="00FE43A9"/>
    <w:rsid w:val="00FE6588"/>
    <w:rsid w:val="00FE73F3"/>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95977CA-E591-41BF-9550-B65DAD80C769}"/>
</file>

<file path=customXml/itemProps3.xml><?xml version="1.0" encoding="utf-8"?>
<ds:datastoreItem xmlns:ds="http://schemas.openxmlformats.org/officeDocument/2006/customXml" ds:itemID="{4B015E31-D0CB-4FEB-86D1-5B15A0B9BB95}"/>
</file>

<file path=customXml/itemProps4.xml><?xml version="1.0" encoding="utf-8"?>
<ds:datastoreItem xmlns:ds="http://schemas.openxmlformats.org/officeDocument/2006/customXml" ds:itemID="{657D93D2-BF6B-4872-A390-C8A334B1DAF1}"/>
</file>

<file path=docProps/app.xml><?xml version="1.0" encoding="utf-8"?>
<Properties xmlns="http://schemas.openxmlformats.org/officeDocument/2006/extended-properties" xmlns:vt="http://schemas.openxmlformats.org/officeDocument/2006/docPropsVTypes">
  <Template>Normal</Template>
  <TotalTime>170</TotalTime>
  <Pages>3</Pages>
  <Words>1094</Words>
  <Characters>6023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226</cp:revision>
  <cp:lastPrinted>2023-12-14T14:54:00Z</cp:lastPrinted>
  <dcterms:created xsi:type="dcterms:W3CDTF">2023-02-14T22:37:00Z</dcterms:created>
  <dcterms:modified xsi:type="dcterms:W3CDTF">2023-12-14T14:54:00Z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