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endnotes.xml" ContentType="application/vnd.openxmlformats-officedocument.wordprocessingml.endnotes+xml"/>
  <Override PartName="/word/fontTable.xml" ContentType="application/vnd.openxmlformats-officedocument.wordprocessingml.fontTabl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oter1.xml" ContentType="application/vnd.openxmlformats-officedocument.wordprocessingml.footer+xml"/>
  <Override PartName="/word/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E0E96" w14:textId="4CFA26CD" w:rsidR="00707C99" w:rsidRPr="00300DDA" w:rsidRDefault="00201C0D" w:rsidP="00272F4F">
      <w:pPr>
        <w:spacing w:after="0" w:line="240" w:lineRule="auto"/>
        <w:jc w:val="center"/>
        <w:rPr>
          <w:rFonts w:ascii="Times New Roman" w:hAnsi="Times New Roman" w:cs="Times New Roman"/>
          <w:b/>
          <w:sz w:val="24"/>
          <w:szCs w:val="24"/>
          <w:lang w:val="es-PE" w:eastAsia="ar-SA"/>
        </w:rPr>
      </w:pPr>
      <w:r w:rsidRPr="00300DDA">
        <w:rPr>
          <w:rFonts w:ascii="Times New Roman" w:hAnsi="Times New Roman" w:cs="Times New Roman"/>
          <w:b/>
          <w:sz w:val="24"/>
          <w:szCs w:val="24"/>
          <w:lang w:val="es-PE" w:eastAsia="ar-SA"/>
        </w:rPr>
        <w:t xml:space="preserve">RESOLUCIÓN DE RECURSO IMPUGNATIVO </w:t>
      </w:r>
      <w:proofErr w:type="spellStart"/>
      <w:r w:rsidR="00707C99" w:rsidRPr="00300DDA">
        <w:rPr>
          <w:rFonts w:ascii="Times New Roman" w:hAnsi="Times New Roman" w:cs="Times New Roman"/>
          <w:b/>
          <w:sz w:val="24"/>
          <w:szCs w:val="24"/>
          <w:lang w:val="es-PE" w:eastAsia="ar-SA"/>
        </w:rPr>
        <w:t>N°</w:t>
      </w:r>
      <w:proofErr w:type="spellEnd"/>
      <w:r w:rsidR="00707C99" w:rsidRPr="00300DDA">
        <w:rPr>
          <w:rFonts w:ascii="Times New Roman" w:hAnsi="Times New Roman" w:cs="Times New Roman"/>
          <w:b/>
          <w:sz w:val="24"/>
          <w:szCs w:val="24"/>
          <w:lang w:val="es-PE" w:eastAsia="ar-SA"/>
        </w:rPr>
        <w:t xml:space="preserve"> </w:t>
      </w:r>
      <w:r w:rsidR="00516293" w:rsidRPr="00300DDA">
        <w:rPr>
          <w:rFonts w:ascii="Times New Roman" w:hAnsi="Times New Roman" w:cs="Times New Roman"/>
          <w:b/>
          <w:sz w:val="24"/>
          <w:szCs w:val="24"/>
          <w:lang w:val="es-PE" w:eastAsia="ar-SA"/>
        </w:rPr>
        <w:t>0</w:t>
      </w:r>
      <w:r w:rsidR="005225EF" w:rsidRPr="00300DDA">
        <w:rPr>
          <w:rFonts w:ascii="Times New Roman" w:hAnsi="Times New Roman" w:cs="Times New Roman"/>
          <w:b/>
          <w:sz w:val="24"/>
          <w:szCs w:val="24"/>
          <w:lang w:val="es-PE" w:eastAsia="ar-SA"/>
        </w:rPr>
        <w:t>6</w:t>
      </w:r>
      <w:r w:rsidR="004D05F2" w:rsidRPr="00300DDA">
        <w:rPr>
          <w:rFonts w:ascii="Times New Roman" w:hAnsi="Times New Roman" w:cs="Times New Roman"/>
          <w:b/>
          <w:sz w:val="24"/>
          <w:szCs w:val="24"/>
          <w:lang w:val="es-PE" w:eastAsia="ar-SA"/>
        </w:rPr>
        <w:t>7</w:t>
      </w:r>
      <w:r w:rsidR="00C671F5" w:rsidRPr="00300DDA">
        <w:rPr>
          <w:rFonts w:ascii="Times New Roman" w:hAnsi="Times New Roman" w:cs="Times New Roman"/>
          <w:b/>
          <w:sz w:val="24"/>
          <w:szCs w:val="24"/>
          <w:lang w:val="es-PE" w:eastAsia="ar-SA"/>
        </w:rPr>
        <w:t>/2</w:t>
      </w:r>
      <w:r w:rsidR="00AB7BFE" w:rsidRPr="00300DDA">
        <w:rPr>
          <w:rFonts w:ascii="Times New Roman" w:hAnsi="Times New Roman" w:cs="Times New Roman"/>
          <w:b/>
          <w:sz w:val="24"/>
          <w:szCs w:val="24"/>
          <w:lang w:val="es-PE" w:eastAsia="ar-SA"/>
        </w:rPr>
        <w:t>3</w:t>
      </w:r>
    </w:p>
    <w:p w14:paraId="74F6CE19" w14:textId="77777777" w:rsidR="00F7567C" w:rsidRPr="00300DDA" w:rsidRDefault="00F7567C" w:rsidP="00BE695C">
      <w:pPr>
        <w:pStyle w:val="Default"/>
        <w:spacing w:line="240" w:lineRule="auto"/>
        <w:jc w:val="both"/>
        <w:rPr>
          <w:rFonts w:ascii="Times New Roman" w:hAnsi="Times New Roman" w:cs="Times New Roman"/>
          <w:b/>
        </w:rPr>
      </w:pPr>
    </w:p>
    <w:p w14:paraId="7F53B0C5" w14:textId="77777777" w:rsidR="00300DDA" w:rsidRPr="00300DDA" w:rsidRDefault="00300DDA" w:rsidP="00300DDA">
      <w:pPr>
        <w:spacing w:line="240" w:lineRule="auto"/>
        <w:jc w:val="both"/>
        <w:outlineLvl w:val="0"/>
        <w:rPr>
          <w:rFonts w:ascii="Times New Roman" w:hAnsi="Times New Roman" w:cs="Times New Roman"/>
          <w:b/>
          <w:bCs/>
          <w:sz w:val="24"/>
          <w:szCs w:val="24"/>
          <w:lang w:val="es-MX"/>
        </w:rPr>
      </w:pPr>
      <w:r w:rsidRPr="00300DDA">
        <w:rPr>
          <w:rFonts w:ascii="Times New Roman" w:hAnsi="Times New Roman" w:cs="Times New Roman"/>
          <w:b/>
          <w:bCs/>
          <w:sz w:val="24"/>
          <w:szCs w:val="24"/>
          <w:lang w:val="es-MX"/>
        </w:rPr>
        <w:t>VISTOS:</w:t>
      </w:r>
    </w:p>
    <w:p w14:paraId="48B16F8D" w14:textId="77777777" w:rsidR="00300DDA" w:rsidRPr="00300DDA" w:rsidRDefault="00300DDA" w:rsidP="00300DDA">
      <w:pPr>
        <w:spacing w:line="240" w:lineRule="auto"/>
        <w:jc w:val="both"/>
        <w:outlineLvl w:val="0"/>
        <w:rPr>
          <w:rFonts w:ascii="Times New Roman" w:hAnsi="Times New Roman" w:cs="Times New Roman"/>
          <w:b/>
          <w:sz w:val="24"/>
          <w:szCs w:val="24"/>
          <w:lang w:val="es-PE"/>
        </w:rPr>
      </w:pPr>
      <w:r>
        <w:rPr>
          <w:rFonts w:ascii="Times New Roman" w:hAnsi="Times New Roman"/>
          <w:sz w:val="24"/>
        </w:rPr>
        <w:t xml:space="preserve">El Recurso de Impugnación presentado por ………………… respecto de la Resolución Nro. 096/23, expedida por el Órgano Resolutivo Unipersonal de esta Defensoría del Asegurado (DEFASEG), conforme a la cual se declaró FUNDADA la reclamación interpuesta por ………………… respecto al ………………… – INTERBANK;</w:t>
      </w:r>
    </w:p>
    <w:p w14:paraId="5A1142F9" w14:textId="77777777" w:rsidR="00300DDA" w:rsidRPr="00300DDA" w:rsidRDefault="00300DDA" w:rsidP="00300DDA">
      <w:pPr>
        <w:pStyle w:val="Textoindependiente"/>
        <w:spacing w:line="240" w:lineRule="auto"/>
      </w:pPr>
      <w:r>
        <w:rPr>
          <w:rFonts w:ascii="Times New Roman" w:hAnsi="Times New Roman"/>
          <w:sz w:val="24"/>
        </w:rPr>
        <w:t xml:space="preserve">Que, el indicado recurso se sustenta resumidamente en lo siguiente: a) la señora………………… contrató el seguro denominado “Seguro de Tarjetas 360°” tomando conocimiento en dicho momento, acerca de los términos y condiciones de la Póliza; b) con fecha 27 de enero de 2023, la señora………………… solicitó la aplicación de la cobertura de la Póliza contratada, en razón al evento ocurrido el 24 de enero del mismo año, adjuntando para ello, una serie de documentos; c) luego de revisar los documentos proporcionados por la señora…………………, se advirtió que el evento ocurrido no era un riesgo amparado bajo la Póliza contratada; d) no se produjo un robo, hurto o extravío de la tarjeta asegurada, sino una entrega voluntaria de la misma, que si bien se pudo efectuar por intermedio de engaños, lamentamos informar que este es un riesgo no cubierto por la Póliza contratada; e) con fecha 5 de febrero de 2023, ………………… SEGUROS denegó la solicitud de cobertura, al encontrarnos ante un evento cuyo riesgo, no se encuentra cubierto por la Póliza contratada; f) su Despacho resolvió declarar fundada el reclamo presentado en la medida que nuestra compañía no habría cumplido con acreditar los términos y condiciones de la Póliza contratada; g) adjuntanla Solicitud-Certificado emitida a nombre de la señora…………………, por intermedio de la cual se podrá apreciar los términos y condiciones de la Póliza contratada; dejando constancia de esta manera, las coberturas que la compañía ofrece. </w:t>
      </w:r>
    </w:p>
    <w:p w14:paraId="6343209F" w14:textId="77777777" w:rsidR="00300DDA" w:rsidRPr="00300DDA" w:rsidRDefault="00300DDA" w:rsidP="00300DDA">
      <w:pPr>
        <w:pStyle w:val="Textoindependiente"/>
        <w:spacing w:line="240" w:lineRule="auto"/>
      </w:pPr>
    </w:p>
    <w:p w14:paraId="21476F9F" w14:textId="77777777" w:rsidR="00300DDA" w:rsidRPr="00300DDA" w:rsidRDefault="00300DDA" w:rsidP="00300DDA">
      <w:pPr>
        <w:pStyle w:val="Textoindependiente"/>
        <w:spacing w:line="240" w:lineRule="auto"/>
      </w:pPr>
      <w:r>
        <w:rPr>
          <w:rFonts w:ascii="Times New Roman" w:hAnsi="Times New Roman"/>
          <w:sz w:val="24"/>
        </w:rPr>
        <w:t xml:space="preserve">Que, la reclamante absolvió el traslado del recurso impugnatorio indicando, en síntesis, lo siguiente: a) la aseguradora sustenta su rechazo en la improcedencia de la cobertura de uso indebido de la tarjeta de crédito y/o débito, debido a que la cobertura contratada sólo cubre uso indebido de tarjeta por robo, secuestro, hurto o extravío; b) indicar que la recurrente contrató el seguro denominado “Seguro Protección de Tarjetas 360” con la finalidad de tener cobertura ante compras fraudulentas por internet, teléfono y transacciones de dinero virtual; c) En la copia de la solicitud y cetificado del seguro de protección de tarjeta, la cual ha sido adjuntada por la aseguradora en su recurso de apelación, no se encuentra ni la fecha de emisión ni firma de la recurrente, por lo que, se aprecia que no fue informada sobre las coberturas contratadas y los alcances del respectivo seguro. Se vulneró el derecho a la información; d)  desconocía la cobertura que ofrecía la póliza, tomando conocimiento de las mismas cuando la aseguradora ha interpuesto su recurso de apelación; e) la aseguradora manifiesta que no se produjo un robo, hurto, extravío de la tarjeta asegurada, sino una entrega voluntaria de la misma. Así, en la Solicitud-Certificado N° …………………, adjuntada en el recurso de apelación señala dentro de cobertura principal que esta cubre: Uso indebido de tarjeta por robo, secuestro, hurto o ectravío. Las palabras hurto, estafa y fraude son sinonimos de la palabra robo, estando a ello debemos indicar que la estafa es una especia dentro del genero defraudación, además para que haya estafa debe mediar siempre la artimaña, el encubrimiento de la verdad; e) los delitos principales que se encuetran presenten son el delito de fraude informpatico y el delito de suplantación de identidad; f) se puede deducir la existencia del “Uso Indebido de Tarjeta”  y que este ha sido por robo ya que como se observa la aseguradora no ha especificado necesariamente el tipo de robo que debe cometerse para poder hacer uso de la cobertura, lo único que específica es que del robo ocasionado se realice el uso indebido de la tarheta de crédito. Se ha confirmado el robo de identidad a través del fraude informático teniendo como consecuencia el uso indebido de la tarjeta de crédito de la recurrente por robo de identidad.</w:t>
      </w:r>
    </w:p>
    <w:p w14:paraId="4C91E3E7" w14:textId="77777777" w:rsidR="00300DDA" w:rsidRPr="00300DDA" w:rsidRDefault="00300DDA" w:rsidP="00300DDA">
      <w:pPr>
        <w:pStyle w:val="Textoindependiente"/>
        <w:tabs>
          <w:tab w:val="left" w:pos="930"/>
        </w:tabs>
        <w:spacing w:line="240" w:lineRule="auto"/>
        <w:rPr>
          <w:bCs w:val="0"/>
          <w:noProof/>
          <w:color w:val="000000"/>
          <w:lang w:val="es-PE" w:eastAsia="es-PE"/>
        </w:rPr>
      </w:pPr>
    </w:p>
    <w:p w14:paraId="13E0F727" w14:textId="77777777" w:rsidR="00300DDA" w:rsidRPr="00300DDA" w:rsidRDefault="00300DDA" w:rsidP="00300DDA">
      <w:pPr>
        <w:pStyle w:val="Textoindependiente"/>
        <w:tabs>
          <w:tab w:val="left" w:pos="930"/>
        </w:tabs>
        <w:spacing w:line="240" w:lineRule="auto"/>
      </w:pPr>
      <w:r w:rsidRPr="00300DDA">
        <w:rPr>
          <w:rFonts w:ascii="Times New Roman" w:hAnsi="Times New Roman"/>
          <w:sz w:val="24"/>
        </w:rPr>
        <w:t>Que, atendiendo a lo expuesto, esta Defensoría resuelve finalmente lo siguiente:</w:t>
      </w:r>
    </w:p>
    <w:p w14:paraId="38764BAA" w14:textId="77777777" w:rsidR="00300DDA" w:rsidRPr="00300DDA" w:rsidRDefault="00300DDA" w:rsidP="00300DDA">
      <w:pPr>
        <w:spacing w:line="240" w:lineRule="auto"/>
        <w:jc w:val="both"/>
        <w:rPr>
          <w:rFonts w:ascii="Times New Roman" w:hAnsi="Times New Roman" w:cs="Times New Roman"/>
          <w:b/>
          <w:sz w:val="24"/>
          <w:szCs w:val="24"/>
          <w:u w:val="single"/>
          <w:lang w:val="es-PE"/>
        </w:rPr>
      </w:pPr>
    </w:p>
    <w:p w14:paraId="2D4190F3" w14:textId="77777777" w:rsidR="00300DDA" w:rsidRPr="00300DDA" w:rsidRDefault="00300DDA" w:rsidP="00300DDA">
      <w:pPr>
        <w:spacing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Órgano Resolutivo Unipersonal sobre la materia reclamada, podrá impugnarla, interponiendo el correspondiente Recurso de Impugnación.  </w:t>
      </w:r>
    </w:p>
    <w:p w14:paraId="47628C19" w14:textId="77777777" w:rsidR="00300DDA" w:rsidRPr="00300DDA" w:rsidRDefault="00300DDA" w:rsidP="00300DDA">
      <w:pPr>
        <w:spacing w:line="240" w:lineRule="auto"/>
        <w:jc w:val="both"/>
        <w:rPr>
          <w:rFonts w:ascii="Times New Roman" w:hAnsi="Times New Roman" w:cs="Times New Roman"/>
          <w:sz w:val="24"/>
          <w:szCs w:val="24"/>
          <w:lang w:val="es-PE"/>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14:paraId="2AA58269" w14:textId="77777777" w:rsidR="00300DDA" w:rsidRPr="00300DDA" w:rsidRDefault="00300DDA" w:rsidP="00300DDA">
      <w:pPr>
        <w:spacing w:line="240" w:lineRule="auto"/>
        <w:jc w:val="both"/>
        <w:rPr>
          <w:rFonts w:ascii="Times New Roman" w:hAnsi="Times New Roman" w:cs="Times New Roman"/>
          <w:sz w:val="24"/>
          <w:szCs w:val="24"/>
          <w:lang w:val="es-PE"/>
        </w:rPr>
      </w:pPr>
      <w:r>
        <w:rPr>
          <w:rFonts w:ascii="Times New Roman" w:hAnsi="Times New Roman"/>
          <w:sz w:val="24"/>
        </w:rPr>
        <w:t xml:space="preserve">SEGUNDO: Que, el Recurso de Impugnación presentado por la aseguradora se sustenta en nueva prueba, en virtud de la cual se podrá analizar si en el presente caso el siniestro corresponde o no a un riesgo bajo cobertura del seguro contratado.</w:t>
      </w:r>
    </w:p>
    <w:p w14:paraId="2A88BC21" w14:textId="77777777" w:rsidR="00300DDA" w:rsidRPr="00300DDA" w:rsidRDefault="00300DDA" w:rsidP="00300DDA">
      <w:pPr>
        <w:tabs>
          <w:tab w:val="left" w:pos="2160"/>
        </w:tabs>
        <w:spacing w:line="240" w:lineRule="auto"/>
        <w:jc w:val="both"/>
        <w:rPr>
          <w:rFonts w:ascii="Times New Roman" w:hAnsi="Times New Roman" w:cs="Times New Roman"/>
          <w:sz w:val="24"/>
          <w:szCs w:val="24"/>
          <w:lang w:val="es-PE"/>
        </w:rPr>
      </w:pPr>
      <w:r w:rsidRPr="00300DDA">
        <w:rPr>
          <w:rFonts w:ascii="Times New Roman" w:hAnsi="Times New Roman" w:cs="Times New Roman"/>
          <w:sz w:val="24"/>
          <w:szCs w:val="24"/>
          <w:lang w:val="es-PE"/>
        </w:rPr>
        <w:t>Que, la aseguradora ha presentado el certificado de seguro, en el cual se detallan las siguientes coberturas contratadas:</w:t>
      </w:r>
    </w:p>
    <w:p w14:paraId="5AA60A7D" w14:textId="77777777" w:rsidR="00300DDA" w:rsidRPr="00300DDA" w:rsidRDefault="00300DDA" w:rsidP="00300DDA">
      <w:pPr>
        <w:spacing w:line="240" w:lineRule="auto"/>
        <w:jc w:val="center"/>
        <w:rPr>
          <w:rFonts w:ascii="Times New Roman" w:hAnsi="Times New Roman" w:cs="Times New Roman"/>
          <w:bCs/>
          <w:sz w:val="24"/>
          <w:szCs w:val="24"/>
          <w:lang w:val="es-PE"/>
        </w:rPr>
      </w:pPr>
      <w:r>
        <w:rPr>
          <w:rFonts w:ascii="Times New Roman" w:hAnsi="Times New Roman"/>
          <w:sz w:val="24"/>
        </w:rPr>
        <w:t xml:space="preserve">…………………</w:t>
      </w:r>
    </w:p>
    <w:p w14:paraId="2EED48B5" w14:textId="77777777" w:rsidR="00300DDA" w:rsidRPr="00300DDA" w:rsidRDefault="00300DDA" w:rsidP="00300DDA">
      <w:pPr>
        <w:spacing w:line="240" w:lineRule="auto"/>
        <w:jc w:val="both"/>
        <w:rPr>
          <w:rFonts w:ascii="Times New Roman" w:hAnsi="Times New Roman" w:cs="Times New Roman"/>
          <w:sz w:val="24"/>
          <w:szCs w:val="24"/>
          <w:lang w:val="es-ES"/>
        </w:rPr>
      </w:pPr>
      <w:r w:rsidRPr="00300DDA">
        <w:rPr>
          <w:rFonts w:ascii="Times New Roman" w:hAnsi="Times New Roman" w:cs="Times New Roman"/>
          <w:sz w:val="24"/>
          <w:szCs w:val="24"/>
          <w:lang w:val="es-PE"/>
        </w:rPr>
        <w:t xml:space="preserve">Que, </w:t>
      </w:r>
      <w:proofErr w:type="gramStart"/>
      <w:r w:rsidRPr="00300DDA">
        <w:rPr>
          <w:rFonts w:ascii="Times New Roman" w:hAnsi="Times New Roman" w:cs="Times New Roman"/>
          <w:sz w:val="24"/>
          <w:szCs w:val="24"/>
          <w:lang w:val="es-PE"/>
        </w:rPr>
        <w:t>de acuerdo a</w:t>
      </w:r>
      <w:proofErr w:type="gramEnd"/>
      <w:r w:rsidRPr="00300DDA">
        <w:rPr>
          <w:rFonts w:ascii="Times New Roman" w:hAnsi="Times New Roman" w:cs="Times New Roman"/>
          <w:sz w:val="24"/>
          <w:szCs w:val="24"/>
          <w:lang w:val="es-PE"/>
        </w:rPr>
        <w:t xml:space="preserve"> lo manifestado por la reclamante en la denuncia policial, el 24 de enero fue víctima de una estafa, recibiendo una llamada “supuestamente” del banco Interbank para ofrecerle mejoras en los beneficios de su tarjeta de crédito. Así, tras aceptar la oferta le dieron varios documentos, pidiéndole que corte su tarjeta de crédito y que entregue la misma. Al día siguiente, se realizó un consumo- compra por internet- que no reconoce por la suma total de S/. 3,825.00 (Tres Mil Ochocientos Veinticinco con 00/100 Soles):</w:t>
      </w:r>
    </w:p>
    <w:p w14:paraId="600B25CA" w14:textId="77777777" w:rsidR="00300DDA" w:rsidRPr="00300DDA" w:rsidRDefault="00300DDA" w:rsidP="00300DDA">
      <w:pPr>
        <w:spacing w:line="240" w:lineRule="auto"/>
        <w:jc w:val="center"/>
        <w:rPr>
          <w:rFonts w:ascii="Times New Roman" w:hAnsi="Times New Roman" w:cs="Times New Roman"/>
          <w:sz w:val="24"/>
          <w:szCs w:val="24"/>
          <w:lang w:val="es-ES"/>
        </w:rPr>
      </w:pPr>
      <w:r>
        <w:rPr>
          <w:rFonts w:ascii="Times New Roman" w:hAnsi="Times New Roman"/>
          <w:sz w:val="24"/>
        </w:rPr>
        <w:t xml:space="preserve">…………………</w:t>
      </w:r>
    </w:p>
    <w:p w14:paraId="26B58EA6" w14:textId="77777777" w:rsidR="00300DDA" w:rsidRPr="00300DDA" w:rsidRDefault="00300DDA" w:rsidP="00300DDA">
      <w:pPr>
        <w:pStyle w:val="Default"/>
        <w:spacing w:line="240" w:lineRule="auto"/>
        <w:jc w:val="both"/>
        <w:rPr>
          <w:rFonts w:ascii="Times New Roman" w:hAnsi="Times New Roman" w:cs="Times New Roman"/>
          <w:highlight w:val="green"/>
        </w:rPr>
      </w:pPr>
    </w:p>
    <w:p w14:paraId="1E2E4F19" w14:textId="77777777" w:rsidR="00300DDA" w:rsidRPr="00300DDA" w:rsidRDefault="00300DDA" w:rsidP="00300DDA">
      <w:pPr>
        <w:spacing w:line="240" w:lineRule="auto"/>
        <w:jc w:val="both"/>
        <w:rPr>
          <w:rFonts w:ascii="Times New Roman" w:hAnsi="Times New Roman" w:cs="Times New Roman"/>
          <w:sz w:val="24"/>
          <w:szCs w:val="24"/>
          <w:lang w:val="es-PE"/>
        </w:rPr>
      </w:pPr>
      <w:r w:rsidRPr="00300DDA">
        <w:rPr>
          <w:rFonts w:ascii="Times New Roman" w:hAnsi="Times New Roman" w:cs="Times New Roman"/>
          <w:sz w:val="24"/>
          <w:szCs w:val="24"/>
          <w:lang w:val="es-PE"/>
        </w:rPr>
        <w:t>Que, para este Colegiado, el evento encajaría en la cobertura No. 2 “</w:t>
      </w:r>
      <w:r w:rsidRPr="00300DDA">
        <w:rPr>
          <w:rFonts w:ascii="Times New Roman" w:hAnsi="Times New Roman" w:cs="Times New Roman"/>
          <w:i/>
          <w:iCs/>
          <w:sz w:val="24"/>
          <w:szCs w:val="24"/>
          <w:lang w:val="es-PE"/>
        </w:rPr>
        <w:t>compras fraudulentas por internet</w:t>
      </w:r>
      <w:r w:rsidRPr="00300DDA">
        <w:rPr>
          <w:rFonts w:ascii="Times New Roman" w:hAnsi="Times New Roman" w:cs="Times New Roman"/>
          <w:sz w:val="24"/>
          <w:szCs w:val="24"/>
          <w:lang w:val="es-PE"/>
        </w:rPr>
        <w:t>” por la suma asegurada máxima de S/. 4,500.00 (Cuatro Mil Quinientos con 00/100 Soles), al no especificar mayor detalle se entiende como compra fraudulenta por internet, la no realizada por el asegurado, a través de cualquier medio por el que un tercero pudiera haber accedido a la información, tal y como se verifica en la póliza, tanto en la descripción de la cobertura como en la definición de uso indebido:</w:t>
      </w:r>
    </w:p>
    <w:p w14:paraId="719D2EEC" w14:textId="77777777" w:rsidR="00300DDA" w:rsidRPr="00300DDA" w:rsidRDefault="00300DDA" w:rsidP="00300DDA">
      <w:pPr>
        <w:spacing w:line="240" w:lineRule="auto"/>
        <w:ind w:left="2160"/>
        <w:jc w:val="both"/>
        <w:rPr>
          <w:rFonts w:ascii="Times New Roman" w:hAnsi="Times New Roman" w:cs="Times New Roman"/>
          <w:i/>
          <w:iCs/>
          <w:sz w:val="24"/>
          <w:szCs w:val="24"/>
          <w:lang w:val="es-PE"/>
        </w:rPr>
      </w:pPr>
      <w:r w:rsidRPr="00300DDA">
        <w:rPr>
          <w:rFonts w:ascii="Times New Roman" w:hAnsi="Times New Roman" w:cs="Times New Roman"/>
          <w:i/>
          <w:iCs/>
          <w:sz w:val="24"/>
          <w:szCs w:val="24"/>
          <w:lang w:val="es-PE"/>
        </w:rPr>
        <w:t xml:space="preserve">Compras Fraudulentas por Internet, Teléfono y Transferencias de Dinero Virtual </w:t>
      </w:r>
    </w:p>
    <w:p w14:paraId="361E0075" w14:textId="77777777" w:rsidR="00300DDA" w:rsidRPr="00300DDA" w:rsidRDefault="00300DDA" w:rsidP="00300DDA">
      <w:pPr>
        <w:spacing w:line="240" w:lineRule="auto"/>
        <w:ind w:left="2160"/>
        <w:jc w:val="both"/>
        <w:rPr>
          <w:rFonts w:ascii="Times New Roman" w:hAnsi="Times New Roman" w:cs="Times New Roman"/>
          <w:i/>
          <w:iCs/>
          <w:sz w:val="24"/>
          <w:szCs w:val="24"/>
          <w:lang w:val="es-PE"/>
        </w:rPr>
      </w:pPr>
      <w:r w:rsidRPr="00300DDA">
        <w:rPr>
          <w:rFonts w:ascii="Times New Roman" w:hAnsi="Times New Roman" w:cs="Times New Roman"/>
          <w:b/>
          <w:bCs/>
          <w:sz w:val="24"/>
          <w:szCs w:val="24"/>
          <w:lang w:val="es-PE"/>
        </w:rPr>
        <w:t>-</w:t>
      </w:r>
      <w:r w:rsidRPr="00300DDA">
        <w:rPr>
          <w:rFonts w:ascii="Times New Roman" w:hAnsi="Times New Roman" w:cs="Times New Roman"/>
          <w:sz w:val="24"/>
          <w:szCs w:val="24"/>
          <w:lang w:val="es-PE"/>
        </w:rPr>
        <w:t>Compras vía Internet</w:t>
      </w:r>
      <w:r w:rsidRPr="00300DDA">
        <w:rPr>
          <w:rFonts w:ascii="Times New Roman" w:hAnsi="Times New Roman" w:cs="Times New Roman"/>
          <w:i/>
          <w:iCs/>
          <w:sz w:val="24"/>
          <w:szCs w:val="24"/>
          <w:lang w:val="es-PE"/>
        </w:rPr>
        <w:t xml:space="preserve"> o vía telefónica: LA COMPAÑÍA se obliga, mediante el cobro de una prima adicional, a indemnizar al ASEGURADO por el Daño Patrimonial que pueda sufrir como consecuencia de compras vía Internet o Telefónica por el Uso Indebido, por parte de un tercero, de la(s) Tarjeta(s) Asegurada(s). No se brindará cobertura por eventos generados con posterioridad al aviso de bloqueo de la tarjeta. Se brindará cobertura a los eventos que se produzcan dentro del país o fuera del mismo, salvo disposición contraria la presente Solicitud Certificado. Solo se brindará cobertura a las pérdidas ocurridas desde la fecha del primer evento hasta 60 (sesenta) días naturales siguientes y/o hasta la fecha de vencimiento del Estado de Cuenta que refleje estos eventos, lo que ocurra primero.</w:t>
      </w:r>
    </w:p>
    <w:p w14:paraId="3804518F" w14:textId="77777777" w:rsidR="00300DDA" w:rsidRPr="00300DDA" w:rsidRDefault="00300DDA" w:rsidP="00300DDA">
      <w:pPr>
        <w:spacing w:line="240" w:lineRule="auto"/>
        <w:ind w:left="2160"/>
        <w:jc w:val="both"/>
        <w:rPr>
          <w:rFonts w:ascii="Times New Roman" w:hAnsi="Times New Roman" w:cs="Times New Roman"/>
          <w:i/>
          <w:iCs/>
          <w:sz w:val="24"/>
          <w:szCs w:val="24"/>
          <w:lang w:val="es-PE"/>
        </w:rPr>
      </w:pPr>
      <w:r w:rsidRPr="00300DDA">
        <w:rPr>
          <w:rFonts w:ascii="Times New Roman" w:hAnsi="Times New Roman" w:cs="Times New Roman"/>
          <w:i/>
          <w:iCs/>
          <w:sz w:val="24"/>
          <w:szCs w:val="24"/>
          <w:lang w:val="es-PE"/>
        </w:rPr>
        <w:t xml:space="preserve"> </w:t>
      </w:r>
    </w:p>
    <w:p w14:paraId="18B9B89D" w14:textId="77777777" w:rsidR="00300DDA" w:rsidRPr="00300DDA" w:rsidRDefault="00300DDA" w:rsidP="00300DDA">
      <w:pPr>
        <w:spacing w:line="240" w:lineRule="auto"/>
        <w:ind w:left="2160"/>
        <w:jc w:val="both"/>
        <w:rPr>
          <w:rFonts w:ascii="Times New Roman" w:hAnsi="Times New Roman" w:cs="Times New Roman"/>
          <w:i/>
          <w:iCs/>
          <w:sz w:val="24"/>
          <w:szCs w:val="24"/>
          <w:lang w:val="es-PE"/>
        </w:rPr>
      </w:pPr>
      <w:r w:rsidRPr="00300DDA">
        <w:rPr>
          <w:rFonts w:ascii="Times New Roman" w:hAnsi="Times New Roman" w:cs="Times New Roman"/>
          <w:i/>
          <w:iCs/>
          <w:sz w:val="24"/>
          <w:szCs w:val="24"/>
          <w:lang w:val="es-PE"/>
        </w:rPr>
        <w:t>(…)</w:t>
      </w:r>
    </w:p>
    <w:p w14:paraId="27EC1476" w14:textId="77777777" w:rsidR="00300DDA" w:rsidRPr="00300DDA" w:rsidRDefault="00300DDA" w:rsidP="00300DDA">
      <w:pPr>
        <w:spacing w:line="240" w:lineRule="auto"/>
        <w:ind w:left="2160"/>
        <w:jc w:val="both"/>
        <w:rPr>
          <w:rFonts w:ascii="Times New Roman" w:hAnsi="Times New Roman" w:cs="Times New Roman"/>
          <w:i/>
          <w:iCs/>
          <w:sz w:val="24"/>
          <w:szCs w:val="24"/>
          <w:lang w:val="es-PE"/>
        </w:rPr>
      </w:pPr>
    </w:p>
    <w:p w14:paraId="26D9B9E7" w14:textId="77777777" w:rsidR="00300DDA" w:rsidRPr="00300DDA" w:rsidRDefault="00300DDA" w:rsidP="00300DDA">
      <w:pPr>
        <w:spacing w:line="240" w:lineRule="auto"/>
        <w:ind w:left="2160"/>
        <w:jc w:val="both"/>
        <w:rPr>
          <w:rFonts w:ascii="Times New Roman" w:hAnsi="Times New Roman" w:cs="Times New Roman"/>
          <w:i/>
          <w:iCs/>
          <w:sz w:val="24"/>
          <w:szCs w:val="24"/>
          <w:lang w:val="es-PE"/>
        </w:rPr>
      </w:pPr>
      <w:r w:rsidRPr="00300DDA">
        <w:rPr>
          <w:rFonts w:ascii="Times New Roman" w:hAnsi="Times New Roman" w:cs="Times New Roman"/>
          <w:i/>
          <w:iCs/>
          <w:sz w:val="24"/>
          <w:szCs w:val="24"/>
          <w:lang w:val="es-PE"/>
        </w:rPr>
        <w:t>Definiciones:</w:t>
      </w:r>
    </w:p>
    <w:p w14:paraId="09BD8DE4" w14:textId="77777777" w:rsidR="00300DDA" w:rsidRPr="00300DDA" w:rsidRDefault="00300DDA" w:rsidP="00300DDA">
      <w:pPr>
        <w:spacing w:line="240" w:lineRule="auto"/>
        <w:ind w:left="2160"/>
        <w:jc w:val="both"/>
        <w:rPr>
          <w:rFonts w:ascii="Times New Roman" w:hAnsi="Times New Roman" w:cs="Times New Roman"/>
          <w:i/>
          <w:iCs/>
          <w:sz w:val="24"/>
          <w:szCs w:val="24"/>
          <w:lang w:val="es-PE"/>
        </w:rPr>
      </w:pPr>
      <w:r w:rsidRPr="00300DDA">
        <w:rPr>
          <w:rFonts w:ascii="Times New Roman" w:hAnsi="Times New Roman" w:cs="Times New Roman"/>
          <w:i/>
          <w:iCs/>
          <w:sz w:val="24"/>
          <w:szCs w:val="24"/>
          <w:lang w:val="es-PE"/>
        </w:rPr>
        <w:t>(…)</w:t>
      </w:r>
    </w:p>
    <w:p w14:paraId="47F9156E" w14:textId="77777777" w:rsidR="00300DDA" w:rsidRPr="00300DDA" w:rsidRDefault="00300DDA" w:rsidP="00300DDA">
      <w:pPr>
        <w:spacing w:line="240" w:lineRule="auto"/>
        <w:ind w:left="2160"/>
        <w:jc w:val="both"/>
        <w:rPr>
          <w:rFonts w:ascii="Times New Roman" w:hAnsi="Times New Roman" w:cs="Times New Roman"/>
          <w:i/>
          <w:iCs/>
          <w:sz w:val="24"/>
          <w:szCs w:val="24"/>
          <w:lang w:val="es-PE"/>
        </w:rPr>
      </w:pPr>
      <w:r w:rsidRPr="00300DDA">
        <w:rPr>
          <w:rFonts w:ascii="Times New Roman" w:hAnsi="Times New Roman" w:cs="Times New Roman"/>
          <w:i/>
          <w:iCs/>
          <w:sz w:val="24"/>
          <w:szCs w:val="24"/>
          <w:lang w:val="es-PE"/>
        </w:rPr>
        <w:t xml:space="preserve">Uso Indebido: Uso de la(s) Tarjeta(s) por un tercero ajeno al titular de </w:t>
      </w:r>
      <w:proofErr w:type="gramStart"/>
      <w:r w:rsidRPr="00300DDA">
        <w:rPr>
          <w:rFonts w:ascii="Times New Roman" w:hAnsi="Times New Roman" w:cs="Times New Roman"/>
          <w:i/>
          <w:iCs/>
          <w:sz w:val="24"/>
          <w:szCs w:val="24"/>
          <w:lang w:val="es-PE"/>
        </w:rPr>
        <w:t>la misma</w:t>
      </w:r>
      <w:proofErr w:type="gramEnd"/>
      <w:r w:rsidRPr="00300DDA">
        <w:rPr>
          <w:rFonts w:ascii="Times New Roman" w:hAnsi="Times New Roman" w:cs="Times New Roman"/>
          <w:i/>
          <w:iCs/>
          <w:sz w:val="24"/>
          <w:szCs w:val="24"/>
          <w:lang w:val="es-PE"/>
        </w:rPr>
        <w:t>.</w:t>
      </w:r>
    </w:p>
    <w:p w14:paraId="62EE17D9" w14:textId="77777777" w:rsidR="00300DDA" w:rsidRPr="00300DDA" w:rsidRDefault="00300DDA" w:rsidP="00300DDA">
      <w:pPr>
        <w:spacing w:line="240" w:lineRule="auto"/>
        <w:jc w:val="both"/>
        <w:rPr>
          <w:rStyle w:val="Textoennegrita"/>
          <w:rFonts w:ascii="Times New Roman" w:hAnsi="Times New Roman" w:cs="Times New Roman"/>
          <w:b w:val="0"/>
          <w:bCs/>
          <w:sz w:val="24"/>
          <w:szCs w:val="24"/>
          <w:lang w:val="es-PE"/>
        </w:rPr>
      </w:pPr>
      <w:r w:rsidRPr="00300DDA">
        <w:rPr>
          <w:rFonts w:ascii="Times New Roman" w:hAnsi="Times New Roman" w:cs="Times New Roman"/>
          <w:sz w:val="24"/>
          <w:szCs w:val="24"/>
          <w:lang w:val="es-PE"/>
        </w:rPr>
        <w:t xml:space="preserve">Al respecto, es aplicable lo plasmado en la sétima regla interpretativa contenida en el artículo IV de la Ley Nro. 29946 – Ley del Contrato de Seguro: </w:t>
      </w:r>
      <w:r w:rsidRPr="00300DDA">
        <w:rPr>
          <w:rFonts w:ascii="Times New Roman" w:hAnsi="Times New Roman" w:cs="Times New Roman"/>
          <w:b/>
          <w:bCs/>
          <w:i/>
          <w:iCs/>
          <w:sz w:val="24"/>
          <w:szCs w:val="24"/>
          <w:lang w:val="es-PE"/>
        </w:rPr>
        <w:t>“La cobertura,</w:t>
      </w:r>
      <w:r w:rsidRPr="00300DDA">
        <w:rPr>
          <w:rFonts w:ascii="Times New Roman" w:hAnsi="Times New Roman" w:cs="Times New Roman"/>
          <w:i/>
          <w:iCs/>
          <w:sz w:val="24"/>
          <w:szCs w:val="24"/>
          <w:lang w:val="es-PE"/>
        </w:rPr>
        <w:t xml:space="preserve"> exclusiones </w:t>
      </w:r>
      <w:r w:rsidRPr="00300DDA">
        <w:rPr>
          <w:rFonts w:ascii="Times New Roman" w:hAnsi="Times New Roman" w:cs="Times New Roman"/>
          <w:b/>
          <w:bCs/>
          <w:i/>
          <w:iCs/>
          <w:sz w:val="24"/>
          <w:szCs w:val="24"/>
          <w:lang w:val="es-PE"/>
        </w:rPr>
        <w:t xml:space="preserve">y, en general, la extensión del riesgo, </w:t>
      </w:r>
      <w:r w:rsidRPr="00300DDA">
        <w:rPr>
          <w:rFonts w:ascii="Times New Roman" w:hAnsi="Times New Roman" w:cs="Times New Roman"/>
          <w:i/>
          <w:iCs/>
          <w:sz w:val="24"/>
          <w:szCs w:val="24"/>
          <w:lang w:val="es-PE"/>
        </w:rPr>
        <w:t xml:space="preserve">así como los derechos de los beneficiarios, previstos en el contrato de seguro, </w:t>
      </w:r>
      <w:r w:rsidRPr="00300DDA">
        <w:rPr>
          <w:rFonts w:ascii="Times New Roman" w:hAnsi="Times New Roman" w:cs="Times New Roman"/>
          <w:b/>
          <w:bCs/>
          <w:i/>
          <w:iCs/>
          <w:sz w:val="24"/>
          <w:szCs w:val="24"/>
          <w:lang w:val="es-PE"/>
        </w:rPr>
        <w:t xml:space="preserve">deben interpretarse literalmente” </w:t>
      </w:r>
      <w:r w:rsidRPr="00300DDA">
        <w:rPr>
          <w:rFonts w:ascii="Times New Roman" w:hAnsi="Times New Roman" w:cs="Times New Roman"/>
          <w:sz w:val="24"/>
          <w:szCs w:val="24"/>
          <w:lang w:val="es-PE"/>
        </w:rPr>
        <w:t>(lo destacado es nuestro); y, en este sentido, corresponde brindar cobertura por compras fraudulentas por internet.</w:t>
      </w:r>
    </w:p>
    <w:p w14:paraId="6315CB0D" w14:textId="77777777" w:rsidR="00300DDA" w:rsidRPr="00300DDA" w:rsidRDefault="00300DDA" w:rsidP="00300DDA">
      <w:pPr>
        <w:spacing w:after="0" w:line="240" w:lineRule="auto"/>
        <w:jc w:val="both"/>
        <w:rPr>
          <w:rFonts w:ascii="Times New Roman" w:hAnsi="Times New Roman" w:cs="Times New Roman"/>
          <w:noProof/>
          <w:sz w:val="24"/>
          <w:szCs w:val="24"/>
          <w:lang w:val="es-PE"/>
        </w:rPr>
      </w:pPr>
      <w:r>
        <w:rPr>
          <w:rFonts w:ascii="Times New Roman" w:hAnsi="Times New Roman"/>
          <w:sz w:val="24"/>
        </w:rPr>
        <w:t xml:space="preserve">TERCERO: Que, ………………… SEGUROS en su Carta de Rechazo también señaló que la asegurada no habría interpuesto la denuncia policial en el plazo oportuno. </w:t>
      </w:r>
    </w:p>
    <w:p w14:paraId="561BAF27" w14:textId="77777777" w:rsidR="00300DDA" w:rsidRPr="00300DDA" w:rsidRDefault="00300DDA" w:rsidP="00300DDA">
      <w:pPr>
        <w:spacing w:after="0" w:line="240" w:lineRule="auto"/>
        <w:jc w:val="both"/>
        <w:rPr>
          <w:rFonts w:ascii="Times New Roman" w:hAnsi="Times New Roman" w:cs="Times New Roman"/>
          <w:noProof/>
          <w:sz w:val="24"/>
          <w:szCs w:val="24"/>
          <w:lang w:val="es-PE"/>
        </w:rPr>
      </w:pPr>
    </w:p>
    <w:p w14:paraId="7F1B478D" w14:textId="77777777" w:rsidR="00300DDA" w:rsidRPr="00300DDA" w:rsidRDefault="00300DDA" w:rsidP="00300DDA">
      <w:pPr>
        <w:spacing w:after="0" w:line="240" w:lineRule="auto"/>
        <w:jc w:val="both"/>
        <w:rPr>
          <w:rFonts w:ascii="Times New Roman" w:hAnsi="Times New Roman" w:cs="Times New Roman"/>
          <w:noProof/>
          <w:sz w:val="24"/>
          <w:szCs w:val="24"/>
          <w:lang w:val="es-PE"/>
        </w:rPr>
      </w:pPr>
      <w:r w:rsidRPr="00300DDA">
        <w:rPr>
          <w:rFonts w:ascii="Times New Roman" w:hAnsi="Times New Roman" w:cs="Times New Roman"/>
          <w:noProof/>
          <w:sz w:val="24"/>
          <w:szCs w:val="24"/>
          <w:lang w:val="es-PE"/>
        </w:rPr>
        <w:t>Al respecto, se precisa que la Compañía no ha acreditado (i) que la citada carga haya sido informada  oportunamente a la asegurada antes del siniestro y (ii) que el incumplimiento de dicha carga haya influido en la extensión del siniestro. En tal sentido, esta causal de rechazo no le sería oponible a la asegurada.</w:t>
      </w:r>
    </w:p>
    <w:p w14:paraId="5494EB00" w14:textId="77777777" w:rsidR="00300DDA" w:rsidRPr="00300DDA" w:rsidRDefault="00300DDA" w:rsidP="00300DDA">
      <w:pPr>
        <w:pStyle w:val="Default"/>
        <w:spacing w:line="240" w:lineRule="auto"/>
        <w:jc w:val="both"/>
        <w:rPr>
          <w:rFonts w:ascii="Times New Roman" w:hAnsi="Times New Roman" w:cs="Times New Roman"/>
          <w:highlight w:val="green"/>
        </w:rPr>
      </w:pPr>
    </w:p>
    <w:p w14:paraId="700845B9" w14:textId="77777777" w:rsidR="00300DDA" w:rsidRPr="00300DDA" w:rsidRDefault="00300DDA" w:rsidP="00300DDA">
      <w:pPr>
        <w:spacing w:line="240" w:lineRule="auto"/>
        <w:jc w:val="both"/>
        <w:rPr>
          <w:rFonts w:ascii="Times New Roman" w:hAnsi="Times New Roman" w:cs="Times New Roman"/>
          <w:sz w:val="24"/>
          <w:szCs w:val="24"/>
          <w:lang w:val="es-PE"/>
        </w:rPr>
      </w:pPr>
      <w:r>
        <w:rPr>
          <w:rFonts w:ascii="Times New Roman" w:hAnsi="Times New Roman"/>
          <w:sz w:val="24"/>
        </w:rPr>
        <w:t xml:space="preserve">CUARTO:  Por lo expuesto, este Colegiado aprecia finalmente que la nueva prueba presentada por ………………… SEGUROS no conlleva a otras conclusiones, solamente a una argumentación distinta sobre el fondo de la controversia, por lo que no existe mérito ni razón objetiva para revocarla.</w:t>
      </w:r>
    </w:p>
    <w:p w14:paraId="0867CB89" w14:textId="77777777" w:rsidR="00300DDA" w:rsidRPr="00300DDA" w:rsidRDefault="00300DDA" w:rsidP="00300DDA">
      <w:pPr>
        <w:spacing w:line="240" w:lineRule="auto"/>
        <w:jc w:val="both"/>
        <w:rPr>
          <w:rFonts w:ascii="Times New Roman" w:hAnsi="Times New Roman" w:cs="Times New Roman"/>
          <w:b/>
          <w:sz w:val="24"/>
          <w:szCs w:val="24"/>
          <w:lang w:val="es-PE"/>
        </w:rPr>
      </w:pPr>
      <w:r>
        <w:rPr>
          <w:rFonts w:ascii="Times New Roman" w:hAnsi="Times New Roman"/>
          <w:sz w:val="24"/>
        </w:rPr>
        <w:t xml:space="preserve">ATENDIENDO A LO EXPRESADO, CONFORME A SU REGLAMENTO, …………………:</w:t>
      </w:r>
    </w:p>
    <w:p w14:paraId="10F80E08" w14:textId="77777777" w:rsidR="00300DDA" w:rsidRPr="00300DDA" w:rsidRDefault="00300DDA" w:rsidP="00300DDA">
      <w:pPr>
        <w:pStyle w:val="Default"/>
        <w:spacing w:line="240" w:lineRule="auto"/>
        <w:jc w:val="both"/>
        <w:rPr>
          <w:rFonts w:ascii="Times New Roman" w:hAnsi="Times New Roman" w:cs="Times New Roman"/>
          <w:b/>
        </w:rPr>
      </w:pPr>
      <w:r>
        <w:rPr>
          <w:rFonts w:ascii="Times New Roman" w:hAnsi="Times New Roman"/>
          <w:sz w:val="24"/>
        </w:rPr>
        <w:t xml:space="preserve">DECLARAR INFUNDADO el Recurso de Impugnación interpuesto por ………………… SEGUROS y, por consiguiente, CONFIRMAR la Resolución N° 096/23.</w:t>
      </w:r>
    </w:p>
    <w:p w14:paraId="06345190" w14:textId="77777777" w:rsidR="00FA1290" w:rsidRPr="00300DDA" w:rsidRDefault="00FA1290" w:rsidP="00FA1290">
      <w:pPr>
        <w:spacing w:line="240" w:lineRule="auto"/>
        <w:jc w:val="both"/>
        <w:rPr>
          <w:rFonts w:ascii="Times New Roman" w:eastAsia="Times New Roman" w:hAnsi="Times New Roman" w:cs="Times New Roman"/>
          <w:sz w:val="24"/>
          <w:szCs w:val="24"/>
          <w:lang w:val="es-PE" w:eastAsia="ar-SA"/>
        </w:rPr>
      </w:pPr>
    </w:p>
    <w:p w14:paraId="000A434B" w14:textId="3CA644B3" w:rsidR="008B6A09" w:rsidRPr="00300DDA" w:rsidRDefault="0091528B" w:rsidP="008B6A09">
      <w:pPr>
        <w:spacing w:line="240" w:lineRule="auto"/>
        <w:jc w:val="right"/>
        <w:rPr>
          <w:rFonts w:ascii="Times New Roman" w:hAnsi="Times New Roman" w:cs="Times New Roman"/>
          <w:sz w:val="24"/>
          <w:szCs w:val="24"/>
          <w:lang w:val="es-PE"/>
        </w:rPr>
      </w:pPr>
      <w:r w:rsidRPr="00300DDA">
        <w:rPr>
          <w:rFonts w:ascii="Times New Roman" w:eastAsia="Arial Unicode MS" w:hAnsi="Times New Roman" w:cs="Times New Roman"/>
          <w:sz w:val="24"/>
          <w:szCs w:val="24"/>
          <w:lang w:val="es-PE" w:eastAsia="ar-SA"/>
        </w:rPr>
        <w:t xml:space="preserve">Lima, </w:t>
      </w:r>
      <w:r w:rsidR="00A96279" w:rsidRPr="00300DDA">
        <w:rPr>
          <w:rFonts w:ascii="Times New Roman" w:eastAsia="Arial Unicode MS" w:hAnsi="Times New Roman" w:cs="Times New Roman"/>
          <w:sz w:val="24"/>
          <w:szCs w:val="24"/>
          <w:lang w:val="es-PE" w:eastAsia="ar-SA"/>
        </w:rPr>
        <w:t>1</w:t>
      </w:r>
      <w:r w:rsidR="00095105" w:rsidRPr="00300DDA">
        <w:rPr>
          <w:rFonts w:ascii="Times New Roman" w:eastAsia="Arial Unicode MS" w:hAnsi="Times New Roman" w:cs="Times New Roman"/>
          <w:sz w:val="24"/>
          <w:szCs w:val="24"/>
          <w:lang w:val="es-PE" w:eastAsia="ar-SA"/>
        </w:rPr>
        <w:t>4</w:t>
      </w:r>
      <w:r w:rsidR="00570ED6" w:rsidRPr="00300DDA">
        <w:rPr>
          <w:rFonts w:ascii="Times New Roman" w:eastAsia="Arial Unicode MS" w:hAnsi="Times New Roman" w:cs="Times New Roman"/>
          <w:sz w:val="24"/>
          <w:szCs w:val="24"/>
          <w:lang w:val="es-PE" w:eastAsia="ar-SA"/>
        </w:rPr>
        <w:t xml:space="preserve"> </w:t>
      </w:r>
      <w:r w:rsidR="00707C99" w:rsidRPr="00300DDA">
        <w:rPr>
          <w:rFonts w:ascii="Times New Roman" w:eastAsia="Arial Unicode MS" w:hAnsi="Times New Roman" w:cs="Times New Roman"/>
          <w:sz w:val="24"/>
          <w:szCs w:val="24"/>
          <w:lang w:val="es-PE" w:eastAsia="ar-SA"/>
        </w:rPr>
        <w:t xml:space="preserve">de </w:t>
      </w:r>
      <w:r w:rsidR="00095105" w:rsidRPr="00300DDA">
        <w:rPr>
          <w:rFonts w:ascii="Times New Roman" w:eastAsia="Arial Unicode MS" w:hAnsi="Times New Roman" w:cs="Times New Roman"/>
          <w:sz w:val="24"/>
          <w:szCs w:val="24"/>
          <w:lang w:val="es-PE" w:eastAsia="ar-SA"/>
        </w:rPr>
        <w:t>diciembre</w:t>
      </w:r>
      <w:r w:rsidR="002F478E" w:rsidRPr="00300DDA">
        <w:rPr>
          <w:rFonts w:ascii="Times New Roman" w:eastAsia="Arial Unicode MS" w:hAnsi="Times New Roman" w:cs="Times New Roman"/>
          <w:sz w:val="24"/>
          <w:szCs w:val="24"/>
          <w:lang w:val="es-PE" w:eastAsia="ar-SA"/>
        </w:rPr>
        <w:t xml:space="preserve"> </w:t>
      </w:r>
      <w:r w:rsidR="00F06498" w:rsidRPr="00300DDA">
        <w:rPr>
          <w:rFonts w:ascii="Times New Roman" w:eastAsia="Arial Unicode MS" w:hAnsi="Times New Roman" w:cs="Times New Roman"/>
          <w:sz w:val="24"/>
          <w:szCs w:val="24"/>
          <w:lang w:val="es-PE" w:eastAsia="ar-SA"/>
        </w:rPr>
        <w:t>de 202</w:t>
      </w:r>
      <w:r w:rsidR="00B340D4" w:rsidRPr="00300DDA">
        <w:rPr>
          <w:rFonts w:ascii="Times New Roman" w:eastAsia="Arial Unicode MS" w:hAnsi="Times New Roman" w:cs="Times New Roman"/>
          <w:sz w:val="24"/>
          <w:szCs w:val="24"/>
          <w:lang w:val="es-PE" w:eastAsia="ar-SA"/>
        </w:rPr>
        <w:t>3</w:t>
      </w:r>
      <w:r w:rsidR="00707C99" w:rsidRPr="00300DDA">
        <w:rPr>
          <w:rFonts w:ascii="Times New Roman" w:eastAsia="Times New Roman" w:hAnsi="Times New Roman" w:cs="Times New Roman"/>
          <w:sz w:val="24"/>
          <w:szCs w:val="24"/>
          <w:lang w:val="es-PE" w:eastAsia="ar-SA"/>
        </w:rPr>
        <w:t xml:space="preserve"> </w:t>
      </w:r>
    </w:p>
    <w:p w14:paraId="7433A34B" w14:textId="77777777" w:rsidR="008B6A09" w:rsidRPr="00300DDA" w:rsidRDefault="008B6A09" w:rsidP="008B6A09">
      <w:pPr>
        <w:suppressAutoHyphens/>
        <w:spacing w:after="0" w:line="240" w:lineRule="auto"/>
        <w:jc w:val="right"/>
        <w:outlineLvl w:val="0"/>
        <w:rPr>
          <w:rFonts w:ascii="Times New Roman" w:eastAsia="Arial Unicode MS" w:hAnsi="Times New Roman" w:cs="Times New Roman"/>
          <w:sz w:val="24"/>
          <w:szCs w:val="24"/>
          <w:lang w:val="es-PE" w:eastAsia="ar-SA"/>
        </w:rPr>
      </w:pPr>
    </w:p>
    <w:p w14:paraId="1B6988F6" w14:textId="77777777" w:rsidR="00A323F4" w:rsidRPr="00300DDA" w:rsidRDefault="00A323F4" w:rsidP="00A323F4">
      <w:pPr>
        <w:spacing w:after="0" w:line="240" w:lineRule="auto"/>
        <w:jc w:val="both"/>
        <w:rPr>
          <w:rFonts w:ascii="Times New Roman" w:hAnsi="Times New Roman" w:cs="Times New Roman"/>
          <w:b/>
          <w:bCs/>
          <w:i/>
          <w:iCs/>
          <w:sz w:val="24"/>
          <w:szCs w:val="24"/>
          <w:lang w:val="es-PE"/>
        </w:rPr>
      </w:pPr>
      <w:r w:rsidRPr="00300DDA">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AB80116" w14:textId="77777777" w:rsidR="00A323F4" w:rsidRPr="00300DDA" w:rsidRDefault="00A323F4" w:rsidP="00A323F4">
      <w:pPr>
        <w:spacing w:after="0" w:line="360" w:lineRule="auto"/>
        <w:jc w:val="both"/>
        <w:rPr>
          <w:rFonts w:ascii="Times New Roman" w:hAnsi="Times New Roman" w:cs="Times New Roman"/>
          <w:b/>
          <w:bCs/>
          <w:i/>
          <w:iCs/>
          <w:sz w:val="24"/>
          <w:szCs w:val="24"/>
          <w:lang w:val="es-PE"/>
        </w:rPr>
      </w:pPr>
    </w:p>
    <w:p w14:paraId="220AA7AD" w14:textId="77777777" w:rsidR="007543CD" w:rsidRPr="00300DDA" w:rsidRDefault="007543CD" w:rsidP="007543CD">
      <w:pPr>
        <w:spacing w:after="0" w:line="360" w:lineRule="auto"/>
        <w:jc w:val="center"/>
        <w:rPr>
          <w:rFonts w:ascii="Times New Roman" w:hAnsi="Times New Roman" w:cs="Times New Roman"/>
          <w:b/>
          <w:bCs/>
          <w:sz w:val="24"/>
          <w:szCs w:val="24"/>
          <w:lang w:val="es-PE"/>
        </w:rPr>
      </w:pPr>
      <w:r w:rsidRPr="00300DDA">
        <w:rPr>
          <w:rFonts w:ascii="Times New Roman" w:hAnsi="Times New Roman" w:cs="Times New Roman"/>
          <w:b/>
          <w:bCs/>
          <w:sz w:val="24"/>
          <w:szCs w:val="24"/>
          <w:lang w:val="es-PE"/>
        </w:rPr>
        <w:t xml:space="preserve">Rolando Eyzaguirre </w:t>
      </w:r>
      <w:proofErr w:type="spellStart"/>
      <w:r w:rsidRPr="00300DDA">
        <w:rPr>
          <w:rFonts w:ascii="Times New Roman" w:hAnsi="Times New Roman" w:cs="Times New Roman"/>
          <w:b/>
          <w:bCs/>
          <w:sz w:val="24"/>
          <w:szCs w:val="24"/>
          <w:lang w:val="es-PE"/>
        </w:rPr>
        <w:t>Maccan</w:t>
      </w:r>
      <w:proofErr w:type="spellEnd"/>
      <w:r w:rsidRPr="00300DDA">
        <w:rPr>
          <w:rFonts w:ascii="Times New Roman" w:hAnsi="Times New Roman" w:cs="Times New Roman"/>
          <w:b/>
          <w:bCs/>
          <w:sz w:val="24"/>
          <w:szCs w:val="24"/>
          <w:lang w:val="es-PE"/>
        </w:rPr>
        <w:t xml:space="preserve"> – </w:t>
      </w:r>
      <w:proofErr w:type="gramStart"/>
      <w:r w:rsidRPr="00300DDA">
        <w:rPr>
          <w:rFonts w:ascii="Times New Roman" w:hAnsi="Times New Roman" w:cs="Times New Roman"/>
          <w:b/>
          <w:bCs/>
          <w:sz w:val="24"/>
          <w:szCs w:val="24"/>
          <w:lang w:val="es-PE"/>
        </w:rPr>
        <w:t>Presidente</w:t>
      </w:r>
      <w:proofErr w:type="gramEnd"/>
    </w:p>
    <w:p w14:paraId="0DCF6E18" w14:textId="77777777" w:rsidR="007543CD" w:rsidRPr="00300DDA" w:rsidRDefault="007543CD" w:rsidP="007543CD">
      <w:pPr>
        <w:spacing w:after="0" w:line="360" w:lineRule="auto"/>
        <w:jc w:val="center"/>
        <w:rPr>
          <w:rFonts w:ascii="Times New Roman" w:hAnsi="Times New Roman" w:cs="Times New Roman"/>
          <w:b/>
          <w:bCs/>
          <w:sz w:val="24"/>
          <w:szCs w:val="24"/>
          <w:lang w:val="es-PE"/>
        </w:rPr>
      </w:pPr>
      <w:r w:rsidRPr="00300DDA">
        <w:rPr>
          <w:rFonts w:ascii="Times New Roman" w:hAnsi="Times New Roman" w:cs="Times New Roman"/>
          <w:b/>
          <w:bCs/>
          <w:sz w:val="24"/>
          <w:szCs w:val="24"/>
          <w:lang w:val="es-PE"/>
        </w:rPr>
        <w:t>María Eugenia Valdez Fernández Baca – Vocal</w:t>
      </w:r>
    </w:p>
    <w:p w14:paraId="69BF44D1" w14:textId="77777777" w:rsidR="007543CD" w:rsidRPr="00300DDA" w:rsidRDefault="007543CD" w:rsidP="007543CD">
      <w:pPr>
        <w:spacing w:after="0" w:line="360" w:lineRule="auto"/>
        <w:jc w:val="center"/>
        <w:rPr>
          <w:rFonts w:ascii="Times New Roman" w:hAnsi="Times New Roman" w:cs="Times New Roman"/>
          <w:b/>
          <w:bCs/>
          <w:sz w:val="24"/>
          <w:szCs w:val="24"/>
          <w:lang w:val="es-PE"/>
        </w:rPr>
      </w:pPr>
      <w:r w:rsidRPr="00300DDA">
        <w:rPr>
          <w:rFonts w:ascii="Times New Roman" w:hAnsi="Times New Roman" w:cs="Times New Roman"/>
          <w:b/>
          <w:bCs/>
          <w:sz w:val="24"/>
          <w:szCs w:val="24"/>
          <w:lang w:val="es-PE"/>
        </w:rPr>
        <w:t>Omar Alfaro Villanueva – Vocal</w:t>
      </w:r>
    </w:p>
    <w:p w14:paraId="69BFE54F" w14:textId="77777777" w:rsidR="007543CD" w:rsidRPr="00300DDA" w:rsidRDefault="007543CD" w:rsidP="007543CD">
      <w:pPr>
        <w:spacing w:after="0" w:line="360" w:lineRule="auto"/>
        <w:jc w:val="center"/>
        <w:rPr>
          <w:rFonts w:ascii="Times New Roman" w:hAnsi="Times New Roman" w:cs="Times New Roman"/>
          <w:sz w:val="24"/>
          <w:szCs w:val="24"/>
          <w:lang w:val="es-PE"/>
        </w:rPr>
      </w:pPr>
      <w:r w:rsidRPr="00300DDA">
        <w:rPr>
          <w:rFonts w:ascii="Times New Roman" w:hAnsi="Times New Roman" w:cs="Times New Roman"/>
          <w:b/>
          <w:bCs/>
          <w:sz w:val="24"/>
          <w:szCs w:val="24"/>
          <w:lang w:val="es-PE"/>
        </w:rPr>
        <w:t>Gonzalo Abad del Busto – Vocal</w:t>
      </w:r>
    </w:p>
    <w:p w14:paraId="412CCBAA" w14:textId="77777777" w:rsidR="00986F0C" w:rsidRPr="00FA1290"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FA1290"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FA1290"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FA1290"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29673E" w:rsidRDefault="00C671F5" w:rsidP="00C671F5">
      <w:pPr>
        <w:spacing w:line="240" w:lineRule="auto"/>
        <w:rPr>
          <w:rFonts w:ascii="Times New Roman" w:eastAsia="Arial Unicode MS" w:hAnsi="Times New Roman" w:cs="Times New Roman"/>
          <w:sz w:val="23"/>
          <w:szCs w:val="23"/>
          <w:lang w:val="es-ES" w:eastAsia="ar-SA"/>
        </w:rPr>
      </w:pPr>
    </w:p>
    <w:sectPr w:rsidR="00C671F5" w:rsidRPr="0029673E" w:rsidSect="00077B6F">
      <w:headerReference w:type="default" r:id="rId10"/>
      <w:footerReference w:type="default" r:id="rId11"/>
      <w:headerReference w:type="first" r:id="rId14"/>
      <w:footerReference w:type="first" r:id="rId15"/>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08506" w14:textId="77777777" w:rsidR="0088680C" w:rsidRDefault="0088680C" w:rsidP="00784355">
      <w:pPr>
        <w:spacing w:after="0" w:line="240" w:lineRule="auto"/>
      </w:pPr>
      <w:r>
        <w:separator/>
      </w:r>
    </w:p>
  </w:endnote>
  <w:endnote w:type="continuationSeparator" w:id="0">
    <w:p w14:paraId="18AF529C" w14:textId="77777777" w:rsidR="0088680C" w:rsidRDefault="0088680C"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74E61" w14:textId="77777777" w:rsidR="0088680C" w:rsidRDefault="0088680C" w:rsidP="00784355">
      <w:pPr>
        <w:spacing w:after="0" w:line="240" w:lineRule="auto"/>
      </w:pPr>
      <w:r>
        <w:separator/>
      </w:r>
    </w:p>
  </w:footnote>
  <w:footnote w:type="continuationSeparator" w:id="0">
    <w:p w14:paraId="4E06476B" w14:textId="77777777" w:rsidR="0088680C" w:rsidRDefault="0088680C"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1"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3"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18"/>
  </w:num>
  <w:num w:numId="3" w16cid:durableId="333261791">
    <w:abstractNumId w:val="16"/>
  </w:num>
  <w:num w:numId="4" w16cid:durableId="1770345525">
    <w:abstractNumId w:val="15"/>
  </w:num>
  <w:num w:numId="5" w16cid:durableId="1816144979">
    <w:abstractNumId w:val="17"/>
  </w:num>
  <w:num w:numId="6" w16cid:durableId="1304313350">
    <w:abstractNumId w:val="0"/>
  </w:num>
  <w:num w:numId="7" w16cid:durableId="166828809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0"/>
  </w:num>
  <w:num w:numId="17" w16cid:durableId="17998823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12AD"/>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9385F"/>
    <w:rsid w:val="00196365"/>
    <w:rsid w:val="001A008A"/>
    <w:rsid w:val="001A3395"/>
    <w:rsid w:val="001A43EC"/>
    <w:rsid w:val="001A44E1"/>
    <w:rsid w:val="001A555F"/>
    <w:rsid w:val="001B1E59"/>
    <w:rsid w:val="001B3EE9"/>
    <w:rsid w:val="001B58A3"/>
    <w:rsid w:val="001C052B"/>
    <w:rsid w:val="001C3A70"/>
    <w:rsid w:val="001D0EED"/>
    <w:rsid w:val="001D59D9"/>
    <w:rsid w:val="001D6136"/>
    <w:rsid w:val="001E119C"/>
    <w:rsid w:val="001E6657"/>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9673E"/>
    <w:rsid w:val="002A31D3"/>
    <w:rsid w:val="002A3D36"/>
    <w:rsid w:val="002A7E2E"/>
    <w:rsid w:val="002B726E"/>
    <w:rsid w:val="002C2A0F"/>
    <w:rsid w:val="002D0DB0"/>
    <w:rsid w:val="002D3B01"/>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0898"/>
    <w:rsid w:val="00495D9A"/>
    <w:rsid w:val="00496A1A"/>
    <w:rsid w:val="004A183E"/>
    <w:rsid w:val="004A3E25"/>
    <w:rsid w:val="004A41F6"/>
    <w:rsid w:val="004A718F"/>
    <w:rsid w:val="004B155C"/>
    <w:rsid w:val="004B27E2"/>
    <w:rsid w:val="004B51ED"/>
    <w:rsid w:val="004C1C34"/>
    <w:rsid w:val="004C34ED"/>
    <w:rsid w:val="004C51EC"/>
    <w:rsid w:val="004C5A91"/>
    <w:rsid w:val="004D05F2"/>
    <w:rsid w:val="004E65DD"/>
    <w:rsid w:val="004F0319"/>
    <w:rsid w:val="004F549E"/>
    <w:rsid w:val="00504C79"/>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43E9"/>
    <w:rsid w:val="00605902"/>
    <w:rsid w:val="00606105"/>
    <w:rsid w:val="00613A39"/>
    <w:rsid w:val="00622ABC"/>
    <w:rsid w:val="00623204"/>
    <w:rsid w:val="00624034"/>
    <w:rsid w:val="00631C06"/>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4447"/>
    <w:rsid w:val="007543CD"/>
    <w:rsid w:val="00761F1D"/>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2721"/>
    <w:rsid w:val="007B3958"/>
    <w:rsid w:val="007C14D0"/>
    <w:rsid w:val="007C213D"/>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024E8"/>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58C1"/>
    <w:rsid w:val="00A734AD"/>
    <w:rsid w:val="00A770E4"/>
    <w:rsid w:val="00A77C09"/>
    <w:rsid w:val="00A837A0"/>
    <w:rsid w:val="00A90926"/>
    <w:rsid w:val="00A91E44"/>
    <w:rsid w:val="00A94273"/>
    <w:rsid w:val="00A96279"/>
    <w:rsid w:val="00A97287"/>
    <w:rsid w:val="00AA18F9"/>
    <w:rsid w:val="00AA2DED"/>
    <w:rsid w:val="00AA7CBD"/>
    <w:rsid w:val="00AB1C66"/>
    <w:rsid w:val="00AB7BFE"/>
    <w:rsid w:val="00AC4C86"/>
    <w:rsid w:val="00AC4CF3"/>
    <w:rsid w:val="00AC5A9E"/>
    <w:rsid w:val="00AD1FEC"/>
    <w:rsid w:val="00AD2DF1"/>
    <w:rsid w:val="00AE3EA8"/>
    <w:rsid w:val="00AE4125"/>
    <w:rsid w:val="00AE58A1"/>
    <w:rsid w:val="00AE6BD5"/>
    <w:rsid w:val="00AF1C99"/>
    <w:rsid w:val="00AF5E87"/>
    <w:rsid w:val="00B00552"/>
    <w:rsid w:val="00B02BEE"/>
    <w:rsid w:val="00B11C1C"/>
    <w:rsid w:val="00B12E7A"/>
    <w:rsid w:val="00B13613"/>
    <w:rsid w:val="00B17BD8"/>
    <w:rsid w:val="00B17E56"/>
    <w:rsid w:val="00B30B53"/>
    <w:rsid w:val="00B313E9"/>
    <w:rsid w:val="00B32325"/>
    <w:rsid w:val="00B340A4"/>
    <w:rsid w:val="00B340D4"/>
    <w:rsid w:val="00B355EC"/>
    <w:rsid w:val="00B448A4"/>
    <w:rsid w:val="00B45C2D"/>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2152"/>
    <w:rsid w:val="00BB2BE0"/>
    <w:rsid w:val="00BB405B"/>
    <w:rsid w:val="00BB4B19"/>
    <w:rsid w:val="00BC29D0"/>
    <w:rsid w:val="00BD33F4"/>
    <w:rsid w:val="00BD797F"/>
    <w:rsid w:val="00BE1470"/>
    <w:rsid w:val="00BE695C"/>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28DE"/>
    <w:rsid w:val="00D22DC3"/>
    <w:rsid w:val="00D25683"/>
    <w:rsid w:val="00D27042"/>
    <w:rsid w:val="00D3103B"/>
    <w:rsid w:val="00D322D9"/>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A0540"/>
    <w:rsid w:val="00DA2840"/>
    <w:rsid w:val="00DA4030"/>
    <w:rsid w:val="00DB15FD"/>
    <w:rsid w:val="00DB3DD5"/>
    <w:rsid w:val="00DB5079"/>
    <w:rsid w:val="00DB58EC"/>
    <w:rsid w:val="00DB7347"/>
    <w:rsid w:val="00DB74D5"/>
    <w:rsid w:val="00DC399B"/>
    <w:rsid w:val="00DD0F92"/>
    <w:rsid w:val="00DD5E2B"/>
    <w:rsid w:val="00DE585A"/>
    <w:rsid w:val="00DF0424"/>
    <w:rsid w:val="00DF3781"/>
    <w:rsid w:val="00DF6E69"/>
    <w:rsid w:val="00E107CA"/>
    <w:rsid w:val="00E109E4"/>
    <w:rsid w:val="00E1216B"/>
    <w:rsid w:val="00E1477F"/>
    <w:rsid w:val="00E16C63"/>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C19C1"/>
    <w:rsid w:val="00EC283A"/>
    <w:rsid w:val="00EC3551"/>
    <w:rsid w:val="00EC7271"/>
    <w:rsid w:val="00ED2086"/>
    <w:rsid w:val="00ED38AF"/>
    <w:rsid w:val="00ED60A1"/>
    <w:rsid w:val="00ED6123"/>
    <w:rsid w:val="00EE1C4A"/>
    <w:rsid w:val="00EE2F04"/>
    <w:rsid w:val="00EE3E0F"/>
    <w:rsid w:val="00EE6D21"/>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F97"/>
    <w:rsid w:val="00F439B5"/>
    <w:rsid w:val="00F52E75"/>
    <w:rsid w:val="00F54C75"/>
    <w:rsid w:val="00F57DED"/>
    <w:rsid w:val="00F60A18"/>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290"/>
    <w:rsid w:val="00FA155E"/>
    <w:rsid w:val="00FA2322"/>
    <w:rsid w:val="00FA31B9"/>
    <w:rsid w:val="00FB297F"/>
    <w:rsid w:val="00FB4B0C"/>
    <w:rsid w:val="00FC0D10"/>
    <w:rsid w:val="00FC1934"/>
    <w:rsid w:val="00FE38F0"/>
    <w:rsid w:val="00FE43A9"/>
    <w:rsid w:val="00FE6588"/>
    <w:rsid w:val="00FE73F3"/>
    <w:rsid w:val="00FF3F82"/>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C35AB772-2C60-4109-87CB-8249588952FD}"/>
</file>

<file path=customXml/itemProps3.xml><?xml version="1.0" encoding="utf-8"?>
<ds:datastoreItem xmlns:ds="http://schemas.openxmlformats.org/officeDocument/2006/customXml" ds:itemID="{E9B6FC6F-8BC0-4969-A700-E90D9CE1A228}"/>
</file>

<file path=customXml/itemProps4.xml><?xml version="1.0" encoding="utf-8"?>
<ds:datastoreItem xmlns:ds="http://schemas.openxmlformats.org/officeDocument/2006/customXml" ds:itemID="{B7682DEC-AD22-4CE3-8112-72174183C101}"/>
</file>

<file path=docProps/app.xml><?xml version="1.0" encoding="utf-8"?>
<Properties xmlns="http://schemas.openxmlformats.org/officeDocument/2006/extended-properties" xmlns:vt="http://schemas.openxmlformats.org/officeDocument/2006/docPropsVTypes">
  <Template>Normal</Template>
  <TotalTime>173</TotalTime>
  <Pages>4</Pages>
  <Words>1370</Words>
  <Characters>7540</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229</cp:revision>
  <cp:lastPrinted>2023-12-14T15:00:00Z</cp:lastPrinted>
  <dcterms:created xsi:type="dcterms:W3CDTF">2023-02-14T22:37:00Z</dcterms:created>
  <dcterms:modified xsi:type="dcterms:W3CDTF">2023-12-14T15:01:00Z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