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1B47E0D5" w:rsidR="00707C99" w:rsidRPr="00300DDA" w:rsidRDefault="00201C0D" w:rsidP="00272F4F">
      <w:pPr>
        <w:spacing w:after="0" w:line="240" w:lineRule="auto"/>
        <w:jc w:val="center"/>
        <w:rPr>
          <w:rFonts w:ascii="Times New Roman" w:hAnsi="Times New Roman" w:cs="Times New Roman"/>
          <w:b/>
          <w:sz w:val="24"/>
          <w:szCs w:val="24"/>
          <w:lang w:val="es-PE" w:eastAsia="ar-SA"/>
        </w:rPr>
      </w:pPr>
      <w:r w:rsidRPr="00300DDA">
        <w:rPr>
          <w:rFonts w:ascii="Times New Roman" w:hAnsi="Times New Roman" w:cs="Times New Roman"/>
          <w:b/>
          <w:sz w:val="24"/>
          <w:szCs w:val="24"/>
          <w:lang w:val="es-PE" w:eastAsia="ar-SA"/>
        </w:rPr>
        <w:t xml:space="preserve">RESOLUCIÓN DE RECURSO IMPUGNATIVO </w:t>
      </w:r>
      <w:proofErr w:type="spellStart"/>
      <w:r w:rsidR="00707C99" w:rsidRPr="00300DDA">
        <w:rPr>
          <w:rFonts w:ascii="Times New Roman" w:hAnsi="Times New Roman" w:cs="Times New Roman"/>
          <w:b/>
          <w:sz w:val="24"/>
          <w:szCs w:val="24"/>
          <w:lang w:val="es-PE" w:eastAsia="ar-SA"/>
        </w:rPr>
        <w:t>N°</w:t>
      </w:r>
      <w:proofErr w:type="spellEnd"/>
      <w:r w:rsidR="00707C99" w:rsidRPr="00300DDA">
        <w:rPr>
          <w:rFonts w:ascii="Times New Roman" w:hAnsi="Times New Roman" w:cs="Times New Roman"/>
          <w:b/>
          <w:sz w:val="24"/>
          <w:szCs w:val="24"/>
          <w:lang w:val="es-PE" w:eastAsia="ar-SA"/>
        </w:rPr>
        <w:t xml:space="preserve"> </w:t>
      </w:r>
      <w:r w:rsidR="00516293" w:rsidRPr="00300DDA">
        <w:rPr>
          <w:rFonts w:ascii="Times New Roman" w:hAnsi="Times New Roman" w:cs="Times New Roman"/>
          <w:b/>
          <w:sz w:val="24"/>
          <w:szCs w:val="24"/>
          <w:lang w:val="es-PE" w:eastAsia="ar-SA"/>
        </w:rPr>
        <w:t>0</w:t>
      </w:r>
      <w:r w:rsidR="005225EF" w:rsidRPr="00300DDA">
        <w:rPr>
          <w:rFonts w:ascii="Times New Roman" w:hAnsi="Times New Roman" w:cs="Times New Roman"/>
          <w:b/>
          <w:sz w:val="24"/>
          <w:szCs w:val="24"/>
          <w:lang w:val="es-PE" w:eastAsia="ar-SA"/>
        </w:rPr>
        <w:t>6</w:t>
      </w:r>
      <w:r w:rsidR="0064374C">
        <w:rPr>
          <w:rFonts w:ascii="Times New Roman" w:hAnsi="Times New Roman" w:cs="Times New Roman"/>
          <w:b/>
          <w:sz w:val="24"/>
          <w:szCs w:val="24"/>
          <w:lang w:val="es-PE" w:eastAsia="ar-SA"/>
        </w:rPr>
        <w:t>9</w:t>
      </w:r>
      <w:r w:rsidR="00C671F5" w:rsidRPr="00300DDA">
        <w:rPr>
          <w:rFonts w:ascii="Times New Roman" w:hAnsi="Times New Roman" w:cs="Times New Roman"/>
          <w:b/>
          <w:sz w:val="24"/>
          <w:szCs w:val="24"/>
          <w:lang w:val="es-PE" w:eastAsia="ar-SA"/>
        </w:rPr>
        <w:t>/2</w:t>
      </w:r>
      <w:r w:rsidR="00AB7BFE" w:rsidRPr="00300DDA">
        <w:rPr>
          <w:rFonts w:ascii="Times New Roman" w:hAnsi="Times New Roman" w:cs="Times New Roman"/>
          <w:b/>
          <w:sz w:val="24"/>
          <w:szCs w:val="24"/>
          <w:lang w:val="es-PE" w:eastAsia="ar-SA"/>
        </w:rPr>
        <w:t>3</w:t>
      </w:r>
    </w:p>
    <w:p w14:paraId="74F6CE19" w14:textId="77777777" w:rsidR="00F7567C" w:rsidRPr="00300DDA" w:rsidRDefault="00F7567C" w:rsidP="00BE695C">
      <w:pPr>
        <w:pStyle w:val="Default"/>
        <w:spacing w:line="240" w:lineRule="auto"/>
        <w:jc w:val="both"/>
        <w:rPr>
          <w:rFonts w:ascii="Times New Roman" w:hAnsi="Times New Roman" w:cs="Times New Roman"/>
          <w:b/>
        </w:rPr>
      </w:pPr>
    </w:p>
    <w:p w14:paraId="4CBB11D1" w14:textId="77777777" w:rsidR="002C6367" w:rsidRPr="002C6367" w:rsidRDefault="002C6367" w:rsidP="002C6367">
      <w:pPr>
        <w:spacing w:after="0" w:line="240" w:lineRule="auto"/>
        <w:jc w:val="both"/>
        <w:rPr>
          <w:rFonts w:ascii="Times New Roman" w:hAnsi="Times New Roman" w:cs="Times New Roman"/>
          <w:sz w:val="24"/>
          <w:szCs w:val="24"/>
          <w:lang w:val="es-PE"/>
        </w:rPr>
      </w:pPr>
      <w:r w:rsidRPr="002C6367">
        <w:rPr>
          <w:rFonts w:ascii="Times New Roman" w:hAnsi="Times New Roman" w:cs="Times New Roman"/>
          <w:b/>
          <w:sz w:val="24"/>
          <w:szCs w:val="24"/>
          <w:lang w:val="es-PE"/>
        </w:rPr>
        <w:t xml:space="preserve">Vistos: </w:t>
      </w:r>
    </w:p>
    <w:p w14:paraId="3FA75C23" w14:textId="77777777" w:rsidR="002C6367" w:rsidRPr="002C6367" w:rsidRDefault="002C6367" w:rsidP="002C6367">
      <w:pPr>
        <w:spacing w:after="0" w:line="240" w:lineRule="auto"/>
        <w:jc w:val="both"/>
        <w:rPr>
          <w:rFonts w:ascii="Times New Roman" w:hAnsi="Times New Roman" w:cs="Times New Roman"/>
          <w:sz w:val="24"/>
          <w:szCs w:val="24"/>
          <w:lang w:val="es-PE"/>
        </w:rPr>
      </w:pPr>
    </w:p>
    <w:p w14:paraId="1286830F" w14:textId="77777777" w:rsidR="002C6367" w:rsidRPr="002C6367" w:rsidRDefault="002C6367" w:rsidP="002C6367">
      <w:pPr>
        <w:spacing w:line="240" w:lineRule="auto"/>
        <w:jc w:val="both"/>
        <w:rPr>
          <w:rFonts w:ascii="Times New Roman" w:hAnsi="Times New Roman" w:cs="Times New Roman"/>
          <w:sz w:val="24"/>
          <w:szCs w:val="24"/>
          <w:lang w:val="es-PE"/>
        </w:rPr>
      </w:pPr>
      <w:r>
        <w:rPr>
          <w:rFonts w:ascii="Times New Roman" w:hAnsi="Times New Roman"/>
          <w:sz w:val="24"/>
        </w:rPr>
        <w:t xml:space="preserve">El Recurso Impugnativo presentado el 15 de noviembre de 2023 por …………………, respecto de la Resolución N° 214/23 de fecha 13 de noviembre de 2023 emitida por esta Defensoría del Asegurado (DEFASEG) que declaró INFUNDADA la reclamación interpuesta, sobre otorgamiento de cobertura al siniestro ocurrido bajo la Póliza de Seguro de Vehículos contratada</w:t>
      </w:r>
    </w:p>
    <w:p w14:paraId="4D5E8FD8" w14:textId="77777777" w:rsidR="002C6367" w:rsidRPr="002C6367" w:rsidRDefault="002C6367" w:rsidP="002C6367">
      <w:pPr>
        <w:spacing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Que, el único argumento que se usa para sustentar el rechazo del siniestro es que se incurrió en una negligencia. El concepto de negligencia es subjetivo y deja a criterio de la aseguradora la posibilidad de rechazar el 100% de los siniestros, pues en todos se pudo haber tenido una mayor diligencia, cuidado o atención. La póliza N° ………………… en ninguna parte el alcance que puede tener la exclusión por negligencia. 2) Que, la DEFASEG se debe preguntar si el espíritu de la póliza es no cubrir un siniestro de robo total por olvido de llaves dentro del vehículo a pesar de que el artículo donde se detalla esta cobertura menciona la posibilidad de que las llaves se hayan dejado dentro del vehículo. La cobertura de llaves está especificada en el artículo donde se detallan las coberturas en caso de robo o hurto total. 3) Que, es imposible justificar que la cobertura de robo o hurto total contemple cubrir las llaves si estas se encontraban dentro del vehículo, pero no cubrir el robo o hurto de todo el vehículo; es decir, ¿no se considera negligencia cuando se trata de dar cobertura a las llaves, pero si cuando se trata de cubrir el robo total? 4) Que, lo mismo sucede con el argumento de la Cláusula de Auxilio Mecánico, que incluye la posibilidad del olvido de las llaves dentro del vehículo. Aquí no está en discusión el alcance de esta cobertura, sino que la póliza contempla la posibilidad de que se de un olvido de las llaves sin que se considere esto una negligencia. La DEFASEG en su resolución se limita a explicar el alcance de esta cobertura lo que nada tiene que ver con el argumento presentado.</w:t>
      </w:r>
    </w:p>
    <w:p w14:paraId="3FC1308E" w14:textId="77777777" w:rsidR="002C6367" w:rsidRPr="002C6367" w:rsidRDefault="002C6367" w:rsidP="002C6367">
      <w:pPr>
        <w:spacing w:line="240" w:lineRule="auto"/>
        <w:jc w:val="both"/>
        <w:rPr>
          <w:rFonts w:ascii="Times New Roman" w:hAnsi="Times New Roman" w:cs="Times New Roman"/>
          <w:sz w:val="24"/>
          <w:szCs w:val="24"/>
          <w:lang w:val="es-PE"/>
        </w:rPr>
      </w:pPr>
      <w:r>
        <w:rPr>
          <w:rFonts w:ascii="Times New Roman" w:hAnsi="Times New Roman"/>
          <w:sz w:val="24"/>
        </w:rPr>
        <w:t xml:space="preserve">Que, habiéndose corrido traslado a ………………… del referido Recurso impugnatorio, la aseguradora presentó su contestación al mismo, indicando lo siguiente: 1) Que, en relación a que la Negligencia no estaría definida en la póliza, cabe señalar que, además de la definición mencionada en la Resolución recurrida, la póliza contratada define este concepto, pues en su página 18 en el glosario de términos de la Condiciones Generales, señala lo siguiente:</w:t>
      </w:r>
    </w:p>
    <w:p w14:paraId="71707E51"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“Culpa inexcusable: Incurre en culpa inexcusable quien por negligencia grave no ejecuta una obligación a su cargo”</w:t>
      </w:r>
    </w:p>
    <w:p w14:paraId="03AAD540"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2) Que, la DEFASEG ha establecido en múltiples pronunciamientos que la exclusión por negligencia definida en la póliza excluye no el 100% de los siniestros, sino aquellos que por negligencia en la que incurre es grave o inexcusable como en el presente caso. 3) Que, la cobertura de robo o hurto no señala en ningún sentido el término “olvido de llaves” (y no se debe dejar de lado que la interpretación de la póliza debe ser literal, según la Ley), sino que lo que señala es que la cobertura de robo o hurto cubre no solo el valor del vehículo sino también el valor de la llave o el dispositivo que se encuentre en el interior, ese es el espíritu de la póliza. 4) Que, la Cláusula de Auxilio Mecánico cubre los gastos provenientes de los siguientes servicios al vehículo asegurado:</w:t>
      </w:r>
    </w:p>
    <w:p w14:paraId="4BC3BA69"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 Batería descargada</w:t>
      </w:r>
    </w:p>
    <w:p w14:paraId="2ED336E5"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lastRenderedPageBreak/>
        <w:t>- Falla mecánica</w:t>
      </w:r>
    </w:p>
    <w:p w14:paraId="77EDC67B"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 Falla eléctrica</w:t>
      </w:r>
    </w:p>
    <w:p w14:paraId="77E44DF9"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  Cambio de llantas</w:t>
      </w:r>
    </w:p>
    <w:p w14:paraId="0C903BE0" w14:textId="77777777" w:rsidR="002C6367" w:rsidRPr="002C6367" w:rsidRDefault="002C6367" w:rsidP="002C6367">
      <w:pPr>
        <w:spacing w:line="240" w:lineRule="auto"/>
        <w:jc w:val="both"/>
        <w:rPr>
          <w:rFonts w:ascii="Times New Roman" w:hAnsi="Times New Roman" w:cs="Times New Roman"/>
          <w:b/>
          <w:bCs/>
          <w:sz w:val="24"/>
          <w:szCs w:val="24"/>
          <w:lang w:val="es-PE"/>
        </w:rPr>
      </w:pPr>
      <w:r w:rsidRPr="002C6367">
        <w:rPr>
          <w:rFonts w:ascii="Times New Roman" w:hAnsi="Times New Roman" w:cs="Times New Roman"/>
          <w:sz w:val="24"/>
          <w:szCs w:val="24"/>
          <w:lang w:val="es-PE"/>
        </w:rPr>
        <w:t xml:space="preserve">- </w:t>
      </w:r>
      <w:r w:rsidRPr="002C6367">
        <w:rPr>
          <w:rFonts w:ascii="Times New Roman" w:hAnsi="Times New Roman" w:cs="Times New Roman"/>
          <w:b/>
          <w:bCs/>
          <w:sz w:val="24"/>
          <w:szCs w:val="24"/>
          <w:lang w:val="es-PE"/>
        </w:rPr>
        <w:t>Olvido de llaves dentro del vehículo</w:t>
      </w:r>
    </w:p>
    <w:p w14:paraId="1455C1F1" w14:textId="77777777" w:rsidR="002C6367" w:rsidRPr="002C6367" w:rsidRDefault="002C6367" w:rsidP="002C6367">
      <w:pPr>
        <w:spacing w:line="240" w:lineRule="auto"/>
        <w:jc w:val="both"/>
        <w:rPr>
          <w:rFonts w:ascii="Times New Roman" w:hAnsi="Times New Roman" w:cs="Times New Roman"/>
          <w:sz w:val="24"/>
          <w:szCs w:val="24"/>
          <w:lang w:val="es-PE"/>
        </w:rPr>
      </w:pPr>
      <w:r>
        <w:rPr>
          <w:rFonts w:ascii="Times New Roman" w:hAnsi="Times New Roman"/>
          <w:sz w:val="24"/>
        </w:rPr>
        <w:t xml:space="preserve">Que, esta cláusula está destinada como se lee literalmente, A ………………… ………………… Y ………………….</w:t>
      </w:r>
    </w:p>
    <w:p w14:paraId="38FDEB8E"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 xml:space="preserve"> En consecuencia y atendiendo a lo expuesto, esta Defensoría resuelve finalmente lo siguiente:</w:t>
      </w:r>
    </w:p>
    <w:p w14:paraId="0042787D" w14:textId="77777777" w:rsidR="002C6367" w:rsidRPr="002C6367" w:rsidRDefault="002C6367" w:rsidP="002C636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Que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Impugnativo. Conforme a ello, en el caso concreto …………………,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1114F4FB"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b/>
          <w:sz w:val="24"/>
          <w:szCs w:val="24"/>
          <w:lang w:val="es-PE"/>
        </w:rPr>
        <w:t>SEGUNDO:</w:t>
      </w:r>
      <w:r w:rsidRPr="002C6367">
        <w:rPr>
          <w:rFonts w:ascii="Times New Roman" w:hAnsi="Times New Roman" w:cs="Times New Roman"/>
          <w:sz w:val="24"/>
          <w:szCs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14:paraId="6C07030B"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Que, sin perjuicio de lo anterior, esta Defensoría considera oportuno mencionar nuevamente lo siguiente:</w:t>
      </w:r>
    </w:p>
    <w:p w14:paraId="640CBE9A" w14:textId="77777777" w:rsidR="002C6367" w:rsidRPr="002C6367" w:rsidRDefault="002C6367" w:rsidP="002C6367">
      <w:pPr>
        <w:pStyle w:val="Prrafodelista"/>
        <w:numPr>
          <w:ilvl w:val="0"/>
          <w:numId w:val="23"/>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la definición de Negligencia no está solamente en el diccionario de ………………… sino también en la página 18 en el glosario de términos de la Condiciones Generales, señala lo siguiente:</w:t>
      </w:r>
    </w:p>
    <w:p w14:paraId="57F904DE"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“Culpa inexcusable: Incurre en culpa inexcusable quien por negligencia grave no ejecuta una obligación a su cargo”</w:t>
      </w:r>
    </w:p>
    <w:p w14:paraId="073C9A35" w14:textId="77777777" w:rsidR="002C6367" w:rsidRPr="002C6367" w:rsidRDefault="002C6367" w:rsidP="002C6367">
      <w:pPr>
        <w:pStyle w:val="Prrafodelista"/>
        <w:numPr>
          <w:ilvl w:val="0"/>
          <w:numId w:val="23"/>
        </w:numPr>
        <w:spacing w:after="200"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Que, la cobertura de robo o hurto no señala en ningún sentido el término “olvido de llaves” (y no se debe dejar de lado que la interpretación de la póliza debe ser literal, según la Ley). Que, la cobertura de las llaves solo ampara el valor económico de las mismas que tiene un límite por evento por vigencia anual.</w:t>
      </w:r>
    </w:p>
    <w:p w14:paraId="3AF4A9C3" w14:textId="77777777" w:rsidR="002C6367" w:rsidRPr="002C6367" w:rsidRDefault="002C6367" w:rsidP="002C6367">
      <w:pPr>
        <w:pStyle w:val="Prrafodelista"/>
        <w:numPr>
          <w:ilvl w:val="0"/>
          <w:numId w:val="23"/>
        </w:numPr>
        <w:spacing w:after="200"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t>Que, la Cláusula de Auxilio Mecánico, ampara el “olvido de las llaves dentro del vehículo” cubriendo los gastos provenientes de los servicios al vehículo y se refiere a los gastos de apertura de puerta del auto y servicio de cerrajería vehicular.</w:t>
      </w:r>
    </w:p>
    <w:p w14:paraId="572174C1" w14:textId="77777777" w:rsidR="002C6367" w:rsidRPr="002C6367" w:rsidRDefault="002C6367" w:rsidP="002C6367">
      <w:pPr>
        <w:spacing w:line="240" w:lineRule="auto"/>
        <w:jc w:val="both"/>
        <w:rPr>
          <w:rFonts w:ascii="Times New Roman" w:hAnsi="Times New Roman" w:cs="Times New Roman"/>
          <w:sz w:val="24"/>
          <w:szCs w:val="24"/>
          <w:lang w:val="es-PE"/>
        </w:rPr>
      </w:pPr>
      <w:r w:rsidRPr="002C6367">
        <w:rPr>
          <w:rFonts w:ascii="Times New Roman" w:hAnsi="Times New Roman" w:cs="Times New Roman"/>
          <w:sz w:val="24"/>
          <w:szCs w:val="24"/>
          <w:lang w:val="es-PE"/>
        </w:rPr>
        <w:lastRenderedPageBreak/>
        <w:t>Que, en atención a las consideraciones precedentes, este colegiado no aprecia mérito ni razón objetiva para revocar la resolución recurrida y, por lo tanto.</w:t>
      </w:r>
    </w:p>
    <w:p w14:paraId="398904ED" w14:textId="77777777" w:rsidR="002C6367" w:rsidRPr="002C6367" w:rsidRDefault="002C6367" w:rsidP="002C6367">
      <w:pPr>
        <w:spacing w:line="240" w:lineRule="auto"/>
        <w:jc w:val="both"/>
        <w:rPr>
          <w:rFonts w:ascii="Times New Roman" w:hAnsi="Times New Roman" w:cs="Times New Roman"/>
          <w:b/>
          <w:sz w:val="24"/>
          <w:szCs w:val="24"/>
          <w:lang w:val="es-PE"/>
        </w:rPr>
      </w:pPr>
      <w:r w:rsidRPr="002C6367">
        <w:rPr>
          <w:rFonts w:ascii="Times New Roman" w:hAnsi="Times New Roman" w:cs="Times New Roman"/>
          <w:b/>
          <w:sz w:val="24"/>
          <w:szCs w:val="24"/>
          <w:lang w:val="es-PE"/>
        </w:rPr>
        <w:t xml:space="preserve">RESUELVE: </w:t>
      </w:r>
    </w:p>
    <w:p w14:paraId="588ED8C1" w14:textId="77777777" w:rsidR="002C6367" w:rsidRPr="002C6367" w:rsidRDefault="002C6367" w:rsidP="002C6367">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Impugnativo interpuesto y, por consiguiente, ratificar la Resolución N° 214/23 que declaró INFUNDADA la reclamación interpuesta contra …………………, dejando a salvo el derecho de la reclamante de acudir a otras instancias que considere pertinentes.</w:t>
      </w:r>
    </w:p>
    <w:p w14:paraId="06345190" w14:textId="77777777" w:rsidR="00FA1290" w:rsidRPr="00300DDA" w:rsidRDefault="00FA1290" w:rsidP="00FA1290">
      <w:pPr>
        <w:spacing w:line="240" w:lineRule="auto"/>
        <w:jc w:val="both"/>
        <w:rPr>
          <w:rFonts w:ascii="Times New Roman" w:eastAsia="Times New Roman" w:hAnsi="Times New Roman" w:cs="Times New Roman"/>
          <w:sz w:val="24"/>
          <w:szCs w:val="24"/>
          <w:lang w:val="es-PE" w:eastAsia="ar-SA"/>
        </w:rPr>
      </w:pPr>
    </w:p>
    <w:p w14:paraId="000A434B" w14:textId="3CA644B3" w:rsidR="008B6A09" w:rsidRPr="00300DDA" w:rsidRDefault="0091528B" w:rsidP="008B6A09">
      <w:pPr>
        <w:spacing w:line="240" w:lineRule="auto"/>
        <w:jc w:val="right"/>
        <w:rPr>
          <w:rFonts w:ascii="Times New Roman" w:hAnsi="Times New Roman" w:cs="Times New Roman"/>
          <w:sz w:val="24"/>
          <w:szCs w:val="24"/>
          <w:lang w:val="es-PE"/>
        </w:rPr>
      </w:pPr>
      <w:r w:rsidRPr="00300DDA">
        <w:rPr>
          <w:rFonts w:ascii="Times New Roman" w:eastAsia="Arial Unicode MS" w:hAnsi="Times New Roman" w:cs="Times New Roman"/>
          <w:sz w:val="24"/>
          <w:szCs w:val="24"/>
          <w:lang w:val="es-PE" w:eastAsia="ar-SA"/>
        </w:rPr>
        <w:t xml:space="preserve">Lima, </w:t>
      </w:r>
      <w:r w:rsidR="00A96279" w:rsidRPr="00300DDA">
        <w:rPr>
          <w:rFonts w:ascii="Times New Roman" w:eastAsia="Arial Unicode MS" w:hAnsi="Times New Roman" w:cs="Times New Roman"/>
          <w:sz w:val="24"/>
          <w:szCs w:val="24"/>
          <w:lang w:val="es-PE" w:eastAsia="ar-SA"/>
        </w:rPr>
        <w:t>1</w:t>
      </w:r>
      <w:r w:rsidR="00095105" w:rsidRPr="00300DDA">
        <w:rPr>
          <w:rFonts w:ascii="Times New Roman" w:eastAsia="Arial Unicode MS" w:hAnsi="Times New Roman" w:cs="Times New Roman"/>
          <w:sz w:val="24"/>
          <w:szCs w:val="24"/>
          <w:lang w:val="es-PE" w:eastAsia="ar-SA"/>
        </w:rPr>
        <w:t>4</w:t>
      </w:r>
      <w:r w:rsidR="00570ED6" w:rsidRPr="00300DDA">
        <w:rPr>
          <w:rFonts w:ascii="Times New Roman" w:eastAsia="Arial Unicode MS" w:hAnsi="Times New Roman" w:cs="Times New Roman"/>
          <w:sz w:val="24"/>
          <w:szCs w:val="24"/>
          <w:lang w:val="es-PE" w:eastAsia="ar-SA"/>
        </w:rPr>
        <w:t xml:space="preserve"> </w:t>
      </w:r>
      <w:r w:rsidR="00707C99" w:rsidRPr="00300DDA">
        <w:rPr>
          <w:rFonts w:ascii="Times New Roman" w:eastAsia="Arial Unicode MS" w:hAnsi="Times New Roman" w:cs="Times New Roman"/>
          <w:sz w:val="24"/>
          <w:szCs w:val="24"/>
          <w:lang w:val="es-PE" w:eastAsia="ar-SA"/>
        </w:rPr>
        <w:t xml:space="preserve">de </w:t>
      </w:r>
      <w:r w:rsidR="00095105" w:rsidRPr="00300DDA">
        <w:rPr>
          <w:rFonts w:ascii="Times New Roman" w:eastAsia="Arial Unicode MS" w:hAnsi="Times New Roman" w:cs="Times New Roman"/>
          <w:sz w:val="24"/>
          <w:szCs w:val="24"/>
          <w:lang w:val="es-PE" w:eastAsia="ar-SA"/>
        </w:rPr>
        <w:t>diciembre</w:t>
      </w:r>
      <w:r w:rsidR="002F478E" w:rsidRPr="00300DDA">
        <w:rPr>
          <w:rFonts w:ascii="Times New Roman" w:eastAsia="Arial Unicode MS" w:hAnsi="Times New Roman" w:cs="Times New Roman"/>
          <w:sz w:val="24"/>
          <w:szCs w:val="24"/>
          <w:lang w:val="es-PE" w:eastAsia="ar-SA"/>
        </w:rPr>
        <w:t xml:space="preserve"> </w:t>
      </w:r>
      <w:r w:rsidR="00F06498" w:rsidRPr="00300DDA">
        <w:rPr>
          <w:rFonts w:ascii="Times New Roman" w:eastAsia="Arial Unicode MS" w:hAnsi="Times New Roman" w:cs="Times New Roman"/>
          <w:sz w:val="24"/>
          <w:szCs w:val="24"/>
          <w:lang w:val="es-PE" w:eastAsia="ar-SA"/>
        </w:rPr>
        <w:t>de 202</w:t>
      </w:r>
      <w:r w:rsidR="00B340D4" w:rsidRPr="00300DDA">
        <w:rPr>
          <w:rFonts w:ascii="Times New Roman" w:eastAsia="Arial Unicode MS" w:hAnsi="Times New Roman" w:cs="Times New Roman"/>
          <w:sz w:val="24"/>
          <w:szCs w:val="24"/>
          <w:lang w:val="es-PE" w:eastAsia="ar-SA"/>
        </w:rPr>
        <w:t>3</w:t>
      </w:r>
      <w:r w:rsidR="00707C99" w:rsidRPr="00300DDA">
        <w:rPr>
          <w:rFonts w:ascii="Times New Roman" w:eastAsia="Times New Roman" w:hAnsi="Times New Roman" w:cs="Times New Roman"/>
          <w:sz w:val="24"/>
          <w:szCs w:val="24"/>
          <w:lang w:val="es-PE" w:eastAsia="ar-SA"/>
        </w:rPr>
        <w:t xml:space="preserve"> </w:t>
      </w:r>
    </w:p>
    <w:p w14:paraId="7433A34B" w14:textId="77777777" w:rsidR="008B6A09" w:rsidRPr="00300DDA" w:rsidRDefault="008B6A09" w:rsidP="008B6A09">
      <w:pPr>
        <w:suppressAutoHyphens/>
        <w:spacing w:after="0" w:line="240" w:lineRule="auto"/>
        <w:jc w:val="right"/>
        <w:outlineLvl w:val="0"/>
        <w:rPr>
          <w:rFonts w:ascii="Times New Roman" w:eastAsia="Arial Unicode MS" w:hAnsi="Times New Roman" w:cs="Times New Roman"/>
          <w:sz w:val="24"/>
          <w:szCs w:val="24"/>
          <w:lang w:val="es-PE" w:eastAsia="ar-SA"/>
        </w:rPr>
      </w:pPr>
    </w:p>
    <w:p w14:paraId="1B6988F6" w14:textId="77777777" w:rsidR="00A323F4" w:rsidRPr="00300DDA" w:rsidRDefault="00A323F4" w:rsidP="00A323F4">
      <w:pPr>
        <w:spacing w:after="0" w:line="240" w:lineRule="auto"/>
        <w:jc w:val="both"/>
        <w:rPr>
          <w:rFonts w:ascii="Times New Roman" w:hAnsi="Times New Roman" w:cs="Times New Roman"/>
          <w:b/>
          <w:bCs/>
          <w:i/>
          <w:iCs/>
          <w:sz w:val="24"/>
          <w:szCs w:val="24"/>
          <w:lang w:val="es-PE"/>
        </w:rPr>
      </w:pPr>
      <w:r w:rsidRPr="00300DD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300DDA" w:rsidRDefault="00A323F4" w:rsidP="00A323F4">
      <w:pPr>
        <w:spacing w:after="0" w:line="360" w:lineRule="auto"/>
        <w:jc w:val="both"/>
        <w:rPr>
          <w:rFonts w:ascii="Times New Roman" w:hAnsi="Times New Roman" w:cs="Times New Roman"/>
          <w:b/>
          <w:bCs/>
          <w:i/>
          <w:iCs/>
          <w:sz w:val="24"/>
          <w:szCs w:val="24"/>
          <w:lang w:val="es-PE"/>
        </w:rPr>
      </w:pPr>
    </w:p>
    <w:p w14:paraId="220AA7AD" w14:textId="77777777" w:rsidR="007543CD" w:rsidRPr="00300DDA" w:rsidRDefault="007543CD" w:rsidP="007543CD">
      <w:pPr>
        <w:spacing w:after="0" w:line="360" w:lineRule="auto"/>
        <w:jc w:val="center"/>
        <w:rPr>
          <w:rFonts w:ascii="Times New Roman" w:hAnsi="Times New Roman" w:cs="Times New Roman"/>
          <w:b/>
          <w:bCs/>
          <w:sz w:val="24"/>
          <w:szCs w:val="24"/>
          <w:lang w:val="es-PE"/>
        </w:rPr>
      </w:pPr>
      <w:r w:rsidRPr="00300DDA">
        <w:rPr>
          <w:rFonts w:ascii="Times New Roman" w:hAnsi="Times New Roman" w:cs="Times New Roman"/>
          <w:b/>
          <w:bCs/>
          <w:sz w:val="24"/>
          <w:szCs w:val="24"/>
          <w:lang w:val="es-PE"/>
        </w:rPr>
        <w:t xml:space="preserve">Rolando Eyzaguirre </w:t>
      </w:r>
      <w:proofErr w:type="spellStart"/>
      <w:r w:rsidRPr="00300DDA">
        <w:rPr>
          <w:rFonts w:ascii="Times New Roman" w:hAnsi="Times New Roman" w:cs="Times New Roman"/>
          <w:b/>
          <w:bCs/>
          <w:sz w:val="24"/>
          <w:szCs w:val="24"/>
          <w:lang w:val="es-PE"/>
        </w:rPr>
        <w:t>Maccan</w:t>
      </w:r>
      <w:proofErr w:type="spellEnd"/>
      <w:r w:rsidRPr="00300DDA">
        <w:rPr>
          <w:rFonts w:ascii="Times New Roman" w:hAnsi="Times New Roman" w:cs="Times New Roman"/>
          <w:b/>
          <w:bCs/>
          <w:sz w:val="24"/>
          <w:szCs w:val="24"/>
          <w:lang w:val="es-PE"/>
        </w:rPr>
        <w:t xml:space="preserve"> – Presidente</w:t>
      </w:r>
    </w:p>
    <w:p w14:paraId="0DCF6E18" w14:textId="77777777" w:rsidR="007543CD" w:rsidRPr="00300DDA" w:rsidRDefault="007543CD" w:rsidP="007543CD">
      <w:pPr>
        <w:spacing w:after="0" w:line="360" w:lineRule="auto"/>
        <w:jc w:val="center"/>
        <w:rPr>
          <w:rFonts w:ascii="Times New Roman" w:hAnsi="Times New Roman" w:cs="Times New Roman"/>
          <w:b/>
          <w:bCs/>
          <w:sz w:val="24"/>
          <w:szCs w:val="24"/>
          <w:lang w:val="es-PE"/>
        </w:rPr>
      </w:pPr>
      <w:r w:rsidRPr="00300DDA">
        <w:rPr>
          <w:rFonts w:ascii="Times New Roman" w:hAnsi="Times New Roman" w:cs="Times New Roman"/>
          <w:b/>
          <w:bCs/>
          <w:sz w:val="24"/>
          <w:szCs w:val="24"/>
          <w:lang w:val="es-PE"/>
        </w:rPr>
        <w:t>María Eugenia Valdez Fernández Baca – Vocal</w:t>
      </w:r>
    </w:p>
    <w:p w14:paraId="69BF44D1" w14:textId="77777777" w:rsidR="007543CD" w:rsidRPr="00300DDA" w:rsidRDefault="007543CD" w:rsidP="007543CD">
      <w:pPr>
        <w:spacing w:after="0" w:line="360" w:lineRule="auto"/>
        <w:jc w:val="center"/>
        <w:rPr>
          <w:rFonts w:ascii="Times New Roman" w:hAnsi="Times New Roman" w:cs="Times New Roman"/>
          <w:b/>
          <w:bCs/>
          <w:sz w:val="24"/>
          <w:szCs w:val="24"/>
          <w:lang w:val="es-PE"/>
        </w:rPr>
      </w:pPr>
      <w:r w:rsidRPr="00300DDA">
        <w:rPr>
          <w:rFonts w:ascii="Times New Roman" w:hAnsi="Times New Roman" w:cs="Times New Roman"/>
          <w:b/>
          <w:bCs/>
          <w:sz w:val="24"/>
          <w:szCs w:val="24"/>
          <w:lang w:val="es-PE"/>
        </w:rPr>
        <w:t>Omar Alfaro Villanueva – Vocal</w:t>
      </w:r>
    </w:p>
    <w:p w14:paraId="69BFE54F" w14:textId="77777777" w:rsidR="007543CD" w:rsidRPr="00300DDA" w:rsidRDefault="007543CD" w:rsidP="007543CD">
      <w:pPr>
        <w:spacing w:after="0" w:line="360" w:lineRule="auto"/>
        <w:jc w:val="center"/>
        <w:rPr>
          <w:rFonts w:ascii="Times New Roman" w:hAnsi="Times New Roman" w:cs="Times New Roman"/>
          <w:sz w:val="24"/>
          <w:szCs w:val="24"/>
          <w:lang w:val="es-PE"/>
        </w:rPr>
      </w:pPr>
      <w:r w:rsidRPr="00300DDA">
        <w:rPr>
          <w:rFonts w:ascii="Times New Roman" w:hAnsi="Times New Roman" w:cs="Times New Roman"/>
          <w:b/>
          <w:bCs/>
          <w:sz w:val="24"/>
          <w:szCs w:val="24"/>
          <w:lang w:val="es-PE"/>
        </w:rPr>
        <w:t>Gonzalo Abad del Busto – Vocal</w:t>
      </w:r>
    </w:p>
    <w:p w14:paraId="412CCBAA" w14:textId="77777777" w:rsidR="00986F0C" w:rsidRPr="00FA1290"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1B997" w14:textId="77777777" w:rsidR="005C3266" w:rsidRDefault="005C3266" w:rsidP="00784355">
      <w:pPr>
        <w:spacing w:after="0" w:line="240" w:lineRule="auto"/>
      </w:pPr>
      <w:r>
        <w:separator/>
      </w:r>
    </w:p>
  </w:endnote>
  <w:endnote w:type="continuationSeparator" w:id="0">
    <w:p w14:paraId="61C5DFAC" w14:textId="77777777" w:rsidR="005C3266" w:rsidRDefault="005C326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EC60E" w14:textId="77777777" w:rsidR="005C3266" w:rsidRDefault="005C3266" w:rsidP="00784355">
      <w:pPr>
        <w:spacing w:after="0" w:line="240" w:lineRule="auto"/>
      </w:pPr>
      <w:r>
        <w:separator/>
      </w:r>
    </w:p>
  </w:footnote>
  <w:footnote w:type="continuationSeparator" w:id="0">
    <w:p w14:paraId="0F5C9385" w14:textId="77777777" w:rsidR="005C3266" w:rsidRDefault="005C3266"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E38F0"/>
    <w:rsid w:val="00FE43A9"/>
    <w:rsid w:val="00FE6588"/>
    <w:rsid w:val="00FE73F3"/>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EFA7092-BFC7-4837-B401-2C2236D410FC}"/>
</file>

<file path=customXml/itemProps3.xml><?xml version="1.0" encoding="utf-8"?>
<ds:datastoreItem xmlns:ds="http://schemas.openxmlformats.org/officeDocument/2006/customXml" ds:itemID="{4445DE95-0BDA-42C1-9F7D-6C81CC366941}"/>
</file>

<file path=customXml/itemProps4.xml><?xml version="1.0" encoding="utf-8"?>
<ds:datastoreItem xmlns:ds="http://schemas.openxmlformats.org/officeDocument/2006/customXml" ds:itemID="{DD72E2AF-D23F-4814-888F-50AC7AF86E2F}"/>
</file>

<file path=docProps/app.xml><?xml version="1.0" encoding="utf-8"?>
<Properties xmlns="http://schemas.openxmlformats.org/officeDocument/2006/extended-properties" xmlns:vt="http://schemas.openxmlformats.org/officeDocument/2006/docPropsVTypes">
  <Template>Normal</Template>
  <TotalTime>176</TotalTime>
  <Pages>3</Pages>
  <Words>1120</Words>
  <Characters>6163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235</cp:revision>
  <cp:lastPrinted>2023-12-14T15:08:00Z</cp:lastPrinted>
  <dcterms:created xsi:type="dcterms:W3CDTF">2023-02-14T22:37:00Z</dcterms:created>
  <dcterms:modified xsi:type="dcterms:W3CDTF">2023-12-14T15:08:00Z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