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694105" w:rsidR="00F15FBA" w:rsidP="00F15FBA" w:rsidRDefault="00F15FBA" w14:paraId="6BA6C8A5" w14:textId="690DC1AF">
      <w:pPr>
        <w:pStyle w:val="Ttulo"/>
        <w:outlineLvl w:val="0"/>
        <w:rPr>
          <w:lang w:val="es-PE"/>
        </w:rPr>
      </w:pPr>
      <w:r w:rsidRPr="00694105">
        <w:rPr>
          <w:lang w:val="es-PE"/>
        </w:rPr>
        <w:t xml:space="preserve">RESOLUCIÓN </w:t>
      </w:r>
      <w:proofErr w:type="spellStart"/>
      <w:r w:rsidRPr="00694105">
        <w:rPr>
          <w:lang w:val="es-PE"/>
        </w:rPr>
        <w:t>N</w:t>
      </w:r>
      <w:r w:rsidRPr="00694105" w:rsidR="001631D6">
        <w:rPr>
          <w:lang w:val="es-PE"/>
        </w:rPr>
        <w:t>°</w:t>
      </w:r>
      <w:proofErr w:type="spellEnd"/>
      <w:r w:rsidRPr="00694105" w:rsidR="001631D6">
        <w:rPr>
          <w:lang w:val="es-PE"/>
        </w:rPr>
        <w:t xml:space="preserve"> </w:t>
      </w:r>
      <w:r w:rsidRPr="00694105" w:rsidR="003E6BA6">
        <w:rPr>
          <w:lang w:val="es-PE"/>
        </w:rPr>
        <w:t>0</w:t>
      </w:r>
      <w:r w:rsidRPr="00694105" w:rsidR="004C6A2A">
        <w:rPr>
          <w:lang w:val="es-PE"/>
        </w:rPr>
        <w:t>12</w:t>
      </w:r>
      <w:r w:rsidRPr="00694105" w:rsidR="001631D6">
        <w:rPr>
          <w:lang w:val="es-PE"/>
        </w:rPr>
        <w:t>/2</w:t>
      </w:r>
      <w:r w:rsidRPr="00694105" w:rsidR="00BD063F">
        <w:rPr>
          <w:lang w:val="es-PE"/>
        </w:rPr>
        <w:t>3</w:t>
      </w:r>
    </w:p>
    <w:p w:rsidRPr="00694105" w:rsidR="00F15FBA" w:rsidP="00F15FBA" w:rsidRDefault="00F15FBA" w14:paraId="6EF5AEAB" w14:textId="77777777">
      <w:pPr>
        <w:rPr>
          <w:b/>
          <w:bCs/>
          <w:lang w:val="es-PE"/>
        </w:rPr>
      </w:pPr>
    </w:p>
    <w:p w:rsidRPr="00694105" w:rsidR="00694105" w:rsidP="00694105" w:rsidRDefault="00694105" w14:paraId="73941A1D" w14:textId="77777777">
      <w:pPr>
        <w:jc w:val="both"/>
      </w:pPr>
      <w:r w:rsidRPr="00694105">
        <w:rPr>
          <w:rStyle w:val="Textoennegrita"/>
        </w:rPr>
        <w:t>VISTOS:</w:t>
      </w:r>
    </w:p>
    <w:p w:rsidRPr="00694105" w:rsidR="00694105" w:rsidP="00694105" w:rsidRDefault="00694105" w14:paraId="13BACAD1" w14:textId="77777777">
      <w:pPr>
        <w:jc w:val="both"/>
        <w:rPr>
          <w:lang w:val="es-PE"/>
        </w:rPr>
      </w:pPr>
    </w:p>
    <w:p w:rsidRPr="00694105" w:rsidR="00694105" w:rsidP="00694105" w:rsidRDefault="00694105" w14:paraId="00036635" w14:textId="440824EF">
      <w:pPr>
        <w:jc w:val="both"/>
        <w:rPr>
          <w:lang w:val="es-PE"/>
        </w:rPr>
      </w:pPr>
      <w:r w:rsidRPr="74E823D2" w:rsidR="00694105">
        <w:rPr>
          <w:lang w:val="es-PE"/>
        </w:rPr>
        <w:t xml:space="preserve">Que, doña </w:t>
      </w:r>
      <w:r w:rsidRPr="74E823D2" w:rsidR="6545E513">
        <w:rPr>
          <w:b w:val="1"/>
          <w:bCs w:val="1"/>
          <w:lang w:val="es-PE"/>
        </w:rPr>
        <w:t>...........................................................................</w:t>
      </w:r>
      <w:r w:rsidRPr="74E823D2" w:rsidR="00694105">
        <w:rPr>
          <w:b w:val="1"/>
          <w:bCs w:val="1"/>
          <w:lang w:val="es-PE"/>
        </w:rPr>
        <w:t xml:space="preserve"> </w:t>
      </w:r>
      <w:r w:rsidRPr="74E823D2" w:rsidR="00694105">
        <w:rPr>
          <w:lang w:val="es-PE"/>
        </w:rPr>
        <w:t xml:space="preserve">(en adelante, la reclamante) interpone reclamación ante esta Defensoría del Asegurado (DEFASEG), solicitando que </w:t>
      </w:r>
      <w:r w:rsidRPr="74E823D2" w:rsidR="25543E9A">
        <w:rPr>
          <w:b w:val="1"/>
          <w:bCs w:val="1"/>
          <w:lang w:val="es-PE"/>
        </w:rPr>
        <w:t>................................................................................</w:t>
      </w:r>
      <w:r w:rsidRPr="74E823D2" w:rsidR="00694105">
        <w:rPr>
          <w:b w:val="1"/>
          <w:bCs w:val="1"/>
          <w:lang w:val="es-PE"/>
        </w:rPr>
        <w:t xml:space="preserve"> </w:t>
      </w:r>
      <w:r w:rsidRPr="74E823D2" w:rsidR="00694105">
        <w:rPr>
          <w:lang w:val="es-PE"/>
        </w:rPr>
        <w:t>(en adelante, la aseguradora)</w:t>
      </w:r>
      <w:r w:rsidRPr="74E823D2" w:rsidR="00694105">
        <w:rPr>
          <w:b w:val="1"/>
          <w:bCs w:val="1"/>
          <w:lang w:val="es-PE"/>
        </w:rPr>
        <w:t xml:space="preserve"> </w:t>
      </w:r>
      <w:r w:rsidRPr="74E823D2" w:rsidR="00694105">
        <w:rPr>
          <w:lang w:val="es-PE"/>
        </w:rPr>
        <w:t xml:space="preserve">apruebe su solicitud de indemnización por fallecimiento en su favor con ocasión de la muerte de su esposo en calidad de tercero no ocupante del vehículo que habría generado el siniestro, de placa </w:t>
      </w:r>
      <w:r w:rsidRPr="74E823D2" w:rsidR="4AEEB24F">
        <w:rPr>
          <w:lang w:val="es-PE"/>
        </w:rPr>
        <w:t>..................</w:t>
      </w:r>
      <w:r w:rsidRPr="74E823D2" w:rsidR="00694105">
        <w:rPr>
          <w:lang w:val="es-PE"/>
        </w:rPr>
        <w:t>, asegurado con el SOAT objeto de reclamo (en adelante, la póliza).</w:t>
      </w:r>
    </w:p>
    <w:p w:rsidRPr="00694105" w:rsidR="00694105" w:rsidP="00694105" w:rsidRDefault="00694105" w14:paraId="1D74AE29" w14:textId="77777777">
      <w:pPr>
        <w:jc w:val="both"/>
        <w:rPr>
          <w:lang w:val="es-PE"/>
        </w:rPr>
      </w:pPr>
    </w:p>
    <w:p w:rsidRPr="00694105" w:rsidR="00694105" w:rsidP="00694105" w:rsidRDefault="00694105" w14:paraId="204A297F" w14:textId="77777777">
      <w:pPr>
        <w:jc w:val="both"/>
        <w:rPr>
          <w:rFonts w:eastAsia="Arial Unicode MS"/>
          <w:lang w:val="es-PE"/>
        </w:rPr>
      </w:pPr>
      <w:r w:rsidRPr="00694105">
        <w:rPr>
          <w:rFonts w:eastAsia="Arial Unicode MS"/>
          <w:lang w:val="es-PE"/>
        </w:rPr>
        <w:t>Que, la señalada reclamación cumple con los requisitos de materia, cuantía y oportunidad establecidos en el Reglamento de la DEFASEG (http://www.defaseg.com.pe/reglamento);</w:t>
      </w:r>
    </w:p>
    <w:p w:rsidRPr="00694105" w:rsidR="00694105" w:rsidP="00694105" w:rsidRDefault="00694105" w14:paraId="5826C331" w14:textId="77777777">
      <w:pPr>
        <w:tabs>
          <w:tab w:val="left" w:pos="2160"/>
        </w:tabs>
        <w:jc w:val="both"/>
        <w:rPr>
          <w:lang w:val="es-PE"/>
        </w:rPr>
      </w:pPr>
    </w:p>
    <w:p w:rsidRPr="00694105" w:rsidR="00694105" w:rsidP="00694105" w:rsidRDefault="00694105" w14:paraId="621B0D05" w14:textId="77777777">
      <w:pPr>
        <w:tabs>
          <w:tab w:val="num" w:pos="720"/>
        </w:tabs>
        <w:jc w:val="both"/>
        <w:rPr>
          <w:lang w:val="es-PE"/>
        </w:rPr>
      </w:pPr>
      <w:r w:rsidRPr="00694105">
        <w:rPr>
          <w:lang w:val="es-PE"/>
        </w:rPr>
        <w:t>Que, habiéndosele corrido traslado de la respectiva reclamación, la aseguradora presentó sus respectivos descargos y la documentación solicitada;</w:t>
      </w:r>
    </w:p>
    <w:p w:rsidRPr="00694105" w:rsidR="00694105" w:rsidP="00694105" w:rsidRDefault="00694105" w14:paraId="42CF75A6" w14:textId="77777777">
      <w:pPr>
        <w:tabs>
          <w:tab w:val="num" w:pos="720"/>
        </w:tabs>
        <w:jc w:val="both"/>
        <w:rPr>
          <w:lang w:val="es-PE"/>
        </w:rPr>
      </w:pPr>
    </w:p>
    <w:p w:rsidRPr="00694105" w:rsidR="00694105" w:rsidP="00694105" w:rsidRDefault="00694105" w14:paraId="2BE12C4F" w14:textId="77777777">
      <w:pPr>
        <w:tabs>
          <w:tab w:val="num" w:pos="720"/>
        </w:tabs>
        <w:jc w:val="both"/>
        <w:rPr>
          <w:lang w:val="es-PE"/>
        </w:rPr>
      </w:pPr>
      <w:r w:rsidRPr="00694105">
        <w:rPr>
          <w:lang w:val="es-PE"/>
        </w:rPr>
        <w:t>Que, el 23 de enero de 2023 se realizó la audiencia virtual de vista con la concurrencia de ambas partes, quienes tuvieron oportunidad de exponer sus respectivas posiciones tratándose de la materia reclamada, absolviendo las diversas preguntas que les fueron formuladas;</w:t>
      </w:r>
    </w:p>
    <w:p w:rsidRPr="00694105" w:rsidR="00694105" w:rsidP="00694105" w:rsidRDefault="00694105" w14:paraId="786DA5B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694105" w:rsidR="00694105" w:rsidP="00694105" w:rsidRDefault="00694105" w14:paraId="217B6793" w14:textId="55F642BA">
      <w:pPr>
        <w:jc w:val="both"/>
      </w:pPr>
      <w:r w:rsidR="00694105">
        <w:rPr/>
        <w:t xml:space="preserve">Que, en síntesis, la reclamante manifiesta lo siguiente: a) </w:t>
      </w:r>
      <w:r w:rsidR="245FC3A0">
        <w:rPr/>
        <w:t>.......................................................................</w:t>
      </w:r>
      <w:r w:rsidR="00694105">
        <w:rPr/>
        <w:t xml:space="preserve"> (en adelante, el Sr. </w:t>
      </w:r>
      <w:r w:rsidR="37386E13">
        <w:rPr/>
        <w:t>..............</w:t>
      </w:r>
      <w:r w:rsidR="00694105">
        <w:rPr/>
        <w:t xml:space="preserve">) falleció -mientras conducía la motocicleta de placa </w:t>
      </w:r>
      <w:r w:rsidRPr="74E823D2" w:rsidR="07507756">
        <w:rPr>
          <w:lang w:val="es-PE"/>
        </w:rPr>
        <w:t>..............</w:t>
      </w:r>
      <w:r w:rsidRPr="74E823D2" w:rsidR="00694105">
        <w:rPr>
          <w:lang w:val="es-PE"/>
        </w:rPr>
        <w:t xml:space="preserve">- </w:t>
      </w:r>
      <w:r w:rsidR="00694105">
        <w:rPr/>
        <w:t xml:space="preserve">como consecuencia de un accidente que, en palabras de la PNP REGPOL – PIURA, habría tenido como factor predominante el accionar del vehículo de </w:t>
      </w:r>
      <w:r w:rsidRPr="74E823D2" w:rsidR="00694105">
        <w:rPr>
          <w:lang w:val="es-PE"/>
        </w:rPr>
        <w:t xml:space="preserve">placa </w:t>
      </w:r>
      <w:r w:rsidRPr="74E823D2" w:rsidR="4AEEB24F">
        <w:rPr>
          <w:lang w:val="es-PE"/>
        </w:rPr>
        <w:t>..................</w:t>
      </w:r>
      <w:r w:rsidRPr="74E823D2" w:rsidR="00694105">
        <w:rPr>
          <w:lang w:val="es-PE"/>
        </w:rPr>
        <w:t xml:space="preserve">; b) conforme a lo señalado por la Corte Suprema con ocasión de la Casación </w:t>
      </w:r>
      <w:r w:rsidRPr="74E823D2" w:rsidR="00694105">
        <w:rPr>
          <w:lang w:val="es-PE"/>
        </w:rPr>
        <w:t>N°</w:t>
      </w:r>
      <w:r w:rsidRPr="74E823D2" w:rsidR="00694105">
        <w:rPr>
          <w:lang w:val="es-PE"/>
        </w:rPr>
        <w:t xml:space="preserve"> 10192-2016-Lima, el SOAT cuenta con un fin de </w:t>
      </w:r>
      <w:r w:rsidRPr="74E823D2" w:rsidR="00694105">
        <w:rPr>
          <w:i w:val="1"/>
          <w:iCs w:val="1"/>
          <w:lang w:val="es-PE"/>
        </w:rPr>
        <w:t>carácter social</w:t>
      </w:r>
      <w:r w:rsidRPr="74E823D2" w:rsidR="00694105">
        <w:rPr>
          <w:lang w:val="es-PE"/>
        </w:rPr>
        <w:t>, por lo que debe cumplir con indemnizar los daños que se pudieran generar en terceros no ocupantes que hayan sido afectados, así se encuentren en vehículos que no cuenten con un SOAT vigente;</w:t>
      </w:r>
    </w:p>
    <w:p w:rsidRPr="00694105" w:rsidR="00694105" w:rsidP="00694105" w:rsidRDefault="00694105" w14:paraId="16414341" w14:textId="77777777">
      <w:pPr>
        <w:jc w:val="both"/>
      </w:pPr>
    </w:p>
    <w:p w:rsidRPr="00694105" w:rsidR="00694105" w:rsidP="00694105" w:rsidRDefault="00694105" w14:paraId="60BDC7B6" w14:textId="6DC0BDBE">
      <w:pPr>
        <w:jc w:val="both"/>
        <w:rPr>
          <w:lang w:val="es-PE"/>
        </w:rPr>
      </w:pPr>
      <w:r w:rsidR="00694105">
        <w:rPr/>
        <w:t xml:space="preserve">Que, por su parte, la aseguradora sustenta su posición resumidamente en lo siguiente: </w:t>
      </w:r>
      <w:r w:rsidRPr="74E823D2" w:rsidR="00694105">
        <w:rPr>
          <w:lang w:val="es-PE"/>
        </w:rPr>
        <w:t xml:space="preserve">a) la motocicleta conducida por el Sr. </w:t>
      </w:r>
      <w:r w:rsidRPr="74E823D2" w:rsidR="37386E13">
        <w:rPr>
          <w:lang w:val="es-PE"/>
        </w:rPr>
        <w:t>..............</w:t>
      </w:r>
      <w:r w:rsidRPr="74E823D2" w:rsidR="00694105">
        <w:rPr>
          <w:lang w:val="es-PE"/>
        </w:rPr>
        <w:t xml:space="preserve"> no contaba con SOAT vigente, por lo que su solicitud de cobertura fue rechazada por la aseguradora; </w:t>
      </w:r>
      <w:r>
        <w:br/>
      </w:r>
      <w:r w:rsidRPr="74E823D2" w:rsidR="00694105">
        <w:rPr>
          <w:lang w:val="es-PE"/>
        </w:rPr>
        <w:t xml:space="preserve">b) conforme a lo dispuesto en el artículo 17° del Reglamento del Seguro Obligatorio de Accidentes de Tránsito, se comprende que todo vehículo que circula en nuestro territorio debe contar con una póliza SOAT vigente, a fin de poder hacer frente a un siniestro, esto es, que se haga responsable de las indemnizaciones correspondientes de las personas que transporta en su interior; c) la interpretación del Reglamento del Seguro Obligatorio de Accidentes de Tránsito de la aseguradora es respaldada por la jurisprudencia emitida en INDECOPI, con ocasión de la Resolución Final </w:t>
      </w:r>
      <w:r w:rsidRPr="74E823D2" w:rsidR="00694105">
        <w:rPr>
          <w:lang w:val="es-PE"/>
        </w:rPr>
        <w:t>N°</w:t>
      </w:r>
      <w:r w:rsidRPr="74E823D2" w:rsidR="00694105">
        <w:rPr>
          <w:lang w:val="es-PE"/>
        </w:rPr>
        <w:t xml:space="preserve"> 4288-2016/SPC emitida por el Tribunal de Protección al Consumidor y la Resolución Final </w:t>
      </w:r>
      <w:r w:rsidRPr="74E823D2" w:rsidR="00694105">
        <w:rPr>
          <w:lang w:val="es-PE"/>
        </w:rPr>
        <w:t>Nº</w:t>
      </w:r>
      <w:r w:rsidRPr="74E823D2" w:rsidR="00694105">
        <w:rPr>
          <w:lang w:val="es-PE"/>
        </w:rPr>
        <w:t xml:space="preserve"> 1888-2021/CC1 emitida por la Comisión de Protección al Consumidor </w:t>
      </w:r>
      <w:r w:rsidRPr="74E823D2" w:rsidR="00694105">
        <w:rPr>
          <w:lang w:val="es-PE"/>
        </w:rPr>
        <w:t>Nº</w:t>
      </w:r>
      <w:r w:rsidRPr="74E823D2" w:rsidR="00694105">
        <w:rPr>
          <w:lang w:val="es-PE"/>
        </w:rPr>
        <w:t xml:space="preserve"> 1; d) la interpretación del Reglamento del Seguro Obligatorio de Accidentes de Tránsito de la aseguradora es respaldada por la jurisprudencia emitida por el Poder Judicial, con ocasión de la Casación </w:t>
      </w:r>
      <w:r w:rsidRPr="74E823D2" w:rsidR="00694105">
        <w:rPr>
          <w:lang w:val="es-PE"/>
        </w:rPr>
        <w:t>N°</w:t>
      </w:r>
      <w:r w:rsidRPr="74E823D2" w:rsidR="00694105">
        <w:rPr>
          <w:lang w:val="es-PE"/>
        </w:rPr>
        <w:t xml:space="preserve"> 19147-2016 que confirmó la Sentencia de Vista emitida por la Quinta Sala Especializada en lo Contencioso Administrativo con Subespecialidad en temas de Mercado del Expediente 02576-2013;</w:t>
      </w:r>
    </w:p>
    <w:p w:rsidRPr="00694105" w:rsidR="00694105" w:rsidP="00694105" w:rsidRDefault="00694105" w14:paraId="6BA38CAC" w14:textId="77777777">
      <w:pPr>
        <w:jc w:val="both"/>
        <w:rPr>
          <w:lang w:val="es-PE"/>
        </w:rPr>
      </w:pPr>
    </w:p>
    <w:p w:rsidRPr="00694105" w:rsidR="00694105" w:rsidP="00694105" w:rsidRDefault="00694105" w14:paraId="7C58907A" w14:textId="77777777">
      <w:pPr>
        <w:jc w:val="both"/>
      </w:pPr>
      <w:r w:rsidRPr="00694105">
        <w:rPr>
          <w:rStyle w:val="Textoennegrita"/>
        </w:rPr>
        <w:t>CONSIDERANDO:</w:t>
      </w:r>
    </w:p>
    <w:p w:rsidRPr="00694105" w:rsidR="00694105" w:rsidP="00694105" w:rsidRDefault="00694105" w14:paraId="6CAB8B08" w14:textId="77777777">
      <w:pPr>
        <w:jc w:val="both"/>
      </w:pPr>
      <w:r w:rsidRPr="00694105">
        <w:t> </w:t>
      </w:r>
    </w:p>
    <w:p w:rsidRPr="00694105" w:rsidR="00694105" w:rsidP="00694105" w:rsidRDefault="00694105" w14:paraId="0C01B5B5" w14:textId="77777777">
      <w:pPr>
        <w:jc w:val="both"/>
        <w:rPr>
          <w:lang w:val="es-PE"/>
        </w:rPr>
      </w:pPr>
      <w:r w:rsidRPr="00694105">
        <w:rPr>
          <w:b/>
          <w:u w:val="single"/>
          <w:lang w:val="es-PE"/>
        </w:rPr>
        <w:t>Primero</w:t>
      </w:r>
      <w:r w:rsidRPr="00694105">
        <w:rPr>
          <w:b/>
          <w:lang w:val="es-PE"/>
        </w:rPr>
        <w:t xml:space="preserve">: </w:t>
      </w:r>
      <w:r w:rsidRPr="00694105">
        <w:rPr>
          <w:lang w:val="es-PE"/>
        </w:rPr>
        <w:t>Conforme a su Reglamento, la</w:t>
      </w:r>
      <w:r w:rsidRPr="00694105">
        <w:rPr>
          <w:b/>
          <w:bCs/>
          <w:lang w:val="es-PE"/>
        </w:rPr>
        <w:t xml:space="preserve"> </w:t>
      </w:r>
      <w:r w:rsidRPr="00694105">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694105" w:rsidR="00694105" w:rsidP="00694105" w:rsidRDefault="00694105" w14:paraId="38A4A7B6" w14:textId="77777777">
      <w:pPr>
        <w:jc w:val="both"/>
        <w:rPr>
          <w:bCs/>
        </w:rPr>
      </w:pPr>
    </w:p>
    <w:p w:rsidRPr="00694105" w:rsidR="00694105" w:rsidP="00694105" w:rsidRDefault="00694105" w14:paraId="1FC2CB7C" w14:textId="77777777">
      <w:pPr>
        <w:jc w:val="both"/>
        <w:rPr>
          <w:bCs/>
          <w:lang w:val="es-PE"/>
        </w:rPr>
      </w:pPr>
      <w:r w:rsidRPr="00694105">
        <w:rPr>
          <w:b/>
          <w:bCs/>
          <w:u w:val="single"/>
          <w:lang w:val="es-PE"/>
        </w:rPr>
        <w:t>Segundo</w:t>
      </w:r>
      <w:r w:rsidRPr="00694105">
        <w:rPr>
          <w:b/>
          <w:bCs/>
          <w:lang w:val="es-PE"/>
        </w:rPr>
        <w:t>:</w:t>
      </w:r>
      <w:r w:rsidRPr="00694105">
        <w:rPr>
          <w:bCs/>
          <w:lang w:val="es-PE"/>
        </w:rPr>
        <w:t xml:space="preserve"> </w:t>
      </w:r>
      <w:r w:rsidRPr="00694105">
        <w:rPr>
          <w:lang w:val="es-PE"/>
        </w:rPr>
        <w:t xml:space="preserve">Asimismo, de acuerdo a </w:t>
      </w:r>
      <w:r w:rsidRPr="00694105">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94105" w:rsidR="00694105" w:rsidP="00694105" w:rsidRDefault="00694105" w14:paraId="0F0509C6" w14:textId="77777777">
      <w:pPr>
        <w:jc w:val="both"/>
        <w:rPr>
          <w:lang w:val="es-PE"/>
        </w:rPr>
      </w:pPr>
    </w:p>
    <w:p w:rsidRPr="00694105" w:rsidR="00694105" w:rsidP="00694105" w:rsidRDefault="00694105" w14:paraId="4F54AD79" w14:textId="77777777">
      <w:pPr>
        <w:jc w:val="both"/>
      </w:pPr>
      <w:r w:rsidRPr="00694105">
        <w:rPr>
          <w:b/>
          <w:bCs/>
          <w:u w:val="single"/>
          <w:lang w:val="es-PE"/>
        </w:rPr>
        <w:t>Tercero</w:t>
      </w:r>
      <w:r w:rsidRPr="00694105">
        <w:rPr>
          <w:b/>
          <w:bCs/>
          <w:lang w:val="es-PE"/>
        </w:rPr>
        <w:t>:</w:t>
      </w:r>
      <w:r w:rsidRPr="00694105">
        <w:rPr>
          <w:lang w:val="es-PE"/>
        </w:rPr>
        <w:t xml:space="preserve"> Que, de acuerdo a la Ley Nro. </w:t>
      </w:r>
      <w:r w:rsidRPr="00694105">
        <w:t xml:space="preserve">29946 – Ley del Contrato de Seguro, norma legal vigente con ocasión de la celebración del contrato al cual se contrae el presente caso, </w:t>
      </w:r>
      <w:r w:rsidRPr="00694105">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694105" w:rsidR="00694105" w:rsidP="00694105" w:rsidRDefault="00694105" w14:paraId="7E8FCBCD" w14:textId="77777777">
      <w:pPr>
        <w:jc w:val="both"/>
        <w:rPr>
          <w:b/>
          <w:u w:val="single"/>
          <w:lang w:val="es-PE"/>
        </w:rPr>
      </w:pPr>
    </w:p>
    <w:p w:rsidRPr="00694105" w:rsidR="00694105" w:rsidP="00694105" w:rsidRDefault="00694105" w14:paraId="6D8A774C" w14:textId="77777777">
      <w:pPr>
        <w:jc w:val="both"/>
        <w:rPr>
          <w:lang w:val="es-PE"/>
        </w:rPr>
      </w:pPr>
      <w:r w:rsidRPr="00694105">
        <w:rPr>
          <w:b/>
          <w:u w:val="single"/>
          <w:lang w:val="es-PE"/>
        </w:rPr>
        <w:t>Cuarto</w:t>
      </w:r>
      <w:r w:rsidRPr="00694105">
        <w:rPr>
          <w:b/>
          <w:lang w:val="es-PE"/>
        </w:rPr>
        <w:t>:</w:t>
      </w:r>
      <w:r w:rsidRPr="00694105">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694105" w:rsidR="00694105" w:rsidP="00694105" w:rsidRDefault="00694105" w14:paraId="740F9A50" w14:textId="77777777">
      <w:pPr>
        <w:jc w:val="both"/>
        <w:rPr>
          <w:rStyle w:val="Textoennegrita"/>
          <w:b w:val="0"/>
        </w:rPr>
      </w:pPr>
    </w:p>
    <w:p w:rsidRPr="00694105" w:rsidR="00694105" w:rsidP="00694105" w:rsidRDefault="00694105" w14:paraId="159FEB12" w14:textId="77777777">
      <w:pPr>
        <w:jc w:val="both"/>
      </w:pPr>
      <w:r w:rsidRPr="00694105">
        <w:rPr>
          <w:rStyle w:val="Textoennegrita"/>
          <w:u w:val="single"/>
          <w:lang w:val="es-PE"/>
        </w:rPr>
        <w:t>Quinto</w:t>
      </w:r>
      <w:r w:rsidRPr="00694105">
        <w:rPr>
          <w:rStyle w:val="Textoennegrita"/>
          <w:lang w:val="es-PE"/>
        </w:rPr>
        <w:t xml:space="preserve">: </w:t>
      </w:r>
      <w:r w:rsidRPr="00694105">
        <w:rPr>
          <w:rStyle w:val="Textoennegrita"/>
          <w:b w:val="0"/>
          <w:bCs w:val="0"/>
          <w:lang w:val="es-PE"/>
        </w:rPr>
        <w:t>Que, conforme al</w:t>
      </w:r>
      <w:r w:rsidRPr="00694105">
        <w:rPr>
          <w:rStyle w:val="Textoennegrita"/>
          <w:lang w:val="es-PE"/>
        </w:rPr>
        <w:t xml:space="preserve"> </w:t>
      </w:r>
      <w:r w:rsidRPr="00694105">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694105" w:rsidR="00694105" w:rsidP="00694105" w:rsidRDefault="00694105" w14:paraId="3309DCB1" w14:textId="77777777">
      <w:pPr>
        <w:tabs>
          <w:tab w:val="left" w:pos="2160"/>
        </w:tabs>
        <w:jc w:val="both"/>
      </w:pPr>
    </w:p>
    <w:p w:rsidR="00694105" w:rsidP="00694105" w:rsidRDefault="00694105" w14:paraId="1BC834C1" w14:textId="35408534">
      <w:pPr>
        <w:jc w:val="both"/>
        <w:rPr>
          <w:lang w:val="es-PE"/>
        </w:rPr>
      </w:pPr>
      <w:r w:rsidRPr="00694105">
        <w:rPr>
          <w:b/>
          <w:u w:val="single"/>
        </w:rPr>
        <w:t>Sexto</w:t>
      </w:r>
      <w:r w:rsidRPr="00694105">
        <w:rPr>
          <w:b/>
        </w:rPr>
        <w:t>:</w:t>
      </w:r>
      <w:r w:rsidRPr="00694105">
        <w:rPr>
          <w:b/>
          <w:lang w:val="es-PE"/>
        </w:rPr>
        <w:t xml:space="preserve"> </w:t>
      </w:r>
      <w:r w:rsidRPr="00694105">
        <w:rPr>
          <w:lang w:val="es-PE"/>
        </w:rPr>
        <w:t xml:space="preserve"> </w:t>
      </w:r>
      <w:r w:rsidRPr="00694105">
        <w:rPr>
          <w:rStyle w:val="Textoennegrita"/>
          <w:b w:val="0"/>
        </w:rPr>
        <w:t xml:space="preserve">Que, conforme a lo expuesto en la reclamación, </w:t>
      </w:r>
      <w:r w:rsidRPr="00694105">
        <w:rPr>
          <w:lang w:val="es-PE"/>
        </w:rPr>
        <w:t>en la absolución de esta, y a lo tratado en la audiencia de vista, la cuestión controvertida radica en determinar si el rechazo de cobertura resulta o no legítimo.</w:t>
      </w:r>
    </w:p>
    <w:p w:rsidRPr="00694105" w:rsidR="00694105" w:rsidP="00694105" w:rsidRDefault="00694105" w14:paraId="0742DA29" w14:textId="77777777">
      <w:pPr>
        <w:jc w:val="both"/>
        <w:rPr>
          <w:lang w:val="es-PE"/>
        </w:rPr>
      </w:pPr>
    </w:p>
    <w:p w:rsidRPr="00694105" w:rsidR="00694105" w:rsidP="00694105" w:rsidRDefault="00694105" w14:paraId="6A9C9B90" w14:textId="77777777">
      <w:pPr>
        <w:tabs>
          <w:tab w:val="left" w:pos="2160"/>
        </w:tabs>
        <w:jc w:val="both"/>
        <w:rPr>
          <w:lang w:val="es-PE"/>
        </w:rPr>
      </w:pPr>
      <w:r w:rsidRPr="00694105">
        <w:rPr>
          <w:b/>
          <w:u w:val="single"/>
          <w:lang w:val="es-PE"/>
        </w:rPr>
        <w:t>Sétimo:</w:t>
      </w:r>
      <w:r w:rsidRPr="00694105">
        <w:rPr>
          <w:lang w:val="es-PE"/>
        </w:rPr>
        <w:t xml:space="preserve">  En el presente caso, debemos señalar que atendiendo que; sin perjuicio de lo señalado por la reclamante, el Poder Judicial ya se ha pronunciado sobre el tema que nos ocupa, señalando que resulta responsabilidad de cada propietario de vehículo el contratar un SOAT, conforme lo exigido en la normativa vigente. En ese sentido, conforme a lo expresado por la aseguradora, la Quinta Sala Especializada en lo Contencioso Administrativo con Subespecialidad en temas de Mercado, con ocasión del Expediente 02576-2013 manifestó lo siguiente:</w:t>
      </w:r>
    </w:p>
    <w:p w:rsidRPr="00694105" w:rsidR="00694105" w:rsidP="00694105" w:rsidRDefault="00694105" w14:paraId="1508E025" w14:textId="77777777">
      <w:pPr>
        <w:tabs>
          <w:tab w:val="left" w:pos="2160"/>
        </w:tabs>
        <w:jc w:val="both"/>
        <w:rPr>
          <w:lang w:val="es-PE"/>
        </w:rPr>
      </w:pPr>
    </w:p>
    <w:p w:rsidRPr="00694105" w:rsidR="00694105" w:rsidP="00694105" w:rsidRDefault="00694105" w14:paraId="108BB673" w14:textId="77777777">
      <w:pPr>
        <w:tabs>
          <w:tab w:val="left" w:pos="2160"/>
        </w:tabs>
        <w:ind w:left="1418"/>
        <w:jc w:val="both"/>
        <w:rPr>
          <w:b/>
          <w:bCs/>
          <w:i/>
          <w:iCs/>
          <w:lang w:val="es-PE"/>
        </w:rPr>
      </w:pPr>
      <w:r w:rsidRPr="00694105">
        <w:rPr>
          <w:b/>
          <w:bCs/>
          <w:i/>
          <w:iCs/>
          <w:lang w:val="es-PE"/>
        </w:rPr>
        <w:t>CUARTO:</w:t>
      </w:r>
    </w:p>
    <w:p w:rsidRPr="00694105" w:rsidR="00694105" w:rsidP="00694105" w:rsidRDefault="00694105" w14:paraId="5AE3066F" w14:textId="77777777">
      <w:pPr>
        <w:tabs>
          <w:tab w:val="left" w:pos="2160"/>
        </w:tabs>
        <w:ind w:left="1418"/>
        <w:jc w:val="both"/>
        <w:rPr>
          <w:i/>
          <w:iCs/>
          <w:lang w:val="es-PE"/>
        </w:rPr>
      </w:pPr>
      <w:r w:rsidRPr="00694105">
        <w:rPr>
          <w:i/>
          <w:iCs/>
          <w:lang w:val="es-PE"/>
        </w:rPr>
        <w:t>(…)</w:t>
      </w:r>
    </w:p>
    <w:p w:rsidRPr="00694105" w:rsidR="00694105" w:rsidP="00694105" w:rsidRDefault="00694105" w14:paraId="527AB40E" w14:textId="77777777">
      <w:pPr>
        <w:tabs>
          <w:tab w:val="left" w:pos="2160"/>
        </w:tabs>
        <w:ind w:left="1418"/>
        <w:jc w:val="both"/>
        <w:rPr>
          <w:lang w:val="es-PE"/>
        </w:rPr>
      </w:pPr>
      <w:r w:rsidRPr="00694105">
        <w:rPr>
          <w:i/>
          <w:iCs/>
          <w:lang w:val="es-PE"/>
        </w:rPr>
        <w:t xml:space="preserve">Nuevamente se debe hacer hincapié en que las normas </w:t>
      </w:r>
      <w:r w:rsidRPr="00694105">
        <w:rPr>
          <w:b/>
          <w:bCs/>
          <w:i/>
          <w:iCs/>
          <w:lang w:val="es-PE"/>
        </w:rPr>
        <w:t xml:space="preserve">NO ESTABLECEN UNA COBERTURA PARA LOS OCUPANTES DE UN VEHÍCULO SIN SOAT, </w:t>
      </w:r>
      <w:r w:rsidRPr="00694105">
        <w:rPr>
          <w:i/>
          <w:iCs/>
          <w:lang w:val="es-PE"/>
        </w:rPr>
        <w:t xml:space="preserve">y ello no se puede concluir de la interpretación sistemática de las normas citadas, pues son suficientemente claras respecto a los supuestos de cobertura del SOAT. Es decir, </w:t>
      </w:r>
      <w:proofErr w:type="gramStart"/>
      <w:r w:rsidRPr="00694105">
        <w:rPr>
          <w:b/>
          <w:bCs/>
          <w:i/>
          <w:iCs/>
          <w:lang w:val="es-PE"/>
        </w:rPr>
        <w:t>que</w:t>
      </w:r>
      <w:proofErr w:type="gramEnd"/>
      <w:r w:rsidRPr="00694105">
        <w:rPr>
          <w:b/>
          <w:bCs/>
          <w:i/>
          <w:iCs/>
          <w:lang w:val="es-PE"/>
        </w:rPr>
        <w:t xml:space="preserve"> si no se tuvo la diligencia de adquirir un SOAT para el vehículo automotor, sus ocupantes no tendrán ningún tipo de cobertura.</w:t>
      </w:r>
    </w:p>
    <w:p w:rsidRPr="00694105" w:rsidR="00694105" w:rsidP="00694105" w:rsidRDefault="00694105" w14:paraId="485A4DDC" w14:textId="77777777">
      <w:pPr>
        <w:tabs>
          <w:tab w:val="left" w:pos="2160"/>
        </w:tabs>
        <w:ind w:left="1418"/>
        <w:jc w:val="both"/>
        <w:rPr>
          <w:lang w:val="es-PE"/>
        </w:rPr>
      </w:pPr>
    </w:p>
    <w:p w:rsidRPr="00694105" w:rsidR="00694105" w:rsidP="00694105" w:rsidRDefault="00694105" w14:paraId="4B69C36B" w14:textId="77777777">
      <w:pPr>
        <w:tabs>
          <w:tab w:val="left" w:pos="2160"/>
        </w:tabs>
        <w:jc w:val="both"/>
      </w:pPr>
      <w:r w:rsidRPr="00694105">
        <w:t xml:space="preserve">Tal razonamiento fue confirmado por la Corte Suprema con ocasión de la expedición de la </w:t>
      </w:r>
      <w:r w:rsidRPr="00694105">
        <w:rPr>
          <w:lang w:val="es-PE"/>
        </w:rPr>
        <w:t xml:space="preserve">Casación </w:t>
      </w:r>
      <w:proofErr w:type="spellStart"/>
      <w:r w:rsidRPr="00694105">
        <w:rPr>
          <w:lang w:val="es-PE"/>
        </w:rPr>
        <w:t>N°</w:t>
      </w:r>
      <w:proofErr w:type="spellEnd"/>
      <w:r w:rsidRPr="00694105">
        <w:rPr>
          <w:lang w:val="es-PE"/>
        </w:rPr>
        <w:t xml:space="preserve"> 19147-2016-Lima emitida por la Sala de Derecho Constitucional y Social Permanente de la Corte Suprema de la República que declaro infundado el recurso impugnatorio interpuesto contra la previamente citada resolución de Sala.</w:t>
      </w:r>
    </w:p>
    <w:p w:rsidRPr="00694105" w:rsidR="00694105" w:rsidP="00694105" w:rsidRDefault="00694105" w14:paraId="337AB930" w14:textId="77777777">
      <w:pPr>
        <w:tabs>
          <w:tab w:val="left" w:pos="2160"/>
        </w:tabs>
        <w:jc w:val="both"/>
      </w:pPr>
    </w:p>
    <w:p w:rsidRPr="00694105" w:rsidR="00694105" w:rsidP="00694105" w:rsidRDefault="00694105" w14:paraId="061F2DB3" w14:textId="77777777">
      <w:pPr>
        <w:tabs>
          <w:tab w:val="left" w:pos="2160"/>
        </w:tabs>
        <w:jc w:val="both"/>
      </w:pPr>
      <w:r w:rsidRPr="00694105">
        <w:t xml:space="preserve">En el mismo sentido, el INDECOPI, con ocasión de la Resolución Final </w:t>
      </w:r>
      <w:proofErr w:type="spellStart"/>
      <w:r w:rsidRPr="00694105">
        <w:t>N°</w:t>
      </w:r>
      <w:proofErr w:type="spellEnd"/>
      <w:r w:rsidRPr="00694105">
        <w:t xml:space="preserve"> 4288-2016/SPC, del Tribunal de Protección al Consumidor, se ha pronunciado manifestando:</w:t>
      </w:r>
    </w:p>
    <w:p w:rsidRPr="00694105" w:rsidR="00694105" w:rsidP="00694105" w:rsidRDefault="00694105" w14:paraId="7528D589" w14:textId="77777777">
      <w:pPr>
        <w:tabs>
          <w:tab w:val="left" w:pos="2160"/>
        </w:tabs>
        <w:jc w:val="both"/>
      </w:pPr>
    </w:p>
    <w:p w:rsidRPr="00694105" w:rsidR="00694105" w:rsidP="00694105" w:rsidRDefault="00694105" w14:paraId="3A94DABC" w14:textId="77777777">
      <w:pPr>
        <w:tabs>
          <w:tab w:val="left" w:pos="2160"/>
        </w:tabs>
        <w:ind w:left="1418"/>
        <w:jc w:val="both"/>
        <w:rPr>
          <w:i/>
          <w:iCs/>
          <w:lang w:val="es-PE"/>
        </w:rPr>
      </w:pPr>
      <w:r w:rsidRPr="00694105">
        <w:rPr>
          <w:i/>
          <w:iCs/>
          <w:lang w:val="es-PE"/>
        </w:rPr>
        <w:t>40. Es aquí donde este Colegiado, coincidiendo con la Comisión, considera que debe realizarse una precisión sobre los alcances de la interpretación y aplicación del artículo 17° del Reglamento del SOAT con relación a cubrir a los ocupantes del vehículo que no contara con SOAT, a propósito del presente caso, en tanto repara, en atención a las normas precitadas, que un chofer negligente no puede gozar de la misma protección que los otros ocupantes del vehículo (manejado por aquel) que no cuenta con SOAT.</w:t>
      </w:r>
    </w:p>
    <w:p w:rsidRPr="00694105" w:rsidR="00694105" w:rsidP="00694105" w:rsidRDefault="00694105" w14:paraId="7B9842C6" w14:textId="77777777">
      <w:pPr>
        <w:tabs>
          <w:tab w:val="left" w:pos="2160"/>
        </w:tabs>
        <w:jc w:val="both"/>
      </w:pPr>
    </w:p>
    <w:p w:rsidRPr="00694105" w:rsidR="00694105" w:rsidP="00694105" w:rsidRDefault="00694105" w14:paraId="1B469606" w14:textId="77777777">
      <w:pPr>
        <w:tabs>
          <w:tab w:val="left" w:pos="2160"/>
        </w:tabs>
        <w:jc w:val="both"/>
      </w:pPr>
      <w:r w:rsidRPr="00694105">
        <w:t xml:space="preserve">Ahora bien, el presente colegiado, anteriormente, también ha tenido oportunidad de pronunciarse respecto del presente tema. En ese sentido, con ocasión de la Resolución de Impugnación </w:t>
      </w:r>
      <w:proofErr w:type="spellStart"/>
      <w:r w:rsidRPr="00694105">
        <w:t>N°</w:t>
      </w:r>
      <w:proofErr w:type="spellEnd"/>
      <w:r w:rsidRPr="00694105">
        <w:t xml:space="preserve"> 38/20, en la que se tomó como referencia la posición asumida por INDECOPI en la Resolución citada previamente. Así, la Resolución de Impugnación </w:t>
      </w:r>
      <w:proofErr w:type="spellStart"/>
      <w:r w:rsidRPr="00694105">
        <w:t>N°</w:t>
      </w:r>
      <w:proofErr w:type="spellEnd"/>
      <w:r w:rsidRPr="00694105">
        <w:t xml:space="preserve"> 38/20 manifestó lo siguiente:</w:t>
      </w:r>
    </w:p>
    <w:p w:rsidRPr="00694105" w:rsidR="00694105" w:rsidP="00694105" w:rsidRDefault="00694105" w14:paraId="7DF633D3" w14:textId="77777777">
      <w:pPr>
        <w:tabs>
          <w:tab w:val="left" w:pos="2160"/>
        </w:tabs>
        <w:jc w:val="both"/>
      </w:pPr>
    </w:p>
    <w:p w:rsidRPr="00694105" w:rsidR="00694105" w:rsidP="00694105" w:rsidRDefault="00694105" w14:paraId="692F2913" w14:textId="77777777">
      <w:pPr>
        <w:tabs>
          <w:tab w:val="left" w:pos="2160"/>
        </w:tabs>
        <w:jc w:val="both"/>
      </w:pPr>
    </w:p>
    <w:p w:rsidRPr="00694105" w:rsidR="00694105" w:rsidP="00694105" w:rsidRDefault="00694105" w14:paraId="5147AED2" w14:textId="77777777">
      <w:pPr>
        <w:ind w:left="720"/>
        <w:jc w:val="both"/>
        <w:rPr>
          <w:i/>
          <w:iCs/>
          <w:lang w:val="es-PE"/>
        </w:rPr>
      </w:pPr>
      <w:r w:rsidRPr="00694105">
        <w:rPr>
          <w:i/>
          <w:iCs/>
          <w:lang w:val="es-PE"/>
        </w:rPr>
        <w:t xml:space="preserve">“En particular, este colegiado tiene a bien trascribir la resolución de Indecopi que se cita en la resolución impugnada y sobre la cual la reclamante no se pronuncia: </w:t>
      </w:r>
    </w:p>
    <w:p w:rsidRPr="00694105" w:rsidR="00694105" w:rsidP="00694105" w:rsidRDefault="00694105" w14:paraId="460A7DDD" w14:textId="77777777">
      <w:pPr>
        <w:jc w:val="both"/>
        <w:rPr>
          <w:i/>
          <w:iCs/>
          <w:lang w:val="es-PE"/>
        </w:rPr>
      </w:pPr>
    </w:p>
    <w:p w:rsidRPr="00694105" w:rsidR="00694105" w:rsidP="00694105" w:rsidRDefault="00694105" w14:paraId="1B8B5D61" w14:textId="77777777">
      <w:pPr>
        <w:pStyle w:val="Prrafodelista"/>
        <w:tabs>
          <w:tab w:val="left" w:pos="2160"/>
        </w:tabs>
        <w:ind w:left="1440"/>
        <w:jc w:val="both"/>
        <w:rPr>
          <w:i/>
          <w:iCs/>
          <w:color w:val="000000"/>
          <w:lang w:val="es-PE"/>
        </w:rPr>
      </w:pPr>
      <w:proofErr w:type="gramStart"/>
      <w:r w:rsidRPr="00694105">
        <w:rPr>
          <w:i/>
          <w:iCs/>
          <w:color w:val="000000"/>
        </w:rPr>
        <w:t>“ (</w:t>
      </w:r>
      <w:proofErr w:type="gramEnd"/>
      <w:r w:rsidRPr="00694105">
        <w:rPr>
          <w:i/>
          <w:iCs/>
          <w:color w:val="000000"/>
        </w:rPr>
        <w:t xml:space="preserve">…) existe jurisprudencia de Indecopi que ratifica dicho criterio, es decir, que el SOAT del vehículo asegurado no alcanza al conductor del vehículo sin SOAT. Por lo que aun cuando este colegiado no coincide con todos los argumentos de dicha jurisprudencia -pues conforme se ha referido en el considerando precedente esta Defensoría  considera que el SOAT de un vehículo no alcanza a los ocupantes y menos al conductor de un vehículo sin SOAT, sino únicamente a lo terceros no ocupantes como sería un peatón-, este colegiado tiene a bien referir dicho antecedente que se refiere al caso en controversia, por lo que a continuación se transcribe el considerando </w:t>
      </w:r>
      <w:proofErr w:type="spellStart"/>
      <w:r w:rsidRPr="00694105">
        <w:rPr>
          <w:i/>
          <w:iCs/>
          <w:color w:val="000000"/>
        </w:rPr>
        <w:t>Nº</w:t>
      </w:r>
      <w:proofErr w:type="spellEnd"/>
      <w:r w:rsidRPr="00694105">
        <w:rPr>
          <w:i/>
          <w:iCs/>
          <w:color w:val="000000"/>
        </w:rPr>
        <w:t xml:space="preserve"> 41, parte pertinente del </w:t>
      </w:r>
      <w:proofErr w:type="spellStart"/>
      <w:r w:rsidRPr="00694105">
        <w:rPr>
          <w:i/>
          <w:iCs/>
          <w:color w:val="000000"/>
        </w:rPr>
        <w:t>Nº</w:t>
      </w:r>
      <w:proofErr w:type="spellEnd"/>
      <w:r w:rsidRPr="00694105">
        <w:rPr>
          <w:i/>
          <w:iCs/>
          <w:color w:val="000000"/>
        </w:rPr>
        <w:t xml:space="preserve"> 42 y el considerando </w:t>
      </w:r>
      <w:proofErr w:type="spellStart"/>
      <w:r w:rsidRPr="00694105">
        <w:rPr>
          <w:i/>
          <w:iCs/>
          <w:color w:val="000000"/>
        </w:rPr>
        <w:t>Nº</w:t>
      </w:r>
      <w:proofErr w:type="spellEnd"/>
      <w:r w:rsidRPr="00694105">
        <w:rPr>
          <w:i/>
          <w:iCs/>
          <w:color w:val="000000"/>
        </w:rPr>
        <w:t xml:space="preserve"> 50 de la Resolución </w:t>
      </w:r>
      <w:proofErr w:type="spellStart"/>
      <w:r w:rsidRPr="00694105">
        <w:rPr>
          <w:i/>
          <w:iCs/>
          <w:color w:val="000000"/>
        </w:rPr>
        <w:t>Nº</w:t>
      </w:r>
      <w:proofErr w:type="spellEnd"/>
      <w:r w:rsidRPr="00694105">
        <w:rPr>
          <w:i/>
          <w:iCs/>
          <w:color w:val="000000"/>
        </w:rPr>
        <w:t xml:space="preserve"> 4288-2016/SPC-INDECOPI: </w:t>
      </w:r>
    </w:p>
    <w:p w:rsidRPr="00694105" w:rsidR="00694105" w:rsidP="00694105" w:rsidRDefault="00694105" w14:paraId="4C8A20C3" w14:textId="77777777">
      <w:pPr>
        <w:pStyle w:val="Prrafodelista"/>
        <w:tabs>
          <w:tab w:val="left" w:pos="2160"/>
        </w:tabs>
        <w:jc w:val="both"/>
        <w:rPr>
          <w:i/>
          <w:iCs/>
          <w:color w:val="000000"/>
        </w:rPr>
      </w:pPr>
    </w:p>
    <w:p w:rsidRPr="00694105" w:rsidR="00694105" w:rsidP="00694105" w:rsidRDefault="00694105" w14:paraId="6A17C077" w14:textId="77777777">
      <w:pPr>
        <w:pStyle w:val="Prrafodelista"/>
        <w:tabs>
          <w:tab w:val="left" w:pos="2160"/>
        </w:tabs>
        <w:ind w:left="1440"/>
        <w:jc w:val="both"/>
        <w:rPr>
          <w:i/>
          <w:iCs/>
          <w:color w:val="000000"/>
        </w:rPr>
      </w:pPr>
      <w:r w:rsidRPr="00694105">
        <w:rPr>
          <w:i/>
          <w:iCs/>
          <w:color w:val="000000"/>
        </w:rPr>
        <w:t xml:space="preserve">“41. En efecto, teniendo en cuenta que es deber de todo conductor contratar el seguro SOAT para su vehículo antes de hacerlo circular, no resulta </w:t>
      </w:r>
      <w:r w:rsidRPr="00694105">
        <w:rPr>
          <w:i/>
          <w:iCs/>
          <w:color w:val="000000"/>
        </w:rPr>
        <w:t xml:space="preserve">correcto que ante un siniestro, este conductor, que no cumple con tal obligación legal, reclame a la aseguradora de otro vehículo interviniente en el siniestro (que cuenta con SOAT) una indemnización por los daños materiales y personales que haya sufrido, cuando este, en primera instancia, no ha cumplido con el deber legal antes mencionado, esto es contar y pagar por un SOAT destinado a cubrir a los ocupantes y terceros no ocupantes con relación a su propio vehículo. </w:t>
      </w:r>
    </w:p>
    <w:p w:rsidRPr="00694105" w:rsidR="00694105" w:rsidP="00694105" w:rsidRDefault="00694105" w14:paraId="2C3F7717" w14:textId="77777777">
      <w:pPr>
        <w:pStyle w:val="Prrafodelista"/>
        <w:tabs>
          <w:tab w:val="left" w:pos="2160"/>
        </w:tabs>
        <w:ind w:left="1440"/>
        <w:jc w:val="both"/>
        <w:rPr>
          <w:i/>
          <w:iCs/>
          <w:color w:val="000000"/>
        </w:rPr>
      </w:pPr>
      <w:r w:rsidRPr="00694105">
        <w:rPr>
          <w:i/>
          <w:iCs/>
          <w:color w:val="000000"/>
        </w:rPr>
        <w:t>42. Así, la Sala coincide con la Comisión cuando esta indica que si un agente de tránsito conduce un vehículo a sabiendas que no cuenta con un SOAT, no podría ser considerado como beneficiario de dicho seguro, en tanto ha actuado inobservando un deber de cuidado impuesto por ley, (…).</w:t>
      </w:r>
    </w:p>
    <w:p w:rsidRPr="00694105" w:rsidR="00694105" w:rsidP="00694105" w:rsidRDefault="00694105" w14:paraId="19C86960" w14:textId="77777777">
      <w:pPr>
        <w:pStyle w:val="Prrafodelista"/>
        <w:tabs>
          <w:tab w:val="left" w:pos="2160"/>
        </w:tabs>
        <w:ind w:left="1440"/>
        <w:jc w:val="both"/>
        <w:rPr>
          <w:i/>
          <w:iCs/>
          <w:color w:val="000000"/>
        </w:rPr>
      </w:pPr>
      <w:r w:rsidRPr="00694105">
        <w:rPr>
          <w:i/>
          <w:iCs/>
          <w:color w:val="000000"/>
        </w:rPr>
        <w:t>(…).</w:t>
      </w:r>
    </w:p>
    <w:p w:rsidRPr="00694105" w:rsidR="00694105" w:rsidP="00694105" w:rsidRDefault="00694105" w14:paraId="387F4E4F" w14:textId="77777777">
      <w:pPr>
        <w:pStyle w:val="Prrafodelista"/>
        <w:tabs>
          <w:tab w:val="left" w:pos="2160"/>
        </w:tabs>
        <w:ind w:left="1440"/>
        <w:jc w:val="both"/>
        <w:rPr>
          <w:i/>
          <w:iCs/>
          <w:color w:val="000000"/>
          <w:lang w:val="es-PE"/>
        </w:rPr>
      </w:pPr>
      <w:r w:rsidRPr="00694105">
        <w:rPr>
          <w:i/>
          <w:iCs/>
          <w:color w:val="000000"/>
        </w:rPr>
        <w:t>50. En este orden de ideas, considerando que el conductor irresponsable, en este caso el señor (…), no debe verse beneficiado por el seguro SOAT, dado que no cumplió con su obligación de contar con este tipo de seguro al momento del siniestro y, en ese sentido, esta situación replica en sus eventuales beneficiarios como es el caso de la señora (…), se evidencia que (…), por la interpretación que este Colegiado da a las normas del SOAT, no negó de forma indebida la cobertura del seguro SOAT a favor de esta última”.”</w:t>
      </w:r>
    </w:p>
    <w:p w:rsidRPr="00694105" w:rsidR="00694105" w:rsidP="00694105" w:rsidRDefault="00694105" w14:paraId="06EBFCA7" w14:textId="77777777">
      <w:pPr>
        <w:jc w:val="both"/>
        <w:rPr>
          <w:lang w:val="es-PE"/>
        </w:rPr>
      </w:pPr>
    </w:p>
    <w:p w:rsidRPr="00694105" w:rsidR="00694105" w:rsidP="00694105" w:rsidRDefault="00694105" w14:paraId="26483EE1" w14:textId="77777777">
      <w:pPr>
        <w:ind w:left="720"/>
        <w:jc w:val="both"/>
        <w:rPr>
          <w:b/>
          <w:i/>
          <w:iCs/>
          <w:lang w:val="es-PE"/>
        </w:rPr>
      </w:pPr>
      <w:r w:rsidRPr="00694105">
        <w:rPr>
          <w:b/>
          <w:i/>
          <w:iCs/>
          <w:lang w:val="es-PE"/>
        </w:rPr>
        <w:t>Atendiendo a lo expresado, conforme a su Reglamento, este colegiado resuelve:</w:t>
      </w:r>
    </w:p>
    <w:p w:rsidRPr="00694105" w:rsidR="00694105" w:rsidP="00694105" w:rsidRDefault="00694105" w14:paraId="3CA0F7A9" w14:textId="77777777">
      <w:pPr>
        <w:jc w:val="both"/>
        <w:rPr>
          <w:rFonts w:eastAsia="Arial Unicode MS"/>
          <w:b/>
          <w:i/>
          <w:iCs/>
          <w:lang w:val="es-PE"/>
        </w:rPr>
      </w:pPr>
    </w:p>
    <w:p w:rsidR="00694105" w:rsidP="00694105" w:rsidRDefault="00694105" w14:paraId="41BCDB1D" w14:textId="0957BEAC">
      <w:pPr>
        <w:ind w:left="720"/>
        <w:jc w:val="both"/>
        <w:rPr>
          <w:i/>
          <w:iCs/>
        </w:rPr>
      </w:pPr>
      <w:r w:rsidRPr="00694105">
        <w:rPr>
          <w:rFonts w:eastAsia="Arial Unicode MS"/>
          <w:b/>
          <w:i/>
          <w:iCs/>
          <w:lang w:val="es-PE"/>
        </w:rPr>
        <w:t xml:space="preserve">Declarar INFUNDADO el recurso impugnativo </w:t>
      </w:r>
      <w:r w:rsidRPr="00694105">
        <w:rPr>
          <w:rFonts w:eastAsia="Arial Unicode MS"/>
          <w:i/>
          <w:iCs/>
          <w:lang w:val="es-PE"/>
        </w:rPr>
        <w:t xml:space="preserve">(…) </w:t>
      </w:r>
      <w:r w:rsidRPr="00694105">
        <w:rPr>
          <w:i/>
          <w:iCs/>
        </w:rPr>
        <w:t xml:space="preserve">y, por consiguiente, </w:t>
      </w:r>
      <w:r w:rsidRPr="00694105">
        <w:rPr>
          <w:b/>
          <w:i/>
          <w:iCs/>
        </w:rPr>
        <w:t xml:space="preserve">CONFIRMAR </w:t>
      </w:r>
      <w:r w:rsidRPr="00694105">
        <w:rPr>
          <w:i/>
          <w:iCs/>
        </w:rPr>
        <w:t>la Resolución Nro. 071/20 de fecha 10 de agosto de 2020, dejando a salvo el derecho del reclamante de accionar ante las instancias que estime pertinente.”</w:t>
      </w:r>
    </w:p>
    <w:p w:rsidRPr="00694105" w:rsidR="00694105" w:rsidP="00694105" w:rsidRDefault="00694105" w14:paraId="063A770C" w14:textId="77777777">
      <w:pPr>
        <w:ind w:left="720"/>
        <w:jc w:val="both"/>
        <w:rPr>
          <w:i/>
          <w:iCs/>
        </w:rPr>
      </w:pPr>
    </w:p>
    <w:p w:rsidRPr="00694105" w:rsidR="00694105" w:rsidP="00694105" w:rsidRDefault="00694105" w14:paraId="052EB756" w14:textId="77777777">
      <w:pPr>
        <w:tabs>
          <w:tab w:val="left" w:pos="2160"/>
        </w:tabs>
        <w:jc w:val="both"/>
      </w:pPr>
      <w:r w:rsidRPr="00694105">
        <w:rPr>
          <w:b/>
          <w:u w:val="single"/>
          <w:lang w:val="es-PE"/>
        </w:rPr>
        <w:t>Octavo:</w:t>
      </w:r>
      <w:r w:rsidRPr="00694105">
        <w:rPr>
          <w:lang w:val="es-PE"/>
        </w:rPr>
        <w:t xml:space="preserve"> </w:t>
      </w:r>
      <w:r w:rsidRPr="00694105">
        <w:t>Como se puede apreciar, la posición del presente colegiado resulta consistente con la posición legal asumida por el INDECOPI y el Poder Judicial. Asimismo, resulta consistente en el tiempo, atendiendo al derecho a un trato igualitario entre las partes.</w:t>
      </w:r>
    </w:p>
    <w:p w:rsidRPr="00694105" w:rsidR="00694105" w:rsidP="00694105" w:rsidRDefault="00694105" w14:paraId="6C3C22E0" w14:textId="77777777">
      <w:pPr>
        <w:tabs>
          <w:tab w:val="left" w:pos="2160"/>
        </w:tabs>
        <w:jc w:val="both"/>
      </w:pPr>
    </w:p>
    <w:p w:rsidRPr="00694105" w:rsidR="00694105" w:rsidP="00694105" w:rsidRDefault="00694105" w14:paraId="5A12D3E6" w14:textId="77777777">
      <w:pPr>
        <w:tabs>
          <w:tab w:val="left" w:pos="2160"/>
        </w:tabs>
        <w:jc w:val="both"/>
        <w:rPr>
          <w:lang w:val="es-PE"/>
        </w:rPr>
      </w:pPr>
      <w:r w:rsidRPr="00694105">
        <w:t xml:space="preserve">Así pues, se puede advertir que </w:t>
      </w:r>
      <w:r w:rsidRPr="00694105">
        <w:rPr>
          <w:lang w:val="es-PE"/>
        </w:rPr>
        <w:t xml:space="preserve">la Carta de Rechazo de la aseguradora basa su denegatoria en una interpretación del Reglamento del Seguro Obligatorio de Accidentes de Tránsito que se encuentra respaldada por el INDECOPI, así como por el Poder Judicial. En el mismo sentido, encuentra respaldo en la jurisprudencia emitida por el presente colegiado en casos previos. </w:t>
      </w:r>
    </w:p>
    <w:p w:rsidRPr="00694105" w:rsidR="00694105" w:rsidP="00694105" w:rsidRDefault="00694105" w14:paraId="1F580762" w14:textId="77777777">
      <w:pPr>
        <w:tabs>
          <w:tab w:val="left" w:pos="2160"/>
        </w:tabs>
        <w:jc w:val="both"/>
        <w:rPr>
          <w:lang w:val="es-PE"/>
        </w:rPr>
      </w:pPr>
    </w:p>
    <w:p w:rsidRPr="00694105" w:rsidR="00694105" w:rsidP="00694105" w:rsidRDefault="00694105" w14:paraId="0F1FF280" w14:textId="77777777">
      <w:pPr>
        <w:tabs>
          <w:tab w:val="left" w:pos="2160"/>
        </w:tabs>
        <w:jc w:val="both"/>
        <w:rPr>
          <w:lang w:val="es-PE"/>
        </w:rPr>
      </w:pPr>
      <w:r w:rsidRPr="00694105">
        <w:rPr>
          <w:lang w:val="es-PE"/>
        </w:rPr>
        <w:t xml:space="preserve">De </w:t>
      </w:r>
      <w:proofErr w:type="spellStart"/>
      <w:r w:rsidRPr="00694105">
        <w:rPr>
          <w:lang w:val="es-PE"/>
        </w:rPr>
        <w:t>est</w:t>
      </w:r>
      <w:proofErr w:type="spellEnd"/>
      <w:r w:rsidRPr="00694105">
        <w:rPr>
          <w:lang w:val="es-PE"/>
        </w:rPr>
        <w:t xml:space="preserve">, resulta obligación del propietario de cada vehículo contratar un SOAT, siendo que la interpretación de </w:t>
      </w:r>
      <w:r w:rsidRPr="00694105">
        <w:rPr>
          <w:i/>
          <w:iCs/>
          <w:lang w:val="es-PE"/>
        </w:rPr>
        <w:t>tercero no ocupante</w:t>
      </w:r>
      <w:r w:rsidRPr="00694105">
        <w:rPr>
          <w:lang w:val="es-PE"/>
        </w:rPr>
        <w:t xml:space="preserve"> que se ve beneficiado de los alcances de la indemnización ante un posible siniestro, se restringe a aquellos afectados que no se encuentran ocupando un vehículo dentro de los alcances de la obligación de contratación del SOAT.</w:t>
      </w:r>
    </w:p>
    <w:p w:rsidRPr="00694105" w:rsidR="00694105" w:rsidP="00694105" w:rsidRDefault="00694105" w14:paraId="57A6DF4E" w14:textId="77777777">
      <w:pPr>
        <w:tabs>
          <w:tab w:val="left" w:pos="2160"/>
        </w:tabs>
        <w:jc w:val="both"/>
        <w:rPr>
          <w:lang w:val="es-PE"/>
        </w:rPr>
      </w:pPr>
    </w:p>
    <w:p w:rsidRPr="00694105" w:rsidR="00694105" w:rsidP="00694105" w:rsidRDefault="00694105" w14:paraId="37D1A620" w14:textId="77777777">
      <w:pPr>
        <w:tabs>
          <w:tab w:val="left" w:pos="2160"/>
        </w:tabs>
        <w:jc w:val="both"/>
        <w:rPr>
          <w:lang w:val="es-PE"/>
        </w:rPr>
      </w:pPr>
      <w:r w:rsidRPr="00694105">
        <w:rPr>
          <w:lang w:val="es-PE"/>
        </w:rPr>
        <w:t>En consecuencia, el rechazo de cobertura informado por la aseguradora resulta legítimo, conforme a los argumentos expuestos previamente.</w:t>
      </w:r>
    </w:p>
    <w:p w:rsidRPr="00694105" w:rsidR="00694105" w:rsidP="00694105" w:rsidRDefault="00694105" w14:paraId="00DEFDF5" w14:textId="77777777">
      <w:pPr>
        <w:tabs>
          <w:tab w:val="left" w:pos="2160"/>
        </w:tabs>
        <w:jc w:val="both"/>
      </w:pPr>
    </w:p>
    <w:p w:rsidRPr="00694105" w:rsidR="00694105" w:rsidP="00694105" w:rsidRDefault="00694105" w14:paraId="05C15BCD" w14:textId="77777777">
      <w:pPr>
        <w:tabs>
          <w:tab w:val="left" w:pos="2160"/>
        </w:tabs>
        <w:jc w:val="both"/>
        <w:rPr>
          <w:b/>
          <w:lang w:val="es-PE"/>
        </w:rPr>
      </w:pPr>
      <w:r w:rsidRPr="00694105">
        <w:rPr>
          <w:b/>
          <w:lang w:val="es-PE"/>
        </w:rPr>
        <w:t xml:space="preserve">Atendiendo a lo expresado, este colegiado </w:t>
      </w:r>
      <w:r w:rsidRPr="00694105">
        <w:rPr>
          <w:b/>
        </w:rPr>
        <w:t>concluye su apreciación razonada y conjunta al amparo de lo establecido en su Reglamento, por lo que</w:t>
      </w:r>
      <w:r w:rsidRPr="00694105">
        <w:rPr>
          <w:b/>
          <w:lang w:val="es-PE"/>
        </w:rPr>
        <w:t xml:space="preserve"> resuelve:</w:t>
      </w:r>
    </w:p>
    <w:p w:rsidRPr="00694105" w:rsidR="00694105" w:rsidP="00694105" w:rsidRDefault="00694105" w14:paraId="65EB7900" w14:textId="77777777">
      <w:pPr>
        <w:tabs>
          <w:tab w:val="left" w:pos="2160"/>
        </w:tabs>
        <w:jc w:val="both"/>
      </w:pPr>
    </w:p>
    <w:p w:rsidRPr="00694105" w:rsidR="00694105" w:rsidP="00694105" w:rsidRDefault="00694105" w14:paraId="158DDCD0" w14:textId="26E53D30">
      <w:pPr>
        <w:tabs>
          <w:tab w:val="left" w:pos="2160"/>
        </w:tabs>
        <w:jc w:val="both"/>
        <w:rPr>
          <w:lang w:val="es-PE"/>
        </w:rPr>
      </w:pPr>
      <w:r w:rsidRPr="74E823D2" w:rsidR="00694105">
        <w:rPr>
          <w:lang w:val="es-PE"/>
        </w:rPr>
        <w:t xml:space="preserve">Declarar </w:t>
      </w:r>
      <w:r w:rsidRPr="74E823D2" w:rsidR="00694105">
        <w:rPr>
          <w:b w:val="1"/>
          <w:bCs w:val="1"/>
          <w:lang w:val="es-PE"/>
        </w:rPr>
        <w:t>IN</w:t>
      </w:r>
      <w:r w:rsidRPr="74E823D2" w:rsidR="00694105">
        <w:rPr>
          <w:b w:val="1"/>
          <w:bCs w:val="1"/>
          <w:lang w:val="es-PE"/>
        </w:rPr>
        <w:t xml:space="preserve">FUNDADA </w:t>
      </w:r>
      <w:r w:rsidRPr="74E823D2" w:rsidR="00694105">
        <w:rPr>
          <w:lang w:val="es-PE"/>
        </w:rPr>
        <w:t xml:space="preserve">la reclamación interpuesta por doña </w:t>
      </w:r>
      <w:r w:rsidRPr="74E823D2" w:rsidR="6545E513">
        <w:rPr>
          <w:b w:val="1"/>
          <w:bCs w:val="1"/>
          <w:lang w:val="es-PE"/>
        </w:rPr>
        <w:t>...........................................................................</w:t>
      </w:r>
      <w:r w:rsidRPr="74E823D2" w:rsidR="00694105">
        <w:rPr>
          <w:b w:val="1"/>
          <w:bCs w:val="1"/>
          <w:lang w:val="es-PE"/>
        </w:rPr>
        <w:t xml:space="preserve"> </w:t>
      </w:r>
      <w:r w:rsidRPr="74E823D2" w:rsidR="00694105">
        <w:rPr>
          <w:lang w:val="es-PE"/>
        </w:rPr>
        <w:t xml:space="preserve">contra </w:t>
      </w:r>
      <w:r w:rsidRPr="74E823D2" w:rsidR="25543E9A">
        <w:rPr>
          <w:b w:val="1"/>
          <w:bCs w:val="1"/>
          <w:lang w:val="es-PE"/>
        </w:rPr>
        <w:t>................................................................................</w:t>
      </w:r>
      <w:r w:rsidRPr="74E823D2" w:rsidR="00694105">
        <w:rPr>
          <w:lang w:val="es-PE"/>
        </w:rPr>
        <w:t>, dejando a salvo el derecho de la reclamante de acudir ante las instancias que estime pertinente.</w:t>
      </w:r>
    </w:p>
    <w:p w:rsidRPr="00694105" w:rsidR="00F15FBA" w:rsidP="00F15FBA" w:rsidRDefault="00F15FBA" w14:paraId="70E046FE" w14:textId="77777777">
      <w:pPr>
        <w:jc w:val="right"/>
        <w:outlineLvl w:val="0"/>
        <w:rPr>
          <w:lang w:val="es-PE"/>
        </w:rPr>
      </w:pPr>
      <w:r w:rsidRPr="00694105">
        <w:rPr>
          <w:lang w:val="es-PE"/>
        </w:rPr>
        <w:t xml:space="preserve"> </w:t>
      </w:r>
    </w:p>
    <w:p w:rsidRPr="00694105" w:rsidR="001631D6" w:rsidP="00F202DC" w:rsidRDefault="00F15FBA" w14:paraId="48C7895B" w14:textId="11F338E6">
      <w:pPr>
        <w:jc w:val="right"/>
        <w:outlineLvl w:val="0"/>
        <w:rPr>
          <w:lang w:val="es-PE"/>
        </w:rPr>
      </w:pPr>
      <w:r w:rsidRPr="00694105">
        <w:rPr>
          <w:lang w:val="es-PE"/>
        </w:rPr>
        <w:t xml:space="preserve">Lima, </w:t>
      </w:r>
      <w:r w:rsidRPr="00694105" w:rsidR="004C6A2A">
        <w:t>31</w:t>
      </w:r>
      <w:r w:rsidRPr="00694105" w:rsidR="00732DCE">
        <w:t xml:space="preserve"> </w:t>
      </w:r>
      <w:r w:rsidRPr="00694105">
        <w:rPr>
          <w:lang w:val="es-PE"/>
        </w:rPr>
        <w:t>de</w:t>
      </w:r>
      <w:r w:rsidRPr="00694105" w:rsidR="001631D6">
        <w:rPr>
          <w:lang w:val="es-PE"/>
        </w:rPr>
        <w:t xml:space="preserve"> </w:t>
      </w:r>
      <w:r w:rsidRPr="00694105" w:rsidR="003E6BA6">
        <w:rPr>
          <w:lang w:val="es-PE"/>
        </w:rPr>
        <w:t>en</w:t>
      </w:r>
      <w:r w:rsidRPr="00694105" w:rsidR="00807D21">
        <w:rPr>
          <w:lang w:val="es-PE"/>
        </w:rPr>
        <w:t>ero</w:t>
      </w:r>
      <w:r w:rsidRPr="00694105" w:rsidR="001631D6">
        <w:rPr>
          <w:lang w:val="es-PE"/>
        </w:rPr>
        <w:t xml:space="preserve"> </w:t>
      </w:r>
      <w:r w:rsidRPr="00694105">
        <w:rPr>
          <w:lang w:val="es-PE"/>
        </w:rPr>
        <w:t>de 20</w:t>
      </w:r>
      <w:r w:rsidRPr="00694105" w:rsidR="001631D6">
        <w:rPr>
          <w:lang w:val="es-PE"/>
        </w:rPr>
        <w:t>2</w:t>
      </w:r>
      <w:r w:rsidRPr="00694105" w:rsidR="00807D21">
        <w:rPr>
          <w:lang w:val="es-PE"/>
        </w:rPr>
        <w:t>3</w:t>
      </w:r>
    </w:p>
    <w:p w:rsidRPr="00694105" w:rsidR="001631D6" w:rsidP="001631D6" w:rsidRDefault="001631D6" w14:paraId="30F8D459" w14:textId="2A212DE5">
      <w:pPr>
        <w:jc w:val="both"/>
      </w:pPr>
    </w:p>
    <w:p w:rsidRPr="00694105" w:rsidR="00F202DC" w:rsidP="001631D6" w:rsidRDefault="00F202DC" w14:paraId="55EA6443" w14:textId="77777777">
      <w:pPr>
        <w:jc w:val="both"/>
      </w:pPr>
    </w:p>
    <w:p w:rsidRPr="00694105" w:rsidR="001631D6" w:rsidP="001631D6" w:rsidRDefault="001631D6" w14:paraId="54F717D9" w14:textId="77777777">
      <w:pPr>
        <w:jc w:val="both"/>
        <w:rPr>
          <w:b/>
          <w:bCs/>
          <w:i/>
          <w:iCs/>
          <w:lang w:val="es-ES_tradnl"/>
        </w:rPr>
      </w:pPr>
      <w:r w:rsidRPr="00694105">
        <w:rPr>
          <w:b/>
          <w:bCs/>
          <w:i/>
          <w:iCs/>
          <w:lang w:val="es-ES_tradnl"/>
        </w:rPr>
        <w:t>La Secretaría Técnica certifica que la presente resolución cuenta con el voto de los vocales cuyos nombres figuran en el presente documento.</w:t>
      </w:r>
    </w:p>
    <w:p w:rsidRPr="00694105" w:rsidR="001631D6" w:rsidP="001631D6" w:rsidRDefault="001631D6" w14:paraId="265ABE8B" w14:textId="77777777">
      <w:pPr>
        <w:jc w:val="both"/>
        <w:rPr>
          <w:b/>
          <w:bCs/>
          <w:i/>
          <w:iCs/>
          <w:lang w:val="es-ES_tradnl"/>
        </w:rPr>
      </w:pPr>
    </w:p>
    <w:p w:rsidRPr="00694105" w:rsidR="001631D6" w:rsidP="001631D6" w:rsidRDefault="001631D6" w14:paraId="024CA4C1" w14:textId="77777777">
      <w:pPr>
        <w:jc w:val="both"/>
        <w:rPr>
          <w:b/>
          <w:bCs/>
          <w:i/>
          <w:iCs/>
          <w:lang w:val="es-ES_tradnl"/>
        </w:rPr>
      </w:pPr>
    </w:p>
    <w:p w:rsidRPr="00694105" w:rsidR="003E6BA6" w:rsidP="003E6BA6" w:rsidRDefault="003E6BA6" w14:paraId="7E9839D4" w14:textId="5DB01808">
      <w:pPr>
        <w:spacing w:line="360" w:lineRule="auto"/>
        <w:jc w:val="center"/>
        <w:rPr>
          <w:b/>
          <w:bCs/>
        </w:rPr>
      </w:pPr>
      <w:r w:rsidRPr="00694105">
        <w:rPr>
          <w:b/>
          <w:bCs/>
        </w:rPr>
        <w:t xml:space="preserve">María Eugenia Valdez Fernández Baca – </w:t>
      </w:r>
      <w:proofErr w:type="gramStart"/>
      <w:r w:rsidRPr="00694105">
        <w:rPr>
          <w:b/>
          <w:bCs/>
        </w:rPr>
        <w:t>Presidente</w:t>
      </w:r>
      <w:proofErr w:type="gramEnd"/>
    </w:p>
    <w:p w:rsidRPr="00694105" w:rsidR="001631D6" w:rsidP="001631D6" w:rsidRDefault="001631D6" w14:paraId="515933D0" w14:textId="5FD7ECBB">
      <w:pPr>
        <w:spacing w:line="360" w:lineRule="auto"/>
        <w:jc w:val="center"/>
        <w:rPr>
          <w:b/>
          <w:bCs/>
        </w:rPr>
      </w:pPr>
      <w:r w:rsidRPr="00694105">
        <w:rPr>
          <w:b/>
          <w:bCs/>
        </w:rPr>
        <w:t xml:space="preserve">Rolando Eyzaguirre </w:t>
      </w:r>
      <w:proofErr w:type="spellStart"/>
      <w:r w:rsidRPr="00694105">
        <w:rPr>
          <w:b/>
          <w:bCs/>
        </w:rPr>
        <w:t>Maccan</w:t>
      </w:r>
      <w:proofErr w:type="spellEnd"/>
      <w:r w:rsidRPr="00694105">
        <w:rPr>
          <w:b/>
          <w:bCs/>
        </w:rPr>
        <w:t xml:space="preserve"> – </w:t>
      </w:r>
      <w:r w:rsidRPr="00694105" w:rsidR="003E6BA6">
        <w:rPr>
          <w:b/>
          <w:bCs/>
        </w:rPr>
        <w:t>Vocal</w:t>
      </w:r>
    </w:p>
    <w:p w:rsidRPr="00AC4C0C" w:rsidR="001631D6" w:rsidP="001631D6" w:rsidRDefault="00807D21" w14:paraId="4B70DE1B" w14:textId="0A8BEEE9">
      <w:pPr>
        <w:spacing w:line="360" w:lineRule="auto"/>
        <w:jc w:val="center"/>
        <w:rPr>
          <w:b/>
          <w:bCs/>
        </w:rPr>
      </w:pPr>
      <w:r w:rsidRPr="00AC4C0C">
        <w:rPr>
          <w:b/>
          <w:bCs/>
        </w:rPr>
        <w:t>Omar Alfaro Villanueva</w:t>
      </w:r>
      <w:r w:rsidRPr="00AC4C0C" w:rsidR="001631D6">
        <w:rPr>
          <w:b/>
          <w:bCs/>
        </w:rPr>
        <w:t xml:space="preserve"> – Vocal</w:t>
      </w:r>
    </w:p>
    <w:p w:rsidRPr="00AC4C0C" w:rsidR="001631D6" w:rsidP="001631D6" w:rsidRDefault="001631D6" w14:paraId="44059E74" w14:textId="77777777">
      <w:pPr>
        <w:spacing w:line="360" w:lineRule="auto"/>
        <w:jc w:val="center"/>
        <w:rPr>
          <w:lang w:val="es-MX"/>
        </w:rPr>
      </w:pPr>
      <w:r w:rsidRPr="00AC4C0C">
        <w:rPr>
          <w:b/>
          <w:bCs/>
        </w:rPr>
        <w:t>Gonzalo Abad del Busto - Vocal</w:t>
      </w:r>
    </w:p>
    <w:p w:rsidRPr="001631D6" w:rsidR="001631D6" w:rsidP="00F15FBA" w:rsidRDefault="001631D6" w14:paraId="0DA96C46" w14:textId="77777777">
      <w:pPr>
        <w:jc w:val="both"/>
        <w:rPr>
          <w:lang w:val="es-PE"/>
        </w:rPr>
      </w:pPr>
    </w:p>
    <w:p w:rsidRPr="001631D6" w:rsidR="00F15FBA" w:rsidP="00F15FBA" w:rsidRDefault="00F15FBA" w14:paraId="22C77427" w14:textId="77777777"/>
    <w:p w:rsidRPr="001631D6" w:rsidR="00F15FBA" w:rsidP="00F15FBA" w:rsidRDefault="00F15FBA" w14:paraId="58BFC23A" w14:textId="77777777"/>
    <w:p w:rsidRPr="001631D6" w:rsidR="00517989" w:rsidRDefault="00000000" w14:paraId="164CAA9F" w14:textId="77777777"/>
    <w:sectPr w:rsidRPr="001631D6"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84148" w:rsidP="005F148C" w:rsidRDefault="00F84148" w14:paraId="667BF850" w14:textId="77777777">
      <w:r>
        <w:separator/>
      </w:r>
    </w:p>
  </w:endnote>
  <w:endnote w:type="continuationSeparator" w:id="0">
    <w:p w:rsidR="00F84148" w:rsidP="005F148C" w:rsidRDefault="00F84148" w14:paraId="2BD67E0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84148" w:rsidP="005F148C" w:rsidRDefault="00F84148" w14:paraId="2E91D26A" w14:textId="77777777">
      <w:r>
        <w:separator/>
      </w:r>
    </w:p>
  </w:footnote>
  <w:footnote w:type="continuationSeparator" w:id="0">
    <w:p w:rsidR="00F84148" w:rsidP="005F148C" w:rsidRDefault="00F84148" w14:paraId="1AD2C5D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2"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3"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5"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16"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6D2854A0"/>
    <w:multiLevelType w:val="hybridMultilevel"/>
    <w:tmpl w:val="F7B8D0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2"/>
  </w:num>
  <w:num w:numId="2" w16cid:durableId="484517491">
    <w:abstractNumId w:val="14"/>
  </w:num>
  <w:num w:numId="3" w16cid:durableId="818159359">
    <w:abstractNumId w:val="13"/>
  </w:num>
  <w:num w:numId="4" w16cid:durableId="1722173265">
    <w:abstractNumId w:val="16"/>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15"/>
  </w:num>
  <w:num w:numId="17" w16cid:durableId="98508918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6021360">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5695"/>
    <w:rsid w:val="00035CCC"/>
    <w:rsid w:val="00084E51"/>
    <w:rsid w:val="00094DDA"/>
    <w:rsid w:val="000D2700"/>
    <w:rsid w:val="00103188"/>
    <w:rsid w:val="00121D19"/>
    <w:rsid w:val="00131FAD"/>
    <w:rsid w:val="00140C67"/>
    <w:rsid w:val="001631D6"/>
    <w:rsid w:val="00195646"/>
    <w:rsid w:val="001A3593"/>
    <w:rsid w:val="001B6607"/>
    <w:rsid w:val="001C2B16"/>
    <w:rsid w:val="001C5BFF"/>
    <w:rsid w:val="001D01FD"/>
    <w:rsid w:val="001E1429"/>
    <w:rsid w:val="001E6B7D"/>
    <w:rsid w:val="001F004E"/>
    <w:rsid w:val="0020442B"/>
    <w:rsid w:val="00233ED8"/>
    <w:rsid w:val="002370F4"/>
    <w:rsid w:val="00281026"/>
    <w:rsid w:val="002A2188"/>
    <w:rsid w:val="002B14D5"/>
    <w:rsid w:val="002E35A4"/>
    <w:rsid w:val="002E708C"/>
    <w:rsid w:val="00316A1B"/>
    <w:rsid w:val="0032570B"/>
    <w:rsid w:val="003977C8"/>
    <w:rsid w:val="003B46E3"/>
    <w:rsid w:val="003B4770"/>
    <w:rsid w:val="003B5737"/>
    <w:rsid w:val="003E6BA6"/>
    <w:rsid w:val="00417664"/>
    <w:rsid w:val="00417E23"/>
    <w:rsid w:val="00440C04"/>
    <w:rsid w:val="00444D29"/>
    <w:rsid w:val="00467825"/>
    <w:rsid w:val="00477D05"/>
    <w:rsid w:val="004854D9"/>
    <w:rsid w:val="004C5624"/>
    <w:rsid w:val="004C6A2A"/>
    <w:rsid w:val="004E50D6"/>
    <w:rsid w:val="00516549"/>
    <w:rsid w:val="00531FBE"/>
    <w:rsid w:val="0058358B"/>
    <w:rsid w:val="005C5922"/>
    <w:rsid w:val="005D1456"/>
    <w:rsid w:val="005E53F7"/>
    <w:rsid w:val="005F1349"/>
    <w:rsid w:val="005F148C"/>
    <w:rsid w:val="00647AEE"/>
    <w:rsid w:val="00651449"/>
    <w:rsid w:val="0069382D"/>
    <w:rsid w:val="00694105"/>
    <w:rsid w:val="006A1077"/>
    <w:rsid w:val="006D33B8"/>
    <w:rsid w:val="007224F7"/>
    <w:rsid w:val="00732DCE"/>
    <w:rsid w:val="00734447"/>
    <w:rsid w:val="00742D07"/>
    <w:rsid w:val="007474DB"/>
    <w:rsid w:val="00782489"/>
    <w:rsid w:val="00793F6A"/>
    <w:rsid w:val="0079416E"/>
    <w:rsid w:val="007B49ED"/>
    <w:rsid w:val="007C2FC5"/>
    <w:rsid w:val="007C3730"/>
    <w:rsid w:val="007D353F"/>
    <w:rsid w:val="00807D21"/>
    <w:rsid w:val="00834DFE"/>
    <w:rsid w:val="00835D6A"/>
    <w:rsid w:val="00864800"/>
    <w:rsid w:val="00865B73"/>
    <w:rsid w:val="00892A1F"/>
    <w:rsid w:val="008930FB"/>
    <w:rsid w:val="00895FF5"/>
    <w:rsid w:val="008A1DAB"/>
    <w:rsid w:val="008A67AB"/>
    <w:rsid w:val="008D0547"/>
    <w:rsid w:val="0092266A"/>
    <w:rsid w:val="00934888"/>
    <w:rsid w:val="009767BB"/>
    <w:rsid w:val="00977F56"/>
    <w:rsid w:val="009A7580"/>
    <w:rsid w:val="009B3934"/>
    <w:rsid w:val="009C28AE"/>
    <w:rsid w:val="009C4A1C"/>
    <w:rsid w:val="009E0BD4"/>
    <w:rsid w:val="009E254D"/>
    <w:rsid w:val="00A14315"/>
    <w:rsid w:val="00A223FC"/>
    <w:rsid w:val="00A22F39"/>
    <w:rsid w:val="00A80BAD"/>
    <w:rsid w:val="00AC4C0C"/>
    <w:rsid w:val="00AC68FA"/>
    <w:rsid w:val="00AC7D5A"/>
    <w:rsid w:val="00AE33DC"/>
    <w:rsid w:val="00AE40BA"/>
    <w:rsid w:val="00B04114"/>
    <w:rsid w:val="00B60E25"/>
    <w:rsid w:val="00B773DA"/>
    <w:rsid w:val="00B84F66"/>
    <w:rsid w:val="00BA6133"/>
    <w:rsid w:val="00BC6134"/>
    <w:rsid w:val="00BC633A"/>
    <w:rsid w:val="00BD063F"/>
    <w:rsid w:val="00BD5FD0"/>
    <w:rsid w:val="00C11655"/>
    <w:rsid w:val="00C21994"/>
    <w:rsid w:val="00C85630"/>
    <w:rsid w:val="00CA4FD6"/>
    <w:rsid w:val="00CA72E7"/>
    <w:rsid w:val="00CA7EDF"/>
    <w:rsid w:val="00CB0E23"/>
    <w:rsid w:val="00CB451A"/>
    <w:rsid w:val="00CB7C37"/>
    <w:rsid w:val="00CF3742"/>
    <w:rsid w:val="00D01DEB"/>
    <w:rsid w:val="00D128FF"/>
    <w:rsid w:val="00D15C1E"/>
    <w:rsid w:val="00D56839"/>
    <w:rsid w:val="00D86E87"/>
    <w:rsid w:val="00D9006E"/>
    <w:rsid w:val="00E635A2"/>
    <w:rsid w:val="00E908BC"/>
    <w:rsid w:val="00EF4FF0"/>
    <w:rsid w:val="00F029DD"/>
    <w:rsid w:val="00F1075C"/>
    <w:rsid w:val="00F15FBA"/>
    <w:rsid w:val="00F202DC"/>
    <w:rsid w:val="00F42DC6"/>
    <w:rsid w:val="00F465F7"/>
    <w:rsid w:val="00F71D17"/>
    <w:rsid w:val="00F84148"/>
    <w:rsid w:val="00F842A1"/>
    <w:rsid w:val="00F97A17"/>
    <w:rsid w:val="00FA3CBA"/>
    <w:rsid w:val="07507756"/>
    <w:rsid w:val="16627200"/>
    <w:rsid w:val="245FC3A0"/>
    <w:rsid w:val="25543E9A"/>
    <w:rsid w:val="37386E13"/>
    <w:rsid w:val="4AEEB24F"/>
    <w:rsid w:val="6545E513"/>
    <w:rsid w:val="6617D60A"/>
    <w:rsid w:val="74E823D2"/>
    <w:rsid w:val="77489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FB78576-7A62-4936-8859-0080A889558E}"/>
</file>

<file path=customXml/itemProps3.xml><?xml version="1.0" encoding="utf-8"?>
<ds:datastoreItem xmlns:ds="http://schemas.openxmlformats.org/officeDocument/2006/customXml" ds:itemID="{DD46E1B5-58A2-4FC8-BBDA-5024CEE941D4}"/>
</file>

<file path=customXml/itemProps4.xml><?xml version="1.0" encoding="utf-8"?>
<ds:datastoreItem xmlns:ds="http://schemas.openxmlformats.org/officeDocument/2006/customXml" ds:itemID="{508007D2-5FBB-42FB-92F9-03046E0F268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39</cp:revision>
  <cp:lastPrinted>2023-01-31T15:10:00Z</cp:lastPrinted>
  <dcterms:created xsi:type="dcterms:W3CDTF">2020-12-18T20:09:00Z</dcterms:created>
  <dcterms:modified xsi:type="dcterms:W3CDTF">2025-05-14T17:26:58Z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