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9A375C" w:rsidR="000341A4" w:rsidP="000341A4" w:rsidRDefault="000341A4" w14:paraId="6752CB7C" w14:textId="77777777">
      <w:pPr>
        <w:pStyle w:val="Puesto"/>
        <w:tabs>
          <w:tab w:val="left" w:pos="2730"/>
          <w:tab w:val="center" w:pos="4419"/>
        </w:tabs>
        <w:outlineLvl w:val="0"/>
        <w:rPr>
          <w:rStyle w:val="Textoennegrita"/>
          <w:b/>
          <w:bCs/>
          <w:lang w:val="es-ES"/>
        </w:rPr>
      </w:pPr>
    </w:p>
    <w:p w:rsidRPr="009A375C" w:rsidR="000341A4" w:rsidP="000341A4" w:rsidRDefault="000341A4" w14:paraId="56329F19" w14:textId="77777777">
      <w:pPr>
        <w:pStyle w:val="Puesto"/>
        <w:tabs>
          <w:tab w:val="left" w:pos="2730"/>
          <w:tab w:val="center" w:pos="4419"/>
        </w:tabs>
        <w:outlineLvl w:val="0"/>
        <w:rPr>
          <w:rStyle w:val="Textoennegrita"/>
          <w:b/>
          <w:bCs/>
          <w:lang w:val="es-ES"/>
        </w:rPr>
      </w:pPr>
    </w:p>
    <w:p w:rsidRPr="009A375C" w:rsidR="00D645CF" w:rsidP="00AF57F2" w:rsidRDefault="00D00142" w14:paraId="587C9FEE" w14:textId="232FF3CC">
      <w:pPr>
        <w:pStyle w:val="Puesto"/>
        <w:tabs>
          <w:tab w:val="left" w:pos="2730"/>
          <w:tab w:val="center" w:pos="4419"/>
        </w:tabs>
        <w:outlineLvl w:val="0"/>
        <w:rPr>
          <w:rStyle w:val="Textoennegrita"/>
          <w:b/>
          <w:bCs/>
          <w:lang w:val="es-ES"/>
        </w:rPr>
      </w:pPr>
      <w:r w:rsidRPr="009A375C">
        <w:rPr>
          <w:rStyle w:val="Textoennegrita"/>
          <w:b/>
          <w:bCs/>
          <w:lang w:val="es-ES"/>
        </w:rPr>
        <w:t>RESOLUCION N°</w:t>
      </w:r>
      <w:r w:rsidRPr="009A375C" w:rsidR="000341A4">
        <w:rPr>
          <w:rStyle w:val="Textoennegrita"/>
          <w:b/>
          <w:bCs/>
          <w:lang w:val="es-ES"/>
        </w:rPr>
        <w:t xml:space="preserve"> </w:t>
      </w:r>
      <w:r w:rsidRPr="009A375C" w:rsidR="006C6213">
        <w:rPr>
          <w:rStyle w:val="Textoennegrita"/>
          <w:b/>
          <w:bCs/>
          <w:lang w:val="es-ES"/>
        </w:rPr>
        <w:t>0</w:t>
      </w:r>
      <w:r w:rsidRPr="009A375C" w:rsidR="00C80567">
        <w:rPr>
          <w:rStyle w:val="Textoennegrita"/>
          <w:b/>
          <w:bCs/>
          <w:lang w:val="es-ES"/>
        </w:rPr>
        <w:t>1</w:t>
      </w:r>
      <w:r w:rsidRPr="009A375C" w:rsidR="00B75D55">
        <w:rPr>
          <w:rStyle w:val="Textoennegrita"/>
          <w:b/>
          <w:bCs/>
          <w:lang w:val="es-ES"/>
        </w:rPr>
        <w:t>9</w:t>
      </w:r>
      <w:r w:rsidRPr="009A375C">
        <w:rPr>
          <w:rStyle w:val="Textoennegrita"/>
          <w:b/>
          <w:bCs/>
          <w:lang w:val="es-ES"/>
        </w:rPr>
        <w:t>/2</w:t>
      </w:r>
      <w:r w:rsidRPr="009A375C" w:rsidR="006C6213">
        <w:rPr>
          <w:rStyle w:val="Textoennegrita"/>
          <w:b/>
          <w:bCs/>
          <w:lang w:val="es-ES"/>
        </w:rPr>
        <w:t>3</w:t>
      </w:r>
    </w:p>
    <w:p w:rsidRPr="009A375C" w:rsidR="00B570FD" w:rsidP="00AF57F2" w:rsidRDefault="00B570FD" w14:paraId="4272CA47" w14:textId="48C6DB49">
      <w:pPr>
        <w:pStyle w:val="Puesto"/>
        <w:tabs>
          <w:tab w:val="left" w:pos="2730"/>
          <w:tab w:val="center" w:pos="4419"/>
        </w:tabs>
        <w:outlineLvl w:val="0"/>
        <w:rPr>
          <w:rStyle w:val="Textoennegrita"/>
          <w:b/>
          <w:bCs/>
          <w:lang w:val="es-ES"/>
        </w:rPr>
      </w:pPr>
    </w:p>
    <w:p w:rsidRPr="009A375C" w:rsidR="009A375C" w:rsidP="009A375C" w:rsidRDefault="009A375C" w14:paraId="1CBDD32F" w14:textId="77777777">
      <w:pPr>
        <w:rPr>
          <w:rFonts w:ascii="Times New Roman" w:hAnsi="Times New Roman"/>
          <w:b/>
          <w:sz w:val="24"/>
          <w:szCs w:val="24"/>
          <w:lang w:val="es-ES"/>
        </w:rPr>
      </w:pPr>
      <w:r w:rsidRPr="009A375C">
        <w:rPr>
          <w:rFonts w:ascii="Times New Roman" w:hAnsi="Times New Roman"/>
          <w:b/>
          <w:sz w:val="24"/>
          <w:szCs w:val="24"/>
        </w:rPr>
        <w:t>VISTOS:</w:t>
      </w:r>
    </w:p>
    <w:p w:rsidRPr="009A375C" w:rsidR="009A375C" w:rsidP="1050D931" w:rsidRDefault="009A375C" w14:paraId="01CF69D9" w14:textId="7BE34E7E">
      <w:pPr>
        <w:pStyle w:val="paragraph"/>
        <w:spacing w:before="0" w:beforeAutospacing="off" w:after="0" w:afterAutospacing="off"/>
        <w:jc w:val="both"/>
        <w:textAlignment w:val="baseline"/>
      </w:pPr>
      <w:r w:rsidRPr="1050D931" w:rsidR="009A375C">
        <w:rPr>
          <w:lang w:val="es-PE"/>
        </w:rPr>
        <w:t xml:space="preserve">Que, con fecha 05 de enero de 2023, </w:t>
      </w:r>
      <w:r w:rsidRPr="1050D931" w:rsidR="3D212DC3">
        <w:rPr>
          <w:b w:val="1"/>
          <w:bCs w:val="1"/>
        </w:rPr>
        <w:t>..........................................................................</w:t>
      </w:r>
      <w:r w:rsidR="009A375C">
        <w:rPr/>
        <w:t xml:space="preserve"> </w:t>
      </w:r>
      <w:r w:rsidR="009A375C">
        <w:rPr/>
        <w:t xml:space="preserve">interpone </w:t>
      </w:r>
      <w:r w:rsidR="009A375C">
        <w:rPr/>
        <w:t xml:space="preserve">reclamación ante esta Defensoría del Asegurado (DEFASEG) contra </w:t>
      </w:r>
      <w:r w:rsidRPr="1050D931" w:rsidR="2C6602F2">
        <w:rPr>
          <w:b w:val="1"/>
          <w:bCs w:val="1"/>
        </w:rPr>
        <w:t>..................................</w:t>
      </w:r>
      <w:r w:rsidR="009A375C">
        <w:rPr/>
        <w:t>, solicitando se le</w:t>
      </w:r>
      <w:r w:rsidR="009A375C">
        <w:rPr/>
        <w:t xml:space="preserve"> otorgue la cobertura del</w:t>
      </w:r>
      <w:r w:rsidRPr="1050D931" w:rsidR="009A375C">
        <w:rPr>
          <w:b w:val="1"/>
          <w:bCs w:val="1"/>
        </w:rPr>
        <w:t xml:space="preserve"> SEGURO DE PROTECCIÓN DE TARJETA</w:t>
      </w:r>
      <w:bookmarkStart w:name="OLE_LINK2" w:id="0"/>
      <w:r w:rsidRPr="1050D931" w:rsidR="009A375C">
        <w:rPr>
          <w:b w:val="1"/>
          <w:bCs w:val="1"/>
        </w:rPr>
        <w:t xml:space="preserve"> CON PÓLIZA </w:t>
      </w:r>
      <w:r w:rsidRPr="1050D931" w:rsidR="009A375C">
        <w:rPr>
          <w:b w:val="1"/>
          <w:bCs w:val="1"/>
        </w:rPr>
        <w:t>N°</w:t>
      </w:r>
      <w:r w:rsidRPr="1050D931" w:rsidR="009A375C">
        <w:rPr>
          <w:b w:val="1"/>
          <w:bCs w:val="1"/>
        </w:rPr>
        <w:t xml:space="preserve"> </w:t>
      </w:r>
      <w:r w:rsidRPr="1050D931" w:rsidR="2FDDC779">
        <w:rPr>
          <w:b w:val="1"/>
          <w:bCs w:val="1"/>
        </w:rPr>
        <w:t>..........................</w:t>
      </w:r>
      <w:r w:rsidRPr="1050D931" w:rsidR="009A375C">
        <w:rPr>
          <w:b w:val="1"/>
          <w:bCs w:val="1"/>
        </w:rPr>
        <w:t>.</w:t>
      </w:r>
    </w:p>
    <w:bookmarkEnd w:id="0"/>
    <w:p w:rsidR="009A375C" w:rsidP="009A375C" w:rsidRDefault="009A375C" w14:paraId="7FCF8449" w14:textId="77777777">
      <w:pPr>
        <w:jc w:val="both"/>
        <w:rPr>
          <w:rFonts w:ascii="Times New Roman" w:hAnsi="Times New Roman" w:eastAsia="Arial Unicode MS"/>
          <w:sz w:val="24"/>
          <w:szCs w:val="24"/>
        </w:rPr>
      </w:pPr>
    </w:p>
    <w:p w:rsidRPr="009A375C" w:rsidR="009A375C" w:rsidP="009A375C" w:rsidRDefault="009A375C" w14:paraId="13CCF608" w14:textId="2A1EEF4F">
      <w:pPr>
        <w:jc w:val="both"/>
        <w:rPr>
          <w:rFonts w:ascii="Times New Roman" w:hAnsi="Times New Roman" w:eastAsia="Arial Unicode MS"/>
          <w:sz w:val="24"/>
          <w:szCs w:val="24"/>
        </w:rPr>
      </w:pPr>
      <w:r w:rsidRPr="009A375C">
        <w:rPr>
          <w:rFonts w:ascii="Times New Roman" w:hAnsi="Times New Roman" w:eastAsia="Arial Unicode MS"/>
          <w:sz w:val="24"/>
          <w:szCs w:val="24"/>
        </w:rPr>
        <w:t>Que, la señalada reclamación cumple con los requisitos de materia, cuantía y oportunidad establecidos en el reglamento de la DEFASEG (</w:t>
      </w:r>
      <w:hyperlink w:history="1" r:id="rId8">
        <w:r w:rsidRPr="009A375C">
          <w:rPr>
            <w:rStyle w:val="Hipervnculo"/>
            <w:rFonts w:ascii="Times New Roman" w:hAnsi="Times New Roman" w:eastAsia="Arial Unicode MS"/>
            <w:sz w:val="24"/>
            <w:szCs w:val="24"/>
          </w:rPr>
          <w:t>http://www.defaseg.com.pe/reglamento</w:t>
        </w:r>
      </w:hyperlink>
      <w:r w:rsidRPr="009A375C">
        <w:rPr>
          <w:rFonts w:ascii="Times New Roman" w:hAnsi="Times New Roman" w:eastAsia="Arial Unicode MS"/>
          <w:sz w:val="24"/>
          <w:szCs w:val="24"/>
        </w:rPr>
        <w:t>);</w:t>
      </w:r>
    </w:p>
    <w:p w:rsidRPr="009A375C" w:rsidR="009A375C" w:rsidP="009A375C" w:rsidRDefault="009A375C" w14:paraId="69749B2A" w14:textId="77777777">
      <w:pPr>
        <w:tabs>
          <w:tab w:val="num" w:pos="720"/>
        </w:tabs>
        <w:jc w:val="both"/>
        <w:rPr>
          <w:rFonts w:ascii="Times New Roman" w:hAnsi="Times New Roman"/>
          <w:sz w:val="24"/>
          <w:szCs w:val="24"/>
        </w:rPr>
      </w:pPr>
      <w:r w:rsidRPr="009A375C">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9A375C" w:rsidR="009A375C" w:rsidP="009A375C" w:rsidRDefault="009A375C" w14:paraId="5356F409" w14:textId="6850C1E8">
      <w:pPr>
        <w:jc w:val="both"/>
        <w:rPr>
          <w:rFonts w:ascii="Times New Roman" w:hAnsi="Times New Roman"/>
          <w:sz w:val="24"/>
          <w:szCs w:val="24"/>
          <w:lang w:val="es-ES"/>
        </w:rPr>
      </w:pPr>
      <w:r w:rsidRPr="1050D931" w:rsidR="009A375C">
        <w:rPr>
          <w:rFonts w:ascii="Times New Roman" w:hAnsi="Times New Roman"/>
          <w:sz w:val="24"/>
          <w:szCs w:val="24"/>
        </w:rPr>
        <w:t xml:space="preserve">Que, con fecha 19 de enero de 2023 se corrió traslado de la reclamación a </w:t>
      </w:r>
      <w:r w:rsidRPr="1050D931" w:rsidR="2C6602F2">
        <w:rPr>
          <w:rFonts w:ascii="Times New Roman" w:hAnsi="Times New Roman"/>
          <w:sz w:val="24"/>
          <w:szCs w:val="24"/>
        </w:rPr>
        <w:t>..................................</w:t>
      </w:r>
      <w:r w:rsidRPr="1050D931" w:rsidR="009A375C">
        <w:rPr>
          <w:rFonts w:ascii="Times New Roman" w:hAnsi="Times New Roman"/>
          <w:sz w:val="24"/>
          <w:szCs w:val="24"/>
        </w:rPr>
        <w:t xml:space="preserve">, siendo que el </w:t>
      </w:r>
      <w:r w:rsidRPr="1050D931" w:rsidR="00770984">
        <w:rPr>
          <w:rFonts w:ascii="Times New Roman" w:hAnsi="Times New Roman"/>
          <w:sz w:val="24"/>
          <w:szCs w:val="24"/>
        </w:rPr>
        <w:t>3</w:t>
      </w:r>
      <w:r w:rsidRPr="1050D931" w:rsidR="009A375C">
        <w:rPr>
          <w:rFonts w:ascii="Times New Roman" w:hAnsi="Times New Roman"/>
          <w:sz w:val="24"/>
          <w:szCs w:val="24"/>
        </w:rPr>
        <w:t xml:space="preserve">0 de enero y 6 de febrero de 2023 la aseguradora absolvió el respectivo trámite, </w:t>
      </w:r>
      <w:r w:rsidRPr="1050D931" w:rsidR="009A375C">
        <w:rPr>
          <w:rFonts w:ascii="Times New Roman" w:hAnsi="Times New Roman"/>
          <w:sz w:val="24"/>
          <w:szCs w:val="24"/>
        </w:rPr>
        <w:t xml:space="preserve">presentando sus descargos y la documentación correspondiente. </w:t>
      </w:r>
    </w:p>
    <w:p w:rsidRPr="009A375C" w:rsidR="009A375C" w:rsidP="009A375C" w:rsidRDefault="009A375C" w14:paraId="371E4B64" w14:textId="77777777">
      <w:pPr>
        <w:tabs>
          <w:tab w:val="num" w:pos="720"/>
        </w:tabs>
        <w:jc w:val="both"/>
        <w:rPr>
          <w:rFonts w:ascii="Times New Roman" w:hAnsi="Times New Roman"/>
          <w:sz w:val="24"/>
          <w:szCs w:val="24"/>
        </w:rPr>
      </w:pPr>
      <w:r w:rsidRPr="009A375C">
        <w:rPr>
          <w:rFonts w:ascii="Times New Roman" w:hAnsi="Times New Roman"/>
          <w:sz w:val="24"/>
          <w:szCs w:val="24"/>
        </w:rPr>
        <w:t xml:space="preserve">Que, encontrándose el expediente en condiciones para que este Órgano Resolutivo Unipersonal pueda emitir un pronunciamiento, se prescinde de la audiencia de informe oral de conformidad con el artículo 10° del reglamento </w:t>
      </w:r>
      <w:r w:rsidRPr="009A375C">
        <w:rPr>
          <w:rFonts w:ascii="Times New Roman" w:hAnsi="Times New Roman" w:eastAsia="Arial Unicode MS"/>
          <w:sz w:val="24"/>
          <w:szCs w:val="24"/>
        </w:rPr>
        <w:t>de la DEFASEG</w:t>
      </w:r>
      <w:r w:rsidRPr="009A375C">
        <w:rPr>
          <w:rFonts w:ascii="Times New Roman" w:hAnsi="Times New Roman"/>
          <w:sz w:val="24"/>
          <w:szCs w:val="24"/>
        </w:rPr>
        <w:t>.</w:t>
      </w:r>
    </w:p>
    <w:p w:rsidRPr="009A375C" w:rsidR="009A375C" w:rsidP="009A375C" w:rsidRDefault="009A375C" w14:paraId="2BB4EB7B" w14:textId="77777777">
      <w:pPr>
        <w:jc w:val="both"/>
        <w:rPr>
          <w:rFonts w:ascii="Times New Roman" w:hAnsi="Times New Roman"/>
          <w:sz w:val="24"/>
          <w:szCs w:val="24"/>
        </w:rPr>
      </w:pPr>
      <w:r w:rsidRPr="009A375C">
        <w:rPr>
          <w:rFonts w:ascii="Times New Roman" w:hAnsi="Times New Roman"/>
          <w:color w:val="000000" w:themeColor="text1"/>
          <w:sz w:val="24"/>
          <w:szCs w:val="24"/>
        </w:rPr>
        <w:t xml:space="preserve">Que, en síntesis, la posición de la reclamante es la siguiente: </w:t>
      </w:r>
      <w:bookmarkStart w:name="_Hlk26782453" w:id="1"/>
      <w:r w:rsidRPr="009A375C">
        <w:rPr>
          <w:rFonts w:ascii="Times New Roman" w:hAnsi="Times New Roman"/>
          <w:color w:val="000000" w:themeColor="text1"/>
          <w:sz w:val="24"/>
          <w:szCs w:val="24"/>
        </w:rPr>
        <w:t xml:space="preserve">a) </w:t>
      </w:r>
      <w:bookmarkEnd w:id="1"/>
      <w:r w:rsidRPr="009A375C">
        <w:rPr>
          <w:rFonts w:ascii="Times New Roman" w:hAnsi="Times New Roman"/>
          <w:sz w:val="24"/>
          <w:szCs w:val="24"/>
        </w:rPr>
        <w:t>El señor Ambulay no reconoce operaciones por el importe total de S/. 7,490.51 (Siete Mil Cuatrocientos Noventa con 51/100 Soles) por comercios online de Facebook, ADS, y Web Mi Claro; b) sufrió el robo de su célula hace veinte días, pero recién se percata que le hicieron el cambio de tarjeta. En tal sentido, procedió con el bloqueo de la tarjeta de débito; c) el seguro de su tarjeta cubre eventos de robo cibernéticos, siendo este su caso. También cubre el hurto de la tarjeta o cambio de la tarjeta por personas, siendo también su caso; d) la aseguradora indica que su tarjeta nunca fue hurtada o cambiada.</w:t>
      </w:r>
    </w:p>
    <w:p w:rsidRPr="009A375C" w:rsidR="009A375C" w:rsidP="009A375C" w:rsidRDefault="009A375C" w14:paraId="4F105000" w14:textId="77777777">
      <w:pPr>
        <w:jc w:val="both"/>
        <w:rPr>
          <w:rFonts w:ascii="Times New Roman" w:hAnsi="Times New Roman"/>
          <w:sz w:val="24"/>
          <w:szCs w:val="24"/>
        </w:rPr>
      </w:pPr>
      <w:r w:rsidRPr="009A375C">
        <w:rPr>
          <w:rFonts w:ascii="Times New Roman" w:hAnsi="Times New Roman"/>
          <w:sz w:val="24"/>
          <w:szCs w:val="24"/>
        </w:rPr>
        <w:t xml:space="preserve">Que, por su parte y en resumen la compañía de seguros sostiene que: </w:t>
      </w:r>
      <w:r w:rsidRPr="009A375C">
        <w:rPr>
          <w:rStyle w:val="normaltextrun"/>
          <w:rFonts w:ascii="Times New Roman" w:hAnsi="Times New Roman"/>
          <w:sz w:val="24"/>
          <w:szCs w:val="24"/>
        </w:rPr>
        <w:t>a)</w:t>
      </w:r>
      <w:r w:rsidRPr="009A375C">
        <w:rPr>
          <w:rFonts w:ascii="Times New Roman" w:hAnsi="Times New Roman"/>
          <w:sz w:val="24"/>
          <w:szCs w:val="24"/>
        </w:rPr>
        <w:t xml:space="preserve"> Conforme a lo declarado por el reclamante, el día 15 de noviembre del 2022, fue víctima del hurto de su celular, hecho que implicó que se realizaran transacciones bancarias a través de las apps que tenía instaladas en su teléfono móvil. Entre las transacciones / operaciones realizadas -por un total de S/. 7,490.51- las cuales desconoce; b) el asegurado presentó su reclamo al BBVA, entidad bancaria que, luego de revisar el caso, lo rechazó debido a que los movimientos no reconocidos se realizaron con el uso de contraseñas e información personal; c) ha quedado acreditado que las transacciones que son objeto del reclamo materia de absolución se realizaron con los datos personales como el número de tarjeta, clave, y demás; los cuales son de conocimiento único del reclamante; quien además es responsable del uso adecuado dicha </w:t>
      </w:r>
      <w:r w:rsidRPr="009A375C">
        <w:rPr>
          <w:rFonts w:ascii="Times New Roman" w:hAnsi="Times New Roman"/>
          <w:sz w:val="24"/>
          <w:szCs w:val="24"/>
        </w:rPr>
        <w:lastRenderedPageBreak/>
        <w:t>información; d) el Seguro de Protección de Tarjetas brinda la seguridad de proteger las tarjetas del consumidor ante el uso indebido, uso forzado, robo, uso indebido por compra fraudulenta vía internet y cobertura patrimonial por transferencia, siempre y cuando se cumpla con las obligaciones estipuladas para activar su cobertura, las mismas que se encuentran detalladas en la póliza de seguros contratada por cada cliente; e) el caso en particular no calza dentro de los parámetros extendidos por el contrato suscrito; pues no se dio alguno de los supuestos señalados en las coberturas. En efecto, para ello, será necesario que los hechos descritos cumplan al pie de la letra con cada una de las condiciones de aplicación de los posibles siniestros. En el presente caso el siniestro tuvo como origen el hurto del celular del asegurado. Las transacciones no reconocidas por el reclamante se realizaron a través de dicho dispositivo. En ese sentido, el hurto del celular y las operaciones realizadas a través de dicho dispositivo móvil son situaciones que nuestra compañía no cubre; toda vez que estos casos en particular no calzan dentro de los parámetros extendidos por el contrato suscrito; f) la situación descrita por el asegurado no está cubierta por la póliza del seguro contratado. En ese sentido, no es viable que procedamos a extender cobertura cuando los hechos descritos no calzan dentro de las condiciones esgrimidas en la póliza de seguros. Cabe precisar que el reclamante siempre mantuvo su tarjeta en su poder, por lo cual se descarta el uso indebido de la tarjeta de crédito y/o débito por robo y/o hurto, utilización forzada en cajeros automáticos de la tarjeta de crédito y/o débito, robo de dinero de los cajeros automático, transferencia entre cuentas.  A ello debe sumarse el hecho de que las operaciones no reconocidas fueron efectuadas con presencia de todas las medidas de seguridad; lo cual ha sido constatado por el BBVA. Por tanto, es totalmente inviable que procedamos a restituir el monto solicitado por el reclamante, pues dicho siniestro no tiene cobertura. De acuerdo a las coberturas de la póliza, esta no incluye el “cambiazo”. Por tanto, el reclamo ha sido atendido y rechazado de acuerdo a lo estipulado en la póliza contratada por el asegurado; g) precisar que el bloqueo de la tarjeta se realizó el 1 de diciembre del 2022. Es decir, varios días después de hurto del celular. A ello debe agregarse el hecho de que el reclamante no ha adjuntado la denuncia policial correspondiente. Teniendo en cuenta ello, en el supuesto negado que el siniestro estuviera coberturado, el asegurado no cumplió con su obligación de bloquear la tarjeta dentro de las 4 horas de conocido el siniestro.</w:t>
      </w:r>
    </w:p>
    <w:p w:rsidRPr="009A375C" w:rsidR="009A375C" w:rsidP="009A375C" w:rsidRDefault="009A375C" w14:paraId="287EF12A" w14:textId="77777777">
      <w:pPr>
        <w:jc w:val="both"/>
        <w:rPr>
          <w:rFonts w:ascii="Times New Roman" w:hAnsi="Times New Roman"/>
          <w:b/>
          <w:sz w:val="24"/>
          <w:szCs w:val="24"/>
          <w:lang w:val="es-ES"/>
        </w:rPr>
      </w:pPr>
      <w:r w:rsidRPr="009A375C">
        <w:rPr>
          <w:rFonts w:ascii="Times New Roman" w:hAnsi="Times New Roman"/>
          <w:b/>
          <w:sz w:val="24"/>
          <w:szCs w:val="24"/>
        </w:rPr>
        <w:t xml:space="preserve">CONSIDERANDO: </w:t>
      </w:r>
    </w:p>
    <w:p w:rsidRPr="009A375C" w:rsidR="009A375C" w:rsidP="009A375C" w:rsidRDefault="009A375C" w14:paraId="1797833C" w14:textId="77777777">
      <w:pPr>
        <w:jc w:val="both"/>
        <w:rPr>
          <w:rStyle w:val="Textoennegrita"/>
          <w:rFonts w:ascii="Times New Roman" w:hAnsi="Times New Roman"/>
          <w:sz w:val="24"/>
          <w:szCs w:val="24"/>
          <w:lang w:eastAsia="es-ES"/>
        </w:rPr>
      </w:pPr>
      <w:r w:rsidRPr="009A375C">
        <w:rPr>
          <w:rFonts w:ascii="Times New Roman" w:hAnsi="Times New Roman"/>
          <w:b/>
          <w:sz w:val="24"/>
          <w:szCs w:val="24"/>
          <w:u w:val="single"/>
        </w:rPr>
        <w:t>PRIMERO</w:t>
      </w:r>
      <w:r w:rsidRPr="009A375C">
        <w:rPr>
          <w:rFonts w:ascii="Times New Roman" w:hAnsi="Times New Roman"/>
          <w:sz w:val="24"/>
          <w:szCs w:val="24"/>
        </w:rPr>
        <w:t xml:space="preserve">: Conforme al Reglamento de la Defensoría del Asegurado, </w:t>
      </w:r>
      <w:r w:rsidRPr="009A375C">
        <w:rPr>
          <w:rStyle w:val="Textoennegrita"/>
          <w:rFonts w:ascii="Times New Roman" w:hAnsi="Times New Roman"/>
          <w:b w:val="0"/>
          <w:sz w:val="24"/>
          <w:szCs w:val="24"/>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9A375C" w:rsidR="009A375C" w:rsidP="009A375C" w:rsidRDefault="009A375C" w14:paraId="4C6F2E9F" w14:textId="77777777">
      <w:pPr>
        <w:jc w:val="both"/>
        <w:rPr>
          <w:rStyle w:val="Textoennegrita"/>
          <w:rFonts w:ascii="Times New Roman" w:hAnsi="Times New Roman"/>
          <w:b w:val="0"/>
          <w:sz w:val="24"/>
          <w:szCs w:val="24"/>
        </w:rPr>
      </w:pPr>
      <w:r w:rsidRPr="009A375C">
        <w:rPr>
          <w:rStyle w:val="Textoennegrita"/>
          <w:rFonts w:ascii="Times New Roman" w:hAnsi="Times New Roman"/>
          <w:sz w:val="24"/>
          <w:szCs w:val="24"/>
          <w:u w:val="single"/>
        </w:rPr>
        <w:t>SEGUNDO</w:t>
      </w:r>
      <w:r w:rsidRPr="009A375C">
        <w:rPr>
          <w:rStyle w:val="Textoennegrita"/>
          <w:rFonts w:ascii="Times New Roman" w:hAnsi="Times New Roman"/>
          <w:sz w:val="24"/>
          <w:szCs w:val="24"/>
        </w:rPr>
        <w:t>:</w:t>
      </w:r>
      <w:r w:rsidRPr="009A375C">
        <w:rPr>
          <w:rStyle w:val="Textoennegrita"/>
          <w:rFonts w:ascii="Times New Roman" w:hAnsi="Times New Roman"/>
          <w:b w:val="0"/>
          <w:sz w:val="24"/>
          <w:szCs w:val="24"/>
        </w:rPr>
        <w:t xml:space="preserve"> </w:t>
      </w:r>
      <w:r w:rsidRPr="009A375C">
        <w:rPr>
          <w:rFonts w:ascii="Times New Roman" w:hAnsi="Times New Roman"/>
          <w:sz w:val="24"/>
          <w:szCs w:val="24"/>
        </w:rPr>
        <w:t xml:space="preserve">Asimismo, de acuerdo a </w:t>
      </w:r>
      <w:r w:rsidRPr="009A375C">
        <w:rPr>
          <w:rStyle w:val="Textoennegrita"/>
          <w:rFonts w:ascii="Times New Roman" w:hAnsi="Times New Roman"/>
          <w:b w:val="0"/>
          <w:sz w:val="24"/>
          <w:szCs w:val="24"/>
        </w:rPr>
        <w:t xml:space="preserve">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w:t>
      </w:r>
      <w:r w:rsidRPr="009A375C">
        <w:rPr>
          <w:rStyle w:val="Textoennegrita"/>
          <w:rFonts w:ascii="Times New Roman" w:hAnsi="Times New Roman"/>
          <w:b w:val="0"/>
          <w:sz w:val="24"/>
          <w:szCs w:val="24"/>
        </w:rPr>
        <w:lastRenderedPageBreak/>
        <w:t>pueden las pretensiones indemnizatorias por daños y perjuicios, por reembolso de gastos, o idoneidad de servicios, son ajenas a la competencia funcional de esta Defensoría.</w:t>
      </w:r>
    </w:p>
    <w:p w:rsidRPr="009A375C" w:rsidR="009A375C" w:rsidP="009A375C" w:rsidRDefault="009A375C" w14:paraId="557F646F" w14:textId="77777777">
      <w:pPr>
        <w:jc w:val="both"/>
        <w:rPr>
          <w:rFonts w:ascii="Times New Roman" w:hAnsi="Times New Roman"/>
          <w:sz w:val="24"/>
          <w:szCs w:val="24"/>
        </w:rPr>
      </w:pPr>
      <w:r w:rsidRPr="009A375C">
        <w:rPr>
          <w:rStyle w:val="Textoennegrita"/>
          <w:rFonts w:ascii="Times New Roman" w:hAnsi="Times New Roman"/>
          <w:sz w:val="24"/>
          <w:szCs w:val="24"/>
          <w:u w:val="single"/>
        </w:rPr>
        <w:t>TERCERO</w:t>
      </w:r>
      <w:r w:rsidRPr="009A375C">
        <w:rPr>
          <w:rStyle w:val="Textoennegrita"/>
          <w:rFonts w:ascii="Times New Roman" w:hAnsi="Times New Roman"/>
          <w:sz w:val="24"/>
          <w:szCs w:val="24"/>
        </w:rPr>
        <w:t>:</w:t>
      </w:r>
      <w:r w:rsidRPr="009A375C">
        <w:rPr>
          <w:rFonts w:ascii="Times New Roman" w:hAnsi="Times New Roman"/>
          <w:sz w:val="24"/>
          <w:szCs w:val="24"/>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9A375C" w:rsidR="009A375C" w:rsidP="009A375C" w:rsidRDefault="009A375C" w14:paraId="1E781387" w14:textId="690155B6">
      <w:pPr>
        <w:jc w:val="both"/>
        <w:rPr>
          <w:rFonts w:ascii="Times New Roman" w:hAnsi="Times New Roman"/>
          <w:sz w:val="24"/>
          <w:szCs w:val="24"/>
        </w:rPr>
      </w:pPr>
      <w:r w:rsidRPr="009A375C">
        <w:rPr>
          <w:rFonts w:ascii="Times New Roman" w:hAnsi="Times New Roman"/>
          <w:b/>
          <w:sz w:val="24"/>
          <w:szCs w:val="24"/>
          <w:u w:val="single"/>
        </w:rPr>
        <w:t>CUARTO</w:t>
      </w:r>
      <w:r w:rsidRPr="009A375C">
        <w:rPr>
          <w:rFonts w:ascii="Times New Roman" w:hAnsi="Times New Roman"/>
          <w:b/>
          <w:sz w:val="24"/>
          <w:szCs w:val="24"/>
        </w:rPr>
        <w:t>:</w:t>
      </w:r>
      <w:r w:rsidRPr="009A375C">
        <w:rPr>
          <w:rFonts w:ascii="Times New Roman" w:hAnsi="Times New Roman"/>
          <w:sz w:val="24"/>
          <w:szCs w:val="24"/>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9A375C" w:rsidR="009A375C" w:rsidP="009A375C" w:rsidRDefault="009A375C" w14:paraId="1B682215" w14:textId="77777777">
      <w:pPr>
        <w:jc w:val="both"/>
        <w:rPr>
          <w:rFonts w:ascii="Times New Roman" w:hAnsi="Times New Roman"/>
          <w:sz w:val="24"/>
          <w:szCs w:val="24"/>
        </w:rPr>
      </w:pPr>
      <w:r w:rsidRPr="009A375C">
        <w:rPr>
          <w:rStyle w:val="Textoennegrita"/>
          <w:rFonts w:ascii="Times New Roman" w:hAnsi="Times New Roman"/>
          <w:sz w:val="24"/>
          <w:szCs w:val="24"/>
          <w:u w:val="single"/>
        </w:rPr>
        <w:t>QUINTO</w:t>
      </w:r>
      <w:r w:rsidRPr="009A375C">
        <w:rPr>
          <w:rStyle w:val="Textoennegrita"/>
          <w:rFonts w:ascii="Times New Roman" w:hAnsi="Times New Roman"/>
          <w:sz w:val="24"/>
          <w:szCs w:val="24"/>
        </w:rPr>
        <w:t>:</w:t>
      </w:r>
      <w:r w:rsidRPr="009A375C">
        <w:rPr>
          <w:rStyle w:val="Textoennegrita"/>
          <w:rFonts w:ascii="Times New Roman" w:hAnsi="Times New Roman"/>
          <w:b w:val="0"/>
          <w:sz w:val="24"/>
          <w:szCs w:val="24"/>
        </w:rPr>
        <w:t xml:space="preserve"> En materia procesal</w:t>
      </w:r>
      <w:r w:rsidRPr="009A375C">
        <w:rPr>
          <w:rFonts w:ascii="Times New Roman" w:hAnsi="Times New Roman"/>
          <w:sz w:val="24"/>
          <w:szCs w:val="24"/>
        </w:rPr>
        <w:t>, corresponde a quien invoca hechos probar su existencia, carga procesal a la que refiere el artículo 196 del Código Procesal Civil, salvo que se acoja a alguna presunción legal de carácter relativo o absoluto.</w:t>
      </w:r>
    </w:p>
    <w:p w:rsidRPr="009A375C" w:rsidR="009A375C" w:rsidP="009A375C" w:rsidRDefault="009A375C" w14:paraId="7CDB9E5B" w14:textId="588488F3">
      <w:pPr>
        <w:jc w:val="both"/>
        <w:rPr>
          <w:rFonts w:ascii="Times New Roman" w:hAnsi="Times New Roman"/>
          <w:sz w:val="24"/>
          <w:szCs w:val="24"/>
        </w:rPr>
      </w:pPr>
      <w:r w:rsidRPr="009A375C">
        <w:rPr>
          <w:rFonts w:ascii="Times New Roman" w:hAnsi="Times New Roman"/>
          <w:b/>
          <w:sz w:val="24"/>
          <w:szCs w:val="24"/>
          <w:u w:val="single"/>
        </w:rPr>
        <w:t>SEXTO</w:t>
      </w:r>
      <w:r w:rsidRPr="009A375C">
        <w:rPr>
          <w:rFonts w:ascii="Times New Roman" w:hAnsi="Times New Roman"/>
          <w:b/>
          <w:sz w:val="24"/>
          <w:szCs w:val="24"/>
        </w:rPr>
        <w:t>:</w:t>
      </w:r>
      <w:r w:rsidRPr="009A375C">
        <w:rPr>
          <w:rFonts w:ascii="Times New Roman" w:hAnsi="Times New Roman"/>
          <w:sz w:val="24"/>
          <w:szCs w:val="24"/>
        </w:rPr>
        <w:t xml:space="preserve"> De acuerdo a los términos contenidos en el rechazo, la reclamación y en la respectiva absolución, la cuestión controvertida es determinar si el rechazo de cobertura, contenido en la Carta de fecha 22 de diciembre de 2022, cuya parte pertinente se transcribe a continuación, es justificado o no:</w:t>
      </w:r>
    </w:p>
    <w:p w:rsidRPr="009217F9" w:rsidR="009A375C" w:rsidP="009217F9" w:rsidRDefault="009A375C" w14:paraId="77A62EAA" w14:textId="46129FB4">
      <w:pPr>
        <w:jc w:val="center"/>
        <w:rPr>
          <w:rFonts w:ascii="Times New Roman" w:hAnsi="Times New Roman"/>
          <w:sz w:val="24"/>
          <w:szCs w:val="24"/>
          <w:lang w:val="es-ES"/>
        </w:rPr>
      </w:pPr>
      <w:r w:rsidRPr="009A375C">
        <w:rPr>
          <w:rFonts w:ascii="Times New Roman" w:hAnsi="Times New Roman"/>
          <w:i/>
          <w:noProof/>
          <w:sz w:val="24"/>
          <w:szCs w:val="24"/>
        </w:rPr>
        <w:drawing>
          <wp:inline distT="0" distB="0" distL="0" distR="0" wp14:anchorId="0E1D17F2" wp14:editId="5BFF0640">
            <wp:extent cx="5010150" cy="2400300"/>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10150" cy="2400300"/>
                    </a:xfrm>
                    <a:prstGeom prst="rect">
                      <a:avLst/>
                    </a:prstGeom>
                    <a:noFill/>
                    <a:ln>
                      <a:noFill/>
                    </a:ln>
                  </pic:spPr>
                </pic:pic>
              </a:graphicData>
            </a:graphic>
          </wp:inline>
        </w:drawing>
      </w:r>
    </w:p>
    <w:p w:rsidRPr="009217F9" w:rsidR="009A375C" w:rsidP="009A375C" w:rsidRDefault="009A375C" w14:paraId="218362D6" w14:textId="488CF443">
      <w:pPr>
        <w:jc w:val="both"/>
        <w:rPr>
          <w:rFonts w:ascii="Times New Roman" w:hAnsi="Times New Roman"/>
          <w:sz w:val="24"/>
          <w:szCs w:val="24"/>
        </w:rPr>
      </w:pPr>
      <w:r w:rsidRPr="009A375C">
        <w:rPr>
          <w:rFonts w:ascii="Times New Roman" w:hAnsi="Times New Roman"/>
          <w:sz w:val="24"/>
          <w:szCs w:val="24"/>
        </w:rPr>
        <w:t xml:space="preserve">La cuestión controvertida se limita, por consiguiente, en determinar si el evento ocurrido, se encuentra dentro de las coberturas contratadas. </w:t>
      </w:r>
    </w:p>
    <w:p w:rsidRPr="009A375C" w:rsidR="009A375C" w:rsidP="009A375C" w:rsidRDefault="009A375C" w14:paraId="4873814F" w14:textId="77777777">
      <w:pPr>
        <w:jc w:val="both"/>
        <w:rPr>
          <w:rFonts w:ascii="Times New Roman" w:hAnsi="Times New Roman"/>
          <w:sz w:val="24"/>
          <w:szCs w:val="24"/>
        </w:rPr>
      </w:pPr>
      <w:r w:rsidRPr="009A375C">
        <w:rPr>
          <w:rFonts w:ascii="Times New Roman" w:hAnsi="Times New Roman"/>
          <w:b/>
          <w:sz w:val="24"/>
          <w:szCs w:val="24"/>
          <w:u w:val="single"/>
        </w:rPr>
        <w:t>SÉPTIMO</w:t>
      </w:r>
      <w:r w:rsidRPr="009A375C">
        <w:rPr>
          <w:rFonts w:ascii="Times New Roman" w:hAnsi="Times New Roman"/>
          <w:b/>
          <w:sz w:val="24"/>
          <w:szCs w:val="24"/>
        </w:rPr>
        <w:t>:</w:t>
      </w:r>
      <w:r w:rsidRPr="009A375C">
        <w:rPr>
          <w:rFonts w:ascii="Times New Roman" w:hAnsi="Times New Roman"/>
          <w:sz w:val="24"/>
          <w:szCs w:val="24"/>
        </w:rPr>
        <w:t xml:space="preserve"> En autos obra copia de la solicitud - certificado del Seguro de Protección de Tarjeta BBVA, en el cual se detallan las siguientes coberturas contratadas:</w:t>
      </w:r>
    </w:p>
    <w:p w:rsidRPr="009A375C" w:rsidR="009A375C" w:rsidP="009A375C" w:rsidRDefault="009A375C" w14:paraId="12349E2D" w14:textId="77777777">
      <w:pPr>
        <w:rPr>
          <w:rFonts w:ascii="Times New Roman" w:hAnsi="Times New Roman"/>
          <w:sz w:val="24"/>
          <w:szCs w:val="24"/>
          <w:lang w:val="es-ES"/>
        </w:rPr>
      </w:pPr>
    </w:p>
    <w:p w:rsidRPr="009A375C" w:rsidR="009A375C" w:rsidP="009A375C" w:rsidRDefault="009A375C" w14:paraId="07A4DC19" w14:textId="77777777">
      <w:pPr>
        <w:jc w:val="center"/>
        <w:rPr>
          <w:rFonts w:ascii="Times New Roman" w:hAnsi="Times New Roman"/>
          <w:sz w:val="24"/>
          <w:szCs w:val="24"/>
        </w:rPr>
      </w:pPr>
    </w:p>
    <w:p w:rsidRPr="009A375C" w:rsidR="009A375C" w:rsidP="009A375C" w:rsidRDefault="009A375C" w14:paraId="5A9C63F4" w14:textId="2E897B64">
      <w:pPr>
        <w:jc w:val="center"/>
        <w:rPr>
          <w:rFonts w:ascii="Times New Roman" w:hAnsi="Times New Roman"/>
          <w:sz w:val="24"/>
          <w:szCs w:val="24"/>
        </w:rPr>
      </w:pPr>
      <w:r w:rsidRPr="009A375C">
        <w:rPr>
          <w:rFonts w:ascii="Times New Roman" w:hAnsi="Times New Roman"/>
          <w:noProof/>
          <w:sz w:val="24"/>
          <w:szCs w:val="24"/>
        </w:rPr>
        <w:lastRenderedPageBreak/>
        <w:drawing>
          <wp:inline distT="0" distB="0" distL="0" distR="0" wp14:anchorId="0D2C4E7F" wp14:editId="0B113777">
            <wp:extent cx="5581650" cy="4333875"/>
            <wp:effectExtent l="0" t="0" r="0" b="9525"/>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4333875"/>
                    </a:xfrm>
                    <a:prstGeom prst="rect">
                      <a:avLst/>
                    </a:prstGeom>
                    <a:noFill/>
                    <a:ln>
                      <a:noFill/>
                    </a:ln>
                  </pic:spPr>
                </pic:pic>
              </a:graphicData>
            </a:graphic>
          </wp:inline>
        </w:drawing>
      </w:r>
    </w:p>
    <w:p w:rsidRPr="009A375C" w:rsidR="009A375C" w:rsidP="009A375C" w:rsidRDefault="009A375C" w14:paraId="3CB35C4F" w14:textId="6B12CA1F">
      <w:pPr>
        <w:jc w:val="center"/>
        <w:rPr>
          <w:rFonts w:ascii="Times New Roman" w:hAnsi="Times New Roman"/>
          <w:sz w:val="24"/>
          <w:szCs w:val="24"/>
        </w:rPr>
      </w:pPr>
      <w:r w:rsidRPr="009A375C">
        <w:rPr>
          <w:rFonts w:ascii="Times New Roman" w:hAnsi="Times New Roman"/>
          <w:noProof/>
          <w:sz w:val="24"/>
          <w:szCs w:val="24"/>
        </w:rPr>
        <w:drawing>
          <wp:inline distT="0" distB="0" distL="0" distR="0" wp14:anchorId="77CC1EB9" wp14:editId="58F5DC57">
            <wp:extent cx="5572125" cy="2838450"/>
            <wp:effectExtent l="0" t="0" r="9525"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2838450"/>
                    </a:xfrm>
                    <a:prstGeom prst="rect">
                      <a:avLst/>
                    </a:prstGeom>
                    <a:noFill/>
                    <a:ln>
                      <a:noFill/>
                    </a:ln>
                  </pic:spPr>
                </pic:pic>
              </a:graphicData>
            </a:graphic>
          </wp:inline>
        </w:drawing>
      </w:r>
    </w:p>
    <w:p w:rsidRPr="009A375C" w:rsidR="009A375C" w:rsidP="009A375C" w:rsidRDefault="009A375C" w14:paraId="47E92647" w14:textId="6FB8CC88">
      <w:pPr>
        <w:jc w:val="center"/>
        <w:rPr>
          <w:rFonts w:ascii="Times New Roman" w:hAnsi="Times New Roman"/>
          <w:sz w:val="24"/>
          <w:szCs w:val="24"/>
        </w:rPr>
      </w:pPr>
      <w:r w:rsidRPr="009A375C">
        <w:rPr>
          <w:rFonts w:ascii="Times New Roman" w:hAnsi="Times New Roman"/>
          <w:noProof/>
          <w:sz w:val="24"/>
          <w:szCs w:val="24"/>
        </w:rPr>
        <w:lastRenderedPageBreak/>
        <w:drawing>
          <wp:inline distT="0" distB="0" distL="0" distR="0" wp14:anchorId="6CC38F13" wp14:editId="2EC8FDAE">
            <wp:extent cx="5581650" cy="280987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0" cy="2809875"/>
                    </a:xfrm>
                    <a:prstGeom prst="rect">
                      <a:avLst/>
                    </a:prstGeom>
                    <a:noFill/>
                    <a:ln>
                      <a:noFill/>
                    </a:ln>
                  </pic:spPr>
                </pic:pic>
              </a:graphicData>
            </a:graphic>
          </wp:inline>
        </w:drawing>
      </w:r>
    </w:p>
    <w:p w:rsidRPr="009217F9" w:rsidR="009A375C" w:rsidP="009A375C" w:rsidRDefault="009A375C" w14:paraId="068554A9" w14:textId="0BFBC639">
      <w:pPr>
        <w:jc w:val="both"/>
        <w:rPr>
          <w:rFonts w:ascii="Times New Roman" w:hAnsi="Times New Roman"/>
          <w:noProof/>
          <w:sz w:val="24"/>
          <w:szCs w:val="24"/>
          <w:lang w:val="es-ES"/>
        </w:rPr>
      </w:pPr>
      <w:r w:rsidRPr="009A375C">
        <w:rPr>
          <w:rFonts w:ascii="Times New Roman" w:hAnsi="Times New Roman"/>
          <w:noProof/>
          <w:sz w:val="24"/>
          <w:szCs w:val="24"/>
        </w:rPr>
        <w:t>En este caso, conforme a lo sustentando por el reclamante, le hurtaron el celular y recien se percata que le hicieron el cambio de la tarjeta:</w:t>
      </w:r>
    </w:p>
    <w:p w:rsidR="00136C86" w:rsidP="006A7C2B" w:rsidRDefault="009A375C" w14:paraId="62BD82C9" w14:textId="77777777">
      <w:pPr>
        <w:jc w:val="center"/>
        <w:rPr>
          <w:rFonts w:ascii="Times New Roman" w:hAnsi="Times New Roman"/>
          <w:noProof/>
          <w:sz w:val="24"/>
          <w:szCs w:val="24"/>
        </w:rPr>
      </w:pPr>
      <w:r w:rsidRPr="009A375C">
        <w:rPr>
          <w:rFonts w:ascii="Times New Roman" w:hAnsi="Times New Roman"/>
          <w:noProof/>
          <w:sz w:val="24"/>
          <w:szCs w:val="24"/>
        </w:rPr>
        <w:drawing>
          <wp:inline distT="0" distB="0" distL="0" distR="0" wp14:anchorId="2554AD16" wp14:editId="0CB311DF">
            <wp:extent cx="5572125" cy="63817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572125" cy="638175"/>
                    </a:xfrm>
                    <a:prstGeom prst="rect">
                      <a:avLst/>
                    </a:prstGeom>
                    <a:noFill/>
                    <a:ln>
                      <a:noFill/>
                    </a:ln>
                  </pic:spPr>
                </pic:pic>
              </a:graphicData>
            </a:graphic>
          </wp:inline>
        </w:drawing>
      </w:r>
    </w:p>
    <w:p w:rsidRPr="009A375C" w:rsidR="009A375C" w:rsidP="00136C86" w:rsidRDefault="009A375C" w14:paraId="2CD3EABB" w14:textId="710A0F35">
      <w:pPr>
        <w:jc w:val="both"/>
        <w:rPr>
          <w:rFonts w:ascii="Times New Roman" w:hAnsi="Times New Roman"/>
          <w:noProof/>
          <w:sz w:val="24"/>
          <w:szCs w:val="24"/>
        </w:rPr>
      </w:pPr>
      <w:r w:rsidRPr="009A375C">
        <w:rPr>
          <w:rFonts w:ascii="Times New Roman" w:hAnsi="Times New Roman"/>
          <w:noProof/>
          <w:sz w:val="24"/>
          <w:szCs w:val="24"/>
        </w:rPr>
        <w:t>Como consecuencia de ello, se realizaron do</w:t>
      </w:r>
      <w:r w:rsidR="00136C86">
        <w:rPr>
          <w:rFonts w:ascii="Times New Roman" w:hAnsi="Times New Roman"/>
          <w:noProof/>
          <w:sz w:val="24"/>
          <w:szCs w:val="24"/>
        </w:rPr>
        <w:t>ce</w:t>
      </w:r>
      <w:r w:rsidRPr="009A375C">
        <w:rPr>
          <w:rFonts w:ascii="Times New Roman" w:hAnsi="Times New Roman"/>
          <w:noProof/>
          <w:sz w:val="24"/>
          <w:szCs w:val="24"/>
        </w:rPr>
        <w:t xml:space="preserve"> operaciones no reconocidas </w:t>
      </w:r>
      <w:r w:rsidR="00D77FFB">
        <w:rPr>
          <w:rFonts w:ascii="Times New Roman" w:hAnsi="Times New Roman"/>
          <w:noProof/>
          <w:sz w:val="24"/>
          <w:szCs w:val="24"/>
        </w:rPr>
        <w:t xml:space="preserve">por </w:t>
      </w:r>
      <w:r w:rsidRPr="009A375C">
        <w:rPr>
          <w:rFonts w:ascii="Times New Roman" w:hAnsi="Times New Roman"/>
          <w:noProof/>
          <w:sz w:val="24"/>
          <w:szCs w:val="24"/>
        </w:rPr>
        <w:t>c</w:t>
      </w:r>
      <w:r w:rsidR="00D052E2">
        <w:rPr>
          <w:rFonts w:ascii="Times New Roman" w:hAnsi="Times New Roman"/>
          <w:noProof/>
          <w:sz w:val="24"/>
          <w:szCs w:val="24"/>
        </w:rPr>
        <w:t>ompras p</w:t>
      </w:r>
      <w:r w:rsidRPr="009A375C">
        <w:rPr>
          <w:rFonts w:ascii="Times New Roman" w:hAnsi="Times New Roman"/>
          <w:noProof/>
          <w:sz w:val="24"/>
          <w:szCs w:val="24"/>
        </w:rPr>
        <w:t>or internet:</w:t>
      </w:r>
    </w:p>
    <w:p w:rsidRPr="009A375C" w:rsidR="009A375C" w:rsidP="009A375C" w:rsidRDefault="009A375C" w14:paraId="58E0D8EE" w14:textId="73B2F5A6">
      <w:pPr>
        <w:jc w:val="center"/>
        <w:rPr>
          <w:rFonts w:ascii="Times New Roman" w:hAnsi="Times New Roman"/>
          <w:noProof/>
          <w:sz w:val="24"/>
          <w:szCs w:val="24"/>
        </w:rPr>
      </w:pPr>
      <w:r w:rsidRPr="009A375C">
        <w:rPr>
          <w:rFonts w:ascii="Times New Roman" w:hAnsi="Times New Roman"/>
          <w:noProof/>
          <w:sz w:val="24"/>
          <w:szCs w:val="24"/>
        </w:rPr>
        <w:drawing>
          <wp:inline distT="0" distB="0" distL="0" distR="0" wp14:anchorId="3C80EF19" wp14:editId="36D710F9">
            <wp:extent cx="5581650" cy="1895475"/>
            <wp:effectExtent l="0" t="0" r="0" b="952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81650" cy="1895475"/>
                    </a:xfrm>
                    <a:prstGeom prst="rect">
                      <a:avLst/>
                    </a:prstGeom>
                    <a:noFill/>
                    <a:ln>
                      <a:noFill/>
                    </a:ln>
                  </pic:spPr>
                </pic:pic>
              </a:graphicData>
            </a:graphic>
          </wp:inline>
        </w:drawing>
      </w:r>
    </w:p>
    <w:p w:rsidRPr="009A375C" w:rsidR="009A375C" w:rsidP="009A375C" w:rsidRDefault="009A375C" w14:paraId="1BF95C8B" w14:textId="77777777">
      <w:pPr>
        <w:jc w:val="both"/>
        <w:rPr>
          <w:rFonts w:ascii="Times New Roman" w:hAnsi="Times New Roman"/>
          <w:noProof/>
          <w:sz w:val="24"/>
          <w:szCs w:val="24"/>
        </w:rPr>
      </w:pPr>
      <w:r w:rsidRPr="009A375C">
        <w:rPr>
          <w:rFonts w:ascii="Times New Roman" w:hAnsi="Times New Roman"/>
          <w:noProof/>
          <w:sz w:val="24"/>
          <w:szCs w:val="24"/>
        </w:rPr>
        <w:t xml:space="preserve">En este caso, la tarjeta no fue robada ni hurtada (según lo señalado fue cambiada), ni se hizo uso de la misma en establecimientos comerciales (supuesto 1), tampoco se produjo un uso forzado de la tarjeta, en la medida que el asegurado no fue secuestrado y obligado a retirar directamente dinero del cajero automático (supuesto 2) , ni se sustrajo dinero tras retirarlo del cajero (supuesto 3); así como tampoco se ha producido una transferencia a la cuenta bancaria de un tercero (supuesto 9), ni los supuestos 5, 6, 7 y 8 que contempla la póliza. </w:t>
      </w:r>
    </w:p>
    <w:p w:rsidRPr="009A375C" w:rsidR="009A375C" w:rsidP="009A375C" w:rsidRDefault="009A375C" w14:paraId="486005CE" w14:textId="77777777">
      <w:pPr>
        <w:jc w:val="both"/>
        <w:rPr>
          <w:rFonts w:ascii="Times New Roman" w:hAnsi="Times New Roman"/>
          <w:noProof/>
          <w:sz w:val="24"/>
          <w:szCs w:val="24"/>
        </w:rPr>
      </w:pPr>
    </w:p>
    <w:p w:rsidRPr="009A375C" w:rsidR="009A375C" w:rsidP="009A375C" w:rsidRDefault="009A375C" w14:paraId="26CB8A5A" w14:textId="77777777">
      <w:pPr>
        <w:jc w:val="both"/>
        <w:rPr>
          <w:rFonts w:ascii="Times New Roman" w:hAnsi="Times New Roman"/>
          <w:sz w:val="24"/>
          <w:szCs w:val="24"/>
        </w:rPr>
      </w:pPr>
    </w:p>
    <w:p w:rsidRPr="009A375C" w:rsidR="009A375C" w:rsidP="009A375C" w:rsidRDefault="009A375C" w14:paraId="09D517BA" w14:textId="661D1DFA">
      <w:pPr>
        <w:jc w:val="both"/>
        <w:rPr>
          <w:rFonts w:ascii="Times New Roman" w:hAnsi="Times New Roman"/>
          <w:sz w:val="24"/>
          <w:szCs w:val="24"/>
        </w:rPr>
      </w:pPr>
      <w:r w:rsidRPr="009A375C">
        <w:rPr>
          <w:rFonts w:ascii="Times New Roman" w:hAnsi="Times New Roman"/>
          <w:sz w:val="24"/>
          <w:szCs w:val="24"/>
          <w:lang w:val="es-MX"/>
        </w:rPr>
        <w:t xml:space="preserve">Ahora bien, como puede apreciarse, de la descripción de la </w:t>
      </w:r>
      <w:r w:rsidRPr="009A375C">
        <w:rPr>
          <w:rFonts w:ascii="Times New Roman" w:hAnsi="Times New Roman"/>
          <w:sz w:val="24"/>
          <w:szCs w:val="24"/>
        </w:rPr>
        <w:t>Cobertura ante compras fraudulentas vía internet (supuesto 4)</w:t>
      </w:r>
      <w:r w:rsidRPr="009A375C">
        <w:rPr>
          <w:rFonts w:ascii="Times New Roman" w:hAnsi="Times New Roman"/>
          <w:sz w:val="24"/>
          <w:szCs w:val="24"/>
          <w:lang w:val="es-MX"/>
        </w:rPr>
        <w:t xml:space="preserve">, </w:t>
      </w:r>
      <w:r w:rsidRPr="009A375C">
        <w:rPr>
          <w:rFonts w:ascii="Times New Roman" w:hAnsi="Times New Roman"/>
          <w:sz w:val="24"/>
          <w:szCs w:val="24"/>
        </w:rPr>
        <w:t>la póliza asegura el dinero que represente las compras</w:t>
      </w:r>
      <w:r w:rsidR="005F659E">
        <w:rPr>
          <w:rFonts w:ascii="Times New Roman" w:hAnsi="Times New Roman"/>
          <w:sz w:val="24"/>
          <w:szCs w:val="24"/>
        </w:rPr>
        <w:t xml:space="preserve"> </w:t>
      </w:r>
      <w:r w:rsidRPr="009A375C">
        <w:rPr>
          <w:rFonts w:ascii="Times New Roman" w:hAnsi="Times New Roman"/>
          <w:sz w:val="24"/>
          <w:szCs w:val="24"/>
        </w:rPr>
        <w:t>fraudulentas con la tarjeta de crédito y/o débito BBVA sin la autorización y conocimiento del titular hasta 60 días antes de la fecha de bloqueo.</w:t>
      </w:r>
    </w:p>
    <w:p w:rsidRPr="009A375C" w:rsidR="009A375C" w:rsidP="009A375C" w:rsidRDefault="009A375C" w14:paraId="30ABE242" w14:textId="77777777">
      <w:pPr>
        <w:jc w:val="both"/>
        <w:rPr>
          <w:rFonts w:ascii="Times New Roman" w:hAnsi="Times New Roman"/>
          <w:sz w:val="24"/>
          <w:szCs w:val="24"/>
        </w:rPr>
      </w:pPr>
      <w:r w:rsidRPr="009A375C">
        <w:rPr>
          <w:rFonts w:ascii="Times New Roman" w:hAnsi="Times New Roman"/>
          <w:sz w:val="24"/>
          <w:szCs w:val="24"/>
        </w:rPr>
        <w:t>Dicha cobertura no limita el riesgo a determinadas modalidades delictivas que facilitan el uso indebido de la tarjeta, sólo condiciona que la compra haya sido sin autorización y conocimiento del asegurado.</w:t>
      </w:r>
      <w:r w:rsidRPr="009A375C">
        <w:rPr>
          <w:rFonts w:ascii="Times New Roman" w:hAnsi="Times New Roman"/>
          <w:sz w:val="24"/>
          <w:szCs w:val="24"/>
          <w:lang w:val="es-MX"/>
        </w:rPr>
        <w:t xml:space="preserve"> </w:t>
      </w:r>
      <w:r w:rsidRPr="009A375C">
        <w:rPr>
          <w:rFonts w:ascii="Times New Roman" w:hAnsi="Times New Roman"/>
          <w:sz w:val="24"/>
          <w:szCs w:val="24"/>
        </w:rPr>
        <w:t xml:space="preserve">Sin mención alguna al robo o hurto del plástico mismo. </w:t>
      </w:r>
    </w:p>
    <w:p w:rsidRPr="009A375C" w:rsidR="009A375C" w:rsidP="009A375C" w:rsidRDefault="009A375C" w14:paraId="4D13D053" w14:textId="65562648">
      <w:pPr>
        <w:jc w:val="both"/>
        <w:rPr>
          <w:rFonts w:ascii="Times New Roman" w:hAnsi="Times New Roman"/>
          <w:sz w:val="24"/>
          <w:szCs w:val="24"/>
        </w:rPr>
      </w:pPr>
      <w:r w:rsidRPr="009A375C">
        <w:rPr>
          <w:rFonts w:ascii="Times New Roman" w:hAnsi="Times New Roman"/>
          <w:sz w:val="24"/>
          <w:szCs w:val="24"/>
        </w:rPr>
        <w:t xml:space="preserve">Asimismo, el bloqueo se realizó antes de los 60 días </w:t>
      </w:r>
      <w:r w:rsidR="005F659E">
        <w:rPr>
          <w:rFonts w:ascii="Times New Roman" w:hAnsi="Times New Roman"/>
          <w:sz w:val="24"/>
          <w:szCs w:val="24"/>
        </w:rPr>
        <w:t xml:space="preserve">de </w:t>
      </w:r>
      <w:r w:rsidRPr="009A375C">
        <w:rPr>
          <w:rFonts w:ascii="Times New Roman" w:hAnsi="Times New Roman"/>
          <w:sz w:val="24"/>
          <w:szCs w:val="24"/>
        </w:rPr>
        <w:t>efectuadas las operaciones no reconocidas (desde el 15 al 30 de noviembre de 2022), concretamente, el 1 de diciembre de 2022.</w:t>
      </w:r>
    </w:p>
    <w:p w:rsidRPr="009A375C" w:rsidR="009A375C" w:rsidP="009A375C" w:rsidRDefault="009A375C" w14:paraId="072BEFE9" w14:textId="77777777">
      <w:pPr>
        <w:jc w:val="both"/>
        <w:rPr>
          <w:rFonts w:ascii="Times New Roman" w:hAnsi="Times New Roman"/>
          <w:sz w:val="24"/>
          <w:szCs w:val="24"/>
          <w:lang w:val="es-ES"/>
        </w:rPr>
      </w:pPr>
      <w:r w:rsidRPr="009A375C">
        <w:rPr>
          <w:rFonts w:ascii="Times New Roman" w:hAnsi="Times New Roman"/>
          <w:sz w:val="24"/>
          <w:szCs w:val="24"/>
        </w:rPr>
        <w:t xml:space="preserve">A juicio de este órgano resolutorio unipersonal, la cobertura No. 4, al no especificar mayor detalle se entiende como compra fraudulenta por internet, la no realizada por el asegurado, a través de cualquier medio por el que los delincuentes pudieron haber accedido a la información. </w:t>
      </w:r>
    </w:p>
    <w:p w:rsidRPr="009A375C" w:rsidR="009A375C" w:rsidP="009A375C" w:rsidRDefault="009A375C" w14:paraId="6D28766D" w14:textId="77777777">
      <w:pPr>
        <w:jc w:val="both"/>
        <w:rPr>
          <w:rFonts w:ascii="Times New Roman" w:hAnsi="Times New Roman"/>
          <w:sz w:val="24"/>
          <w:szCs w:val="24"/>
        </w:rPr>
      </w:pPr>
      <w:r w:rsidRPr="009A375C">
        <w:rPr>
          <w:rFonts w:ascii="Times New Roman" w:hAnsi="Times New Roman"/>
          <w:sz w:val="24"/>
          <w:szCs w:val="24"/>
        </w:rPr>
        <w:t>Por otro lado, la Compañía señala que el bloqueo de la tarjeta se realizó el 1 de diciembre del 2022, varios días después del hurto del celular. Asimismo, el reclamante no ha adjuntado la denuncia policial correspondiente. Teniendo en cuenta ello, en el supuesto negado que el siniestro estuviera coberturado, el asegurado no cumplió con su obligación de bloquear la tarjeta dentro de las 4 horas de conocido el siniestro.</w:t>
      </w:r>
    </w:p>
    <w:p w:rsidRPr="009A375C" w:rsidR="009A375C" w:rsidP="009A375C" w:rsidRDefault="009A375C" w14:paraId="6996DC5C" w14:textId="77777777">
      <w:pPr>
        <w:jc w:val="both"/>
        <w:rPr>
          <w:rFonts w:ascii="Times New Roman" w:hAnsi="Times New Roman"/>
          <w:sz w:val="24"/>
          <w:szCs w:val="24"/>
          <w:lang w:val="es-ES"/>
        </w:rPr>
      </w:pPr>
      <w:r w:rsidRPr="009A375C">
        <w:rPr>
          <w:rFonts w:ascii="Times New Roman" w:hAnsi="Times New Roman"/>
          <w:sz w:val="24"/>
          <w:szCs w:val="24"/>
        </w:rPr>
        <w:t>Ahora bien, en el rechazo comunicado al asegurado mediante carta de fecha 22 de diciembre de 2022, solo se señaló que la cobertura no encajaba dentro de los riesgos coberturas, más no se alegó el incumplimiento de una carga (bloqueo extemporáneo de la tarjeta). Así, carece de sentido pronunciarse al respecto.</w:t>
      </w:r>
    </w:p>
    <w:p w:rsidRPr="009A375C" w:rsidR="009A375C" w:rsidP="009A375C" w:rsidRDefault="009A375C" w14:paraId="5489E6DD" w14:textId="77777777">
      <w:pPr>
        <w:jc w:val="both"/>
        <w:rPr>
          <w:rStyle w:val="Textoennegrita"/>
          <w:rFonts w:ascii="Times New Roman" w:hAnsi="Times New Roman"/>
          <w:b w:val="0"/>
          <w:bCs w:val="0"/>
          <w:sz w:val="24"/>
          <w:szCs w:val="24"/>
        </w:rPr>
      </w:pPr>
      <w:r w:rsidRPr="009A375C">
        <w:rPr>
          <w:rFonts w:ascii="Times New Roman" w:hAnsi="Times New Roman"/>
          <w:sz w:val="24"/>
          <w:szCs w:val="24"/>
        </w:rPr>
        <w:t xml:space="preserve">Al respecto, es aplicable lo plasmado en la sétima regla interpretativa contenida en el artículo IV de la Ley Nro. 29946 – Ley del Contrato de Seguro: </w:t>
      </w:r>
      <w:r w:rsidRPr="009A375C">
        <w:rPr>
          <w:rFonts w:ascii="Times New Roman" w:hAnsi="Times New Roman"/>
          <w:b/>
          <w:bCs/>
          <w:i/>
          <w:iCs/>
          <w:sz w:val="24"/>
          <w:szCs w:val="24"/>
        </w:rPr>
        <w:t>“La cobertura,</w:t>
      </w:r>
      <w:r w:rsidRPr="009A375C">
        <w:rPr>
          <w:rFonts w:ascii="Times New Roman" w:hAnsi="Times New Roman"/>
          <w:i/>
          <w:iCs/>
          <w:sz w:val="24"/>
          <w:szCs w:val="24"/>
        </w:rPr>
        <w:t xml:space="preserve"> exclusiones </w:t>
      </w:r>
      <w:r w:rsidRPr="009A375C">
        <w:rPr>
          <w:rFonts w:ascii="Times New Roman" w:hAnsi="Times New Roman"/>
          <w:b/>
          <w:bCs/>
          <w:i/>
          <w:iCs/>
          <w:sz w:val="24"/>
          <w:szCs w:val="24"/>
        </w:rPr>
        <w:t xml:space="preserve">y, en general, la extensión del riesgo, </w:t>
      </w:r>
      <w:r w:rsidRPr="009A375C">
        <w:rPr>
          <w:rFonts w:ascii="Times New Roman" w:hAnsi="Times New Roman"/>
          <w:i/>
          <w:iCs/>
          <w:sz w:val="24"/>
          <w:szCs w:val="24"/>
        </w:rPr>
        <w:t xml:space="preserve">así como los derechos de los beneficiarios, previstos en el contrato de seguro, </w:t>
      </w:r>
      <w:r w:rsidRPr="009A375C">
        <w:rPr>
          <w:rFonts w:ascii="Times New Roman" w:hAnsi="Times New Roman"/>
          <w:b/>
          <w:bCs/>
          <w:i/>
          <w:iCs/>
          <w:sz w:val="24"/>
          <w:szCs w:val="24"/>
        </w:rPr>
        <w:t xml:space="preserve">deben interpretarse literalmente” </w:t>
      </w:r>
      <w:r w:rsidRPr="009A375C">
        <w:rPr>
          <w:rFonts w:ascii="Times New Roman" w:hAnsi="Times New Roman"/>
          <w:sz w:val="24"/>
          <w:szCs w:val="24"/>
        </w:rPr>
        <w:t>(lo destacado es nuestro); y, en este sentido, corresponde brindar cobertura por compras fraudulentas por internet.</w:t>
      </w:r>
    </w:p>
    <w:p w:rsidRPr="009A375C" w:rsidR="009A375C" w:rsidP="009A375C" w:rsidRDefault="009A375C" w14:paraId="17ED1CB0" w14:textId="77777777">
      <w:pPr>
        <w:tabs>
          <w:tab w:val="left" w:pos="2386"/>
        </w:tabs>
        <w:jc w:val="both"/>
        <w:outlineLvl w:val="0"/>
        <w:rPr>
          <w:rFonts w:ascii="Times New Roman" w:hAnsi="Times New Roman"/>
          <w:b/>
          <w:sz w:val="24"/>
          <w:szCs w:val="24"/>
        </w:rPr>
      </w:pPr>
      <w:r w:rsidRPr="009A375C">
        <w:rPr>
          <w:rFonts w:ascii="Times New Roman" w:hAnsi="Times New Roman"/>
          <w:b/>
          <w:sz w:val="24"/>
          <w:szCs w:val="24"/>
        </w:rPr>
        <w:t>ATENDIENDO A LO EXPRESADO, ESTE ÓRGANO RESOLUTIVO UNIPERSONAL CONCLUYE SU APRECIACIÓN RAZONADA Y CONJUNTA AL AMPARO DE LO ESTABLECIDO EN EL REGLAMENTO DE LA DEFASEG, POR LO QUE:</w:t>
      </w:r>
    </w:p>
    <w:p w:rsidRPr="009A375C" w:rsidR="009A375C" w:rsidP="009A375C" w:rsidRDefault="009A375C" w14:paraId="7F1A4122" w14:textId="77777777">
      <w:pPr>
        <w:jc w:val="both"/>
        <w:rPr>
          <w:rFonts w:ascii="Times New Roman" w:hAnsi="Times New Roman"/>
          <w:b/>
          <w:sz w:val="24"/>
          <w:szCs w:val="24"/>
        </w:rPr>
      </w:pPr>
      <w:r w:rsidRPr="009A375C">
        <w:rPr>
          <w:rFonts w:ascii="Times New Roman" w:hAnsi="Times New Roman"/>
          <w:b/>
          <w:sz w:val="24"/>
          <w:szCs w:val="24"/>
        </w:rPr>
        <w:t>RESUELVE:</w:t>
      </w:r>
    </w:p>
    <w:p w:rsidRPr="009A375C" w:rsidR="009A375C" w:rsidP="009A375C" w:rsidRDefault="009A375C" w14:paraId="2D41BF99" w14:textId="77777777">
      <w:pPr>
        <w:jc w:val="both"/>
        <w:rPr>
          <w:rFonts w:ascii="Times New Roman" w:hAnsi="Times New Roman"/>
          <w:sz w:val="24"/>
          <w:szCs w:val="24"/>
        </w:rPr>
      </w:pPr>
    </w:p>
    <w:p w:rsidRPr="009A375C" w:rsidR="009A375C" w:rsidP="1050D931" w:rsidRDefault="009A375C" w14:paraId="4E600901" w14:textId="60796E85">
      <w:pPr>
        <w:jc w:val="both"/>
        <w:outlineLvl w:val="0"/>
        <w:rPr>
          <w:rFonts w:ascii="Times New Roman" w:hAnsi="Times New Roman"/>
          <w:b w:val="1"/>
          <w:bCs w:val="1"/>
          <w:sz w:val="24"/>
          <w:szCs w:val="24"/>
        </w:rPr>
      </w:pPr>
      <w:r w:rsidRPr="1050D931" w:rsidR="009A375C">
        <w:rPr>
          <w:rFonts w:ascii="Times New Roman" w:hAnsi="Times New Roman"/>
          <w:sz w:val="24"/>
          <w:szCs w:val="24"/>
        </w:rPr>
        <w:t>Declarar</w:t>
      </w:r>
      <w:r w:rsidRPr="1050D931" w:rsidR="009A375C">
        <w:rPr>
          <w:rFonts w:ascii="Times New Roman" w:hAnsi="Times New Roman"/>
          <w:b w:val="1"/>
          <w:bCs w:val="1"/>
          <w:sz w:val="24"/>
          <w:szCs w:val="24"/>
        </w:rPr>
        <w:t xml:space="preserve"> FUNDADA </w:t>
      </w:r>
      <w:r w:rsidRPr="1050D931" w:rsidR="009A375C">
        <w:rPr>
          <w:rFonts w:ascii="Times New Roman" w:hAnsi="Times New Roman"/>
          <w:sz w:val="24"/>
          <w:szCs w:val="24"/>
        </w:rPr>
        <w:t>la reclamación</w:t>
      </w:r>
      <w:r w:rsidRPr="1050D931" w:rsidR="009A375C">
        <w:rPr>
          <w:rFonts w:ascii="Times New Roman" w:hAnsi="Times New Roman"/>
          <w:b w:val="1"/>
          <w:bCs w:val="1"/>
          <w:sz w:val="24"/>
          <w:szCs w:val="24"/>
        </w:rPr>
        <w:t xml:space="preserve"> </w:t>
      </w:r>
      <w:r w:rsidRPr="1050D931" w:rsidR="009A375C">
        <w:rPr>
          <w:rFonts w:ascii="Times New Roman" w:hAnsi="Times New Roman"/>
          <w:sz w:val="24"/>
          <w:szCs w:val="24"/>
        </w:rPr>
        <w:t>interpuesta</w:t>
      </w:r>
      <w:r w:rsidRPr="1050D931" w:rsidR="009A375C">
        <w:rPr>
          <w:rFonts w:ascii="Times New Roman" w:hAnsi="Times New Roman"/>
          <w:sz w:val="24"/>
          <w:szCs w:val="24"/>
          <w:lang w:val="es-MX"/>
        </w:rPr>
        <w:t xml:space="preserve"> por</w:t>
      </w:r>
      <w:r w:rsidRPr="1050D931" w:rsidR="009A375C">
        <w:rPr>
          <w:rFonts w:ascii="Times New Roman" w:hAnsi="Times New Roman"/>
          <w:b w:val="1"/>
          <w:bCs w:val="1"/>
          <w:sz w:val="24"/>
          <w:szCs w:val="24"/>
          <w:lang w:val="es-MX"/>
        </w:rPr>
        <w:t xml:space="preserve"> </w:t>
      </w:r>
      <w:r w:rsidRPr="1050D931" w:rsidR="3D212DC3">
        <w:rPr>
          <w:rFonts w:ascii="Times New Roman" w:hAnsi="Times New Roman"/>
          <w:b w:val="1"/>
          <w:bCs w:val="1"/>
          <w:sz w:val="24"/>
          <w:szCs w:val="24"/>
        </w:rPr>
        <w:t>..........................................................................</w:t>
      </w:r>
      <w:r w:rsidRPr="1050D931" w:rsidR="009A375C">
        <w:rPr>
          <w:rFonts w:ascii="Times New Roman" w:hAnsi="Times New Roman"/>
          <w:b w:val="1"/>
          <w:bCs w:val="1"/>
          <w:sz w:val="24"/>
          <w:szCs w:val="24"/>
        </w:rPr>
        <w:t xml:space="preserve"> </w:t>
      </w:r>
      <w:r w:rsidRPr="1050D931" w:rsidR="009A375C">
        <w:rPr>
          <w:rFonts w:ascii="Times New Roman" w:hAnsi="Times New Roman"/>
          <w:sz w:val="24"/>
          <w:szCs w:val="24"/>
        </w:rPr>
        <w:t xml:space="preserve">contra </w:t>
      </w:r>
      <w:r w:rsidRPr="1050D931" w:rsidR="2C6602F2">
        <w:rPr>
          <w:rFonts w:ascii="Times New Roman" w:hAnsi="Times New Roman"/>
          <w:b w:val="1"/>
          <w:bCs w:val="1"/>
          <w:sz w:val="24"/>
          <w:szCs w:val="24"/>
        </w:rPr>
        <w:t>..................................</w:t>
      </w:r>
      <w:r w:rsidRPr="1050D931" w:rsidR="009A375C">
        <w:rPr>
          <w:rFonts w:ascii="Times New Roman" w:hAnsi="Times New Roman"/>
          <w:b w:val="1"/>
          <w:bCs w:val="1"/>
          <w:sz w:val="24"/>
          <w:szCs w:val="24"/>
          <w:lang w:val="es-MX"/>
        </w:rPr>
        <w:t xml:space="preserve"> </w:t>
      </w:r>
      <w:r w:rsidRPr="1050D931" w:rsidR="009A375C">
        <w:rPr>
          <w:rFonts w:ascii="Times New Roman" w:hAnsi="Times New Roman"/>
          <w:sz w:val="24"/>
          <w:szCs w:val="24"/>
        </w:rPr>
        <w:t>correspondiente al</w:t>
      </w:r>
      <w:r w:rsidRPr="1050D931" w:rsidR="009A375C">
        <w:rPr>
          <w:rFonts w:ascii="Times New Roman" w:hAnsi="Times New Roman"/>
          <w:b w:val="1"/>
          <w:bCs w:val="1"/>
          <w:sz w:val="24"/>
          <w:szCs w:val="24"/>
          <w:lang w:val="es-MX"/>
        </w:rPr>
        <w:t xml:space="preserve"> SEGURO DE PROTECCIÓN DE TARJETA CON PÓLIZA </w:t>
      </w:r>
      <w:r w:rsidRPr="1050D931" w:rsidR="009A375C">
        <w:rPr>
          <w:rFonts w:ascii="Times New Roman" w:hAnsi="Times New Roman"/>
          <w:b w:val="1"/>
          <w:bCs w:val="1"/>
          <w:sz w:val="24"/>
          <w:szCs w:val="24"/>
          <w:lang w:val="es-MX"/>
        </w:rPr>
        <w:t>N°</w:t>
      </w:r>
      <w:r w:rsidRPr="1050D931" w:rsidR="009A375C">
        <w:rPr>
          <w:rFonts w:ascii="Times New Roman" w:hAnsi="Times New Roman"/>
          <w:b w:val="1"/>
          <w:bCs w:val="1"/>
          <w:sz w:val="24"/>
          <w:szCs w:val="24"/>
          <w:lang w:val="es-MX"/>
        </w:rPr>
        <w:t xml:space="preserve"> </w:t>
      </w:r>
      <w:r w:rsidRPr="1050D931" w:rsidR="2FDDC779">
        <w:rPr>
          <w:rFonts w:ascii="Times New Roman" w:hAnsi="Times New Roman"/>
          <w:b w:val="1"/>
          <w:bCs w:val="1"/>
          <w:sz w:val="24"/>
          <w:szCs w:val="24"/>
        </w:rPr>
        <w:t>..........................</w:t>
      </w:r>
      <w:r w:rsidRPr="1050D931" w:rsidR="009A375C">
        <w:rPr>
          <w:rFonts w:ascii="Times New Roman" w:hAnsi="Times New Roman"/>
          <w:sz w:val="24"/>
          <w:szCs w:val="24"/>
          <w:lang w:val="es-MX"/>
        </w:rPr>
        <w:t xml:space="preserve">, </w:t>
      </w:r>
      <w:r w:rsidRPr="1050D931" w:rsidR="009A375C">
        <w:rPr>
          <w:rFonts w:ascii="Times New Roman" w:hAnsi="Times New Roman"/>
          <w:sz w:val="24"/>
          <w:szCs w:val="24"/>
          <w:lang w:val="es-MX"/>
        </w:rPr>
        <w:t>debiendo la aseguradora otorgar la cobertura por compra fraudulenta vía internet.</w:t>
      </w:r>
    </w:p>
    <w:p w:rsidRPr="009A375C" w:rsidR="002D07BA" w:rsidP="00AB7740" w:rsidRDefault="00D00142" w14:paraId="44189A88" w14:textId="15DC25EC">
      <w:pPr>
        <w:jc w:val="right"/>
        <w:rPr>
          <w:rFonts w:ascii="Times New Roman" w:hAnsi="Times New Roman"/>
          <w:sz w:val="24"/>
          <w:szCs w:val="24"/>
        </w:rPr>
      </w:pPr>
      <w:r w:rsidRPr="009A375C">
        <w:rPr>
          <w:rFonts w:ascii="Times New Roman" w:hAnsi="Times New Roman"/>
          <w:sz w:val="24"/>
          <w:szCs w:val="24"/>
        </w:rPr>
        <w:t>Lima,</w:t>
      </w:r>
      <w:r w:rsidRPr="009A375C" w:rsidR="0034229F">
        <w:rPr>
          <w:rFonts w:ascii="Times New Roman" w:hAnsi="Times New Roman"/>
          <w:sz w:val="24"/>
          <w:szCs w:val="24"/>
        </w:rPr>
        <w:t xml:space="preserve"> </w:t>
      </w:r>
      <w:r w:rsidRPr="009A375C" w:rsidR="007C1D34">
        <w:rPr>
          <w:rFonts w:ascii="Times New Roman" w:hAnsi="Times New Roman"/>
          <w:sz w:val="24"/>
          <w:szCs w:val="24"/>
        </w:rPr>
        <w:t>10</w:t>
      </w:r>
      <w:r w:rsidRPr="009A375C" w:rsidR="0034229F">
        <w:rPr>
          <w:rFonts w:ascii="Times New Roman" w:hAnsi="Times New Roman"/>
          <w:sz w:val="24"/>
          <w:szCs w:val="24"/>
        </w:rPr>
        <w:t xml:space="preserve"> </w:t>
      </w:r>
      <w:r w:rsidRPr="009A375C">
        <w:rPr>
          <w:rFonts w:ascii="Times New Roman" w:hAnsi="Times New Roman"/>
          <w:sz w:val="24"/>
          <w:szCs w:val="24"/>
        </w:rPr>
        <w:t>de</w:t>
      </w:r>
      <w:r w:rsidRPr="009A375C" w:rsidR="003E3E64">
        <w:rPr>
          <w:rFonts w:ascii="Times New Roman" w:hAnsi="Times New Roman"/>
          <w:sz w:val="24"/>
          <w:szCs w:val="24"/>
        </w:rPr>
        <w:t xml:space="preserve"> </w:t>
      </w:r>
      <w:r w:rsidRPr="009A375C" w:rsidR="00A60D4F">
        <w:rPr>
          <w:rFonts w:ascii="Times New Roman" w:hAnsi="Times New Roman"/>
          <w:sz w:val="24"/>
          <w:szCs w:val="24"/>
        </w:rPr>
        <w:t>febrero</w:t>
      </w:r>
      <w:r w:rsidRPr="009A375C">
        <w:rPr>
          <w:rFonts w:ascii="Times New Roman" w:hAnsi="Times New Roman"/>
          <w:sz w:val="24"/>
          <w:szCs w:val="24"/>
        </w:rPr>
        <w:t xml:space="preserve"> de 202</w:t>
      </w:r>
      <w:r w:rsidRPr="009A375C" w:rsidR="006C6213">
        <w:rPr>
          <w:rFonts w:ascii="Times New Roman" w:hAnsi="Times New Roman"/>
          <w:sz w:val="24"/>
          <w:szCs w:val="24"/>
        </w:rPr>
        <w:t>3</w:t>
      </w:r>
    </w:p>
    <w:p w:rsidRPr="009A375C" w:rsidR="00AB7740" w:rsidP="00AB7740" w:rsidRDefault="00AB7740" w14:paraId="709040E6" w14:textId="77777777">
      <w:pPr>
        <w:jc w:val="right"/>
        <w:rPr>
          <w:rFonts w:ascii="Times New Roman" w:hAnsi="Times New Roman"/>
          <w:sz w:val="24"/>
          <w:szCs w:val="24"/>
        </w:rPr>
      </w:pPr>
    </w:p>
    <w:p w:rsidRPr="009A375C" w:rsidR="00F26229" w:rsidP="00401FF7" w:rsidRDefault="00487E42" w14:paraId="451C9C40" w14:textId="68A996E5">
      <w:pPr>
        <w:jc w:val="both"/>
        <w:rPr>
          <w:rFonts w:ascii="Times New Roman" w:hAnsi="Times New Roman"/>
          <w:b/>
          <w:bCs/>
          <w:i/>
          <w:iCs/>
          <w:sz w:val="24"/>
          <w:szCs w:val="24"/>
        </w:rPr>
      </w:pPr>
      <w:r w:rsidRPr="009A375C">
        <w:rPr>
          <w:rFonts w:ascii="Times New Roman" w:hAnsi="Times New Roman"/>
          <w:b/>
          <w:bCs/>
          <w:i/>
          <w:iCs/>
          <w:sz w:val="24"/>
          <w:szCs w:val="24"/>
        </w:rPr>
        <w:t>La Secretaria Técnica, como Órgano Resolutivo Unipersonal, emite la presente resolución.</w:t>
      </w:r>
    </w:p>
    <w:p w:rsidRPr="009A375C" w:rsidR="00401FF7" w:rsidP="00401FF7" w:rsidRDefault="00401FF7" w14:paraId="4D0EAF79" w14:textId="77777777">
      <w:pPr>
        <w:jc w:val="both"/>
        <w:rPr>
          <w:rFonts w:ascii="Times New Roman" w:hAnsi="Times New Roman"/>
          <w:b/>
          <w:bCs/>
          <w:i/>
          <w:iCs/>
          <w:sz w:val="24"/>
          <w:szCs w:val="24"/>
        </w:rPr>
      </w:pPr>
    </w:p>
    <w:p w:rsidRPr="009A375C" w:rsidR="00487E42" w:rsidP="002D07BA" w:rsidRDefault="00487E42" w14:paraId="2D80A377" w14:textId="0DAFEFD0">
      <w:pPr>
        <w:spacing w:line="360" w:lineRule="auto"/>
        <w:jc w:val="center"/>
        <w:rPr>
          <w:rFonts w:ascii="Times New Roman" w:hAnsi="Times New Roman"/>
          <w:b/>
          <w:bCs/>
          <w:sz w:val="24"/>
          <w:szCs w:val="24"/>
        </w:rPr>
      </w:pPr>
      <w:r w:rsidRPr="009A375C">
        <w:rPr>
          <w:rFonts w:ascii="Times New Roman" w:hAnsi="Times New Roman"/>
          <w:b/>
          <w:bCs/>
          <w:sz w:val="24"/>
          <w:szCs w:val="24"/>
        </w:rPr>
        <w:t>Alicia Martín López – Secretar</w:t>
      </w:r>
      <w:r w:rsidRPr="009A375C" w:rsidR="003179C7">
        <w:rPr>
          <w:rFonts w:ascii="Times New Roman" w:hAnsi="Times New Roman"/>
          <w:b/>
          <w:bCs/>
          <w:sz w:val="24"/>
          <w:szCs w:val="24"/>
        </w:rPr>
        <w:t>i</w:t>
      </w:r>
      <w:r w:rsidRPr="009A375C">
        <w:rPr>
          <w:rFonts w:ascii="Times New Roman" w:hAnsi="Times New Roman"/>
          <w:b/>
          <w:bCs/>
          <w:sz w:val="24"/>
          <w:szCs w:val="24"/>
        </w:rPr>
        <w:t>a Técnica</w:t>
      </w:r>
    </w:p>
    <w:p w:rsidRPr="00194FAA" w:rsidR="000341A4" w:rsidP="00D00142" w:rsidRDefault="000341A4" w14:paraId="78842804" w14:textId="77777777">
      <w:pPr>
        <w:jc w:val="right"/>
        <w:rPr>
          <w:rFonts w:ascii="Times New Roman" w:hAnsi="Times New Roman"/>
          <w:sz w:val="24"/>
          <w:szCs w:val="24"/>
        </w:rPr>
      </w:pPr>
    </w:p>
    <w:p w:rsidRPr="00954297" w:rsidR="0089374D" w:rsidRDefault="0089374D" w14:paraId="7A3A0BC6" w14:textId="77777777">
      <w:pPr>
        <w:rPr>
          <w:rFonts w:ascii="Times New Roman" w:hAnsi="Times New Roman"/>
          <w:sz w:val="24"/>
          <w:szCs w:val="24"/>
        </w:rPr>
      </w:pPr>
    </w:p>
    <w:sectPr w:rsidRPr="00954297" w:rsidR="0089374D" w:rsidSect="0031356D">
      <w:headerReference w:type="default" r:id="rId15"/>
      <w:footerReference w:type="default" r:id="rId16"/>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173308" w:rsidP="00722F1A" w:rsidRDefault="00173308" w14:paraId="5ECDFE61" w14:textId="77777777">
      <w:pPr>
        <w:spacing w:after="0" w:line="240" w:lineRule="auto"/>
      </w:pPr>
      <w:r>
        <w:separator/>
      </w:r>
    </w:p>
  </w:endnote>
  <w:endnote w:type="continuationSeparator" w:id="0">
    <w:p w:rsidR="00173308" w:rsidP="00722F1A" w:rsidRDefault="00173308" w14:paraId="0EBFEA5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sz w:val="18"/>
        <w:szCs w:val="18"/>
      </w:rPr>
      <w:id w:val="-1356568603"/>
      <w:docPartObj>
        <w:docPartGallery w:val="Page Numbers (Bottom of Page)"/>
        <w:docPartUnique/>
      </w:docPartObj>
    </w:sdtPr>
    <w:sdtEndPr>
      <w:rPr>
        <w:rFonts w:ascii="Times New Roman" w:hAnsi="Times New Roman"/>
        <w:sz w:val="18"/>
        <w:szCs w:val="18"/>
      </w:rPr>
    </w:sdtEndPr>
    <w:sdtContent>
      <w:p w:rsidRPr="00A1356B" w:rsidR="00A1356B" w:rsidRDefault="00A1356B" w14:paraId="598C3FC7" w14:textId="14BDFCAA">
        <w:pPr>
          <w:pStyle w:val="Piedepgina"/>
          <w:jc w:val="right"/>
          <w:rPr>
            <w:rFonts w:ascii="Times New Roman" w:hAnsi="Times New Roman"/>
            <w:sz w:val="18"/>
            <w:szCs w:val="18"/>
          </w:rPr>
        </w:pPr>
        <w:r w:rsidRPr="00A1356B">
          <w:rPr>
            <w:rFonts w:ascii="Times New Roman" w:hAnsi="Times New Roman"/>
            <w:sz w:val="18"/>
            <w:szCs w:val="18"/>
          </w:rPr>
          <w:fldChar w:fldCharType="begin"/>
        </w:r>
        <w:r w:rsidRPr="00A1356B">
          <w:rPr>
            <w:rFonts w:ascii="Times New Roman" w:hAnsi="Times New Roman"/>
            <w:sz w:val="18"/>
            <w:szCs w:val="18"/>
          </w:rPr>
          <w:instrText>PAGE   \* MERGEFORMAT</w:instrText>
        </w:r>
        <w:r w:rsidRPr="00A1356B">
          <w:rPr>
            <w:rFonts w:ascii="Times New Roman" w:hAnsi="Times New Roman"/>
            <w:sz w:val="18"/>
            <w:szCs w:val="18"/>
          </w:rPr>
          <w:fldChar w:fldCharType="separate"/>
        </w:r>
        <w:r w:rsidRPr="00A1356B">
          <w:rPr>
            <w:rFonts w:ascii="Times New Roman" w:hAnsi="Times New Roman"/>
            <w:sz w:val="18"/>
            <w:szCs w:val="18"/>
            <w:lang w:val="es-ES"/>
          </w:rPr>
          <w:t>2</w:t>
        </w:r>
        <w:r w:rsidRPr="00A1356B">
          <w:rPr>
            <w:rFonts w:ascii="Times New Roman" w:hAnsi="Times New Roman"/>
            <w:sz w:val="18"/>
            <w:szCs w:val="18"/>
          </w:rPr>
          <w:fldChar w:fldCharType="end"/>
        </w:r>
      </w:p>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173308" w:rsidP="00722F1A" w:rsidRDefault="00173308" w14:paraId="70F31014" w14:textId="77777777">
      <w:pPr>
        <w:spacing w:after="0" w:line="240" w:lineRule="auto"/>
      </w:pPr>
      <w:r>
        <w:separator/>
      </w:r>
    </w:p>
  </w:footnote>
  <w:footnote w:type="continuationSeparator" w:id="0">
    <w:p w:rsidR="00173308" w:rsidP="00722F1A" w:rsidRDefault="00173308" w14:paraId="5FF77135"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4"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341A4"/>
    <w:rsid w:val="0008641C"/>
    <w:rsid w:val="00136C86"/>
    <w:rsid w:val="00173308"/>
    <w:rsid w:val="00180E23"/>
    <w:rsid w:val="00194FAA"/>
    <w:rsid w:val="001D71B9"/>
    <w:rsid w:val="00223964"/>
    <w:rsid w:val="002562BF"/>
    <w:rsid w:val="002774DB"/>
    <w:rsid w:val="002B7B44"/>
    <w:rsid w:val="002D07BA"/>
    <w:rsid w:val="00315252"/>
    <w:rsid w:val="003179C7"/>
    <w:rsid w:val="00341107"/>
    <w:rsid w:val="0034229F"/>
    <w:rsid w:val="003957A8"/>
    <w:rsid w:val="00397B7E"/>
    <w:rsid w:val="003B3018"/>
    <w:rsid w:val="003C08D0"/>
    <w:rsid w:val="003E3E64"/>
    <w:rsid w:val="003F21BF"/>
    <w:rsid w:val="00401FF7"/>
    <w:rsid w:val="00407A18"/>
    <w:rsid w:val="004205D2"/>
    <w:rsid w:val="00426947"/>
    <w:rsid w:val="00430735"/>
    <w:rsid w:val="00487E42"/>
    <w:rsid w:val="0055560E"/>
    <w:rsid w:val="005745B9"/>
    <w:rsid w:val="005A6F5E"/>
    <w:rsid w:val="005D470E"/>
    <w:rsid w:val="005F659E"/>
    <w:rsid w:val="00633243"/>
    <w:rsid w:val="006A7C2B"/>
    <w:rsid w:val="006C6213"/>
    <w:rsid w:val="00722F1A"/>
    <w:rsid w:val="00741BD2"/>
    <w:rsid w:val="00741FAE"/>
    <w:rsid w:val="00766307"/>
    <w:rsid w:val="00770984"/>
    <w:rsid w:val="00773552"/>
    <w:rsid w:val="00786219"/>
    <w:rsid w:val="007B4101"/>
    <w:rsid w:val="007C1D34"/>
    <w:rsid w:val="007E38B7"/>
    <w:rsid w:val="00801C5F"/>
    <w:rsid w:val="008371AD"/>
    <w:rsid w:val="00837965"/>
    <w:rsid w:val="0089374D"/>
    <w:rsid w:val="008C18AA"/>
    <w:rsid w:val="009217F9"/>
    <w:rsid w:val="00954297"/>
    <w:rsid w:val="009651D2"/>
    <w:rsid w:val="00971A3E"/>
    <w:rsid w:val="009A375C"/>
    <w:rsid w:val="009A5B86"/>
    <w:rsid w:val="009E202C"/>
    <w:rsid w:val="00A1356B"/>
    <w:rsid w:val="00A17B8F"/>
    <w:rsid w:val="00A2495F"/>
    <w:rsid w:val="00A30166"/>
    <w:rsid w:val="00A32C5D"/>
    <w:rsid w:val="00A405FD"/>
    <w:rsid w:val="00A60D4F"/>
    <w:rsid w:val="00A719CD"/>
    <w:rsid w:val="00A7791B"/>
    <w:rsid w:val="00AB7740"/>
    <w:rsid w:val="00AD56AF"/>
    <w:rsid w:val="00AF57F2"/>
    <w:rsid w:val="00B570FD"/>
    <w:rsid w:val="00B75D55"/>
    <w:rsid w:val="00BD5530"/>
    <w:rsid w:val="00C36917"/>
    <w:rsid w:val="00C45618"/>
    <w:rsid w:val="00C80567"/>
    <w:rsid w:val="00D00142"/>
    <w:rsid w:val="00D052E2"/>
    <w:rsid w:val="00D1360F"/>
    <w:rsid w:val="00D63CFD"/>
    <w:rsid w:val="00D645CF"/>
    <w:rsid w:val="00D77FFB"/>
    <w:rsid w:val="00D81343"/>
    <w:rsid w:val="00DA1D06"/>
    <w:rsid w:val="00DA2B69"/>
    <w:rsid w:val="00DF3088"/>
    <w:rsid w:val="00DF644C"/>
    <w:rsid w:val="00E17B81"/>
    <w:rsid w:val="00E92970"/>
    <w:rsid w:val="00E941E1"/>
    <w:rsid w:val="00EC0BCA"/>
    <w:rsid w:val="00F03223"/>
    <w:rsid w:val="00F26229"/>
    <w:rsid w:val="00F52ADB"/>
    <w:rsid w:val="00F8639B"/>
    <w:rsid w:val="00FC7596"/>
    <w:rsid w:val="1050D931"/>
    <w:rsid w:val="2C6602F2"/>
    <w:rsid w:val="2FDDC779"/>
    <w:rsid w:val="337F86EA"/>
    <w:rsid w:val="3D212DC3"/>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84CC9D4E-A3EE-41A3-B0E9-9F964F173C73}"/>
</file>

<file path=customXml/itemProps3.xml><?xml version="1.0" encoding="utf-8"?>
<ds:datastoreItem xmlns:ds="http://schemas.openxmlformats.org/officeDocument/2006/customXml" ds:itemID="{6DAE4431-F590-4428-BC14-BCBBCEF80B8A}"/>
</file>

<file path=customXml/itemProps4.xml><?xml version="1.0" encoding="utf-8"?>
<ds:datastoreItem xmlns:ds="http://schemas.openxmlformats.org/officeDocument/2006/customXml" ds:itemID="{C3649647-F682-4491-8B21-0EDB0712FE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75</cp:revision>
  <cp:lastPrinted>2023-02-10T15:12:00Z</cp:lastPrinted>
  <dcterms:created xsi:type="dcterms:W3CDTF">2022-12-22T22:59:00Z</dcterms:created>
  <dcterms:modified xsi:type="dcterms:W3CDTF">2025-05-15T16:04:50Z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