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61136" w:rsidR="00F15FBA" w:rsidP="00F15FBA" w:rsidRDefault="00F15FBA" w14:paraId="6BA6C8A5" w14:textId="4CFE4A28">
      <w:pPr>
        <w:pStyle w:val="Ttulo"/>
        <w:outlineLvl w:val="0"/>
        <w:rPr>
          <w:lang w:val="es-PE"/>
        </w:rPr>
      </w:pPr>
      <w:r w:rsidRPr="00C61136">
        <w:rPr>
          <w:lang w:val="es-PE"/>
        </w:rPr>
        <w:t xml:space="preserve">RESOLUCIÓN </w:t>
      </w:r>
      <w:proofErr w:type="spellStart"/>
      <w:r w:rsidRPr="00C61136">
        <w:rPr>
          <w:lang w:val="es-PE"/>
        </w:rPr>
        <w:t>N</w:t>
      </w:r>
      <w:r w:rsidRPr="00C61136" w:rsidR="001631D6">
        <w:rPr>
          <w:lang w:val="es-PE"/>
        </w:rPr>
        <w:t>°</w:t>
      </w:r>
      <w:proofErr w:type="spellEnd"/>
      <w:r w:rsidRPr="00C61136" w:rsidR="001631D6">
        <w:rPr>
          <w:lang w:val="es-PE"/>
        </w:rPr>
        <w:t xml:space="preserve"> </w:t>
      </w:r>
      <w:r w:rsidRPr="00C61136" w:rsidR="003E6BA6">
        <w:rPr>
          <w:lang w:val="es-PE"/>
        </w:rPr>
        <w:t>0</w:t>
      </w:r>
      <w:r w:rsidRPr="00C61136" w:rsidR="0029474B">
        <w:rPr>
          <w:lang w:val="es-PE"/>
        </w:rPr>
        <w:t>2</w:t>
      </w:r>
      <w:r w:rsidRPr="00C61136" w:rsidR="007C032D">
        <w:rPr>
          <w:lang w:val="es-PE"/>
        </w:rPr>
        <w:t>3</w:t>
      </w:r>
      <w:r w:rsidRPr="00C61136" w:rsidR="001631D6">
        <w:rPr>
          <w:lang w:val="es-PE"/>
        </w:rPr>
        <w:t>/2</w:t>
      </w:r>
      <w:r w:rsidRPr="00C61136" w:rsidR="00BD063F">
        <w:rPr>
          <w:lang w:val="es-PE"/>
        </w:rPr>
        <w:t>3</w:t>
      </w:r>
    </w:p>
    <w:p w:rsidRPr="00C61136" w:rsidR="00C61136" w:rsidP="00C61136" w:rsidRDefault="00C61136" w14:paraId="217950C3" w14:textId="77777777">
      <w:pPr>
        <w:rPr>
          <w:b/>
          <w:bCs/>
          <w:lang w:val="es-PE"/>
        </w:rPr>
      </w:pPr>
    </w:p>
    <w:p w:rsidRPr="00C61136" w:rsidR="00C61136" w:rsidP="00C61136" w:rsidRDefault="00C61136" w14:paraId="461C0708" w14:textId="77777777">
      <w:pPr>
        <w:jc w:val="both"/>
        <w:outlineLvl w:val="0"/>
        <w:rPr>
          <w:b/>
          <w:bCs/>
          <w:lang w:val="es-PE"/>
        </w:rPr>
      </w:pPr>
      <w:r w:rsidRPr="00C61136">
        <w:rPr>
          <w:b/>
          <w:bCs/>
          <w:lang w:val="es-PE"/>
        </w:rPr>
        <w:t>Vistos:</w:t>
      </w:r>
    </w:p>
    <w:p w:rsidRPr="00C61136" w:rsidR="00C61136" w:rsidP="00C61136" w:rsidRDefault="00C61136" w14:paraId="3C468E9B" w14:textId="77777777">
      <w:pPr>
        <w:jc w:val="both"/>
        <w:rPr>
          <w:b/>
          <w:bCs/>
          <w:lang w:val="es-PE"/>
        </w:rPr>
      </w:pPr>
    </w:p>
    <w:p w:rsidRPr="00C61136" w:rsidR="00C61136" w:rsidP="00C61136" w:rsidRDefault="00C61136" w14:paraId="79D99BD5" w14:textId="7F1A5571">
      <w:pPr>
        <w:tabs>
          <w:tab w:val="left" w:pos="708"/>
          <w:tab w:val="left" w:pos="1416"/>
          <w:tab w:val="left" w:pos="2160"/>
          <w:tab w:val="left" w:pos="2977"/>
          <w:tab w:val="left" w:pos="4248"/>
          <w:tab w:val="left" w:pos="4956"/>
          <w:tab w:val="left" w:pos="5664"/>
          <w:tab w:val="left" w:pos="6372"/>
          <w:tab w:val="left" w:pos="7125"/>
        </w:tabs>
        <w:jc w:val="both"/>
        <w:rPr>
          <w:lang w:val="es-PE"/>
        </w:rPr>
      </w:pPr>
      <w:r w:rsidRPr="027319EA" w:rsidR="00C61136">
        <w:rPr>
          <w:lang w:val="es-PE"/>
        </w:rPr>
        <w:t xml:space="preserve">Que, el 2 de noviembre de 2022 doña </w:t>
      </w:r>
      <w:r w:rsidRPr="027319EA" w:rsidR="68C809F7">
        <w:rPr>
          <w:lang w:val="es-PE"/>
        </w:rPr>
        <w:t>..............................................................................</w:t>
      </w:r>
      <w:r w:rsidR="00C61136">
        <w:rPr/>
        <w:t xml:space="preserve"> </w:t>
      </w:r>
      <w:r w:rsidRPr="027319EA" w:rsidR="00C61136">
        <w:rPr>
          <w:lang w:val="es-PE"/>
        </w:rPr>
        <w:t xml:space="preserve">interpone reclamación ante esta Defensoría del Asegurado (DEFASEG), solicitando que </w:t>
      </w:r>
      <w:bookmarkStart w:name="OLE_LINK2" w:id="0"/>
      <w:r w:rsidRPr="027319EA" w:rsidR="57A67F24">
        <w:rPr>
          <w:lang w:val="es-PE"/>
        </w:rPr>
        <w:t>....................................................................</w:t>
      </w:r>
      <w:r w:rsidRPr="027319EA" w:rsidR="00C61136">
        <w:rPr>
          <w:lang w:val="es-PE"/>
        </w:rPr>
        <w:t xml:space="preserve"> (</w:t>
      </w:r>
      <w:r w:rsidRPr="027319EA" w:rsidR="76A13F38">
        <w:rPr>
          <w:lang w:val="es-PE"/>
        </w:rPr>
        <w:t>...........</w:t>
      </w:r>
      <w:r w:rsidRPr="027319EA" w:rsidR="00C61136">
        <w:rPr>
          <w:lang w:val="es-PE"/>
        </w:rPr>
        <w:t xml:space="preserve">) otorgue cobertura conforme al seguro de renta hospitalaria Interbank adquirido en octubre 2020. </w:t>
      </w:r>
    </w:p>
    <w:bookmarkEnd w:id="0"/>
    <w:p w:rsidRPr="00C61136" w:rsidR="00C61136" w:rsidP="00C61136" w:rsidRDefault="00C61136" w14:paraId="2C3C3E2E" w14:textId="77777777">
      <w:pPr>
        <w:tabs>
          <w:tab w:val="left" w:pos="708"/>
          <w:tab w:val="left" w:pos="1416"/>
          <w:tab w:val="left" w:pos="2160"/>
          <w:tab w:val="left" w:pos="2977"/>
          <w:tab w:val="left" w:pos="4248"/>
          <w:tab w:val="left" w:pos="4956"/>
          <w:tab w:val="left" w:pos="5664"/>
          <w:tab w:val="left" w:pos="6372"/>
          <w:tab w:val="left" w:pos="7125"/>
        </w:tabs>
        <w:jc w:val="both"/>
        <w:rPr>
          <w:rFonts w:eastAsiaTheme="minorHAnsi"/>
          <w:lang w:eastAsia="en-US"/>
        </w:rPr>
      </w:pPr>
    </w:p>
    <w:p w:rsidRPr="00C61136" w:rsidR="00C61136" w:rsidP="00C61136" w:rsidRDefault="00C61136" w14:paraId="1E2A31AC" w14:textId="77777777">
      <w:pPr>
        <w:jc w:val="both"/>
        <w:rPr>
          <w:rFonts w:eastAsia="Arial Unicode MS"/>
          <w:lang w:val="es-PE"/>
        </w:rPr>
      </w:pPr>
      <w:r w:rsidRPr="00C61136">
        <w:rPr>
          <w:rFonts w:eastAsia="Arial Unicode MS"/>
          <w:lang w:val="es-PE"/>
        </w:rPr>
        <w:t>Que, la señalada reclamación cumple con los requisitos de materia, cuantía y oportunidad establecidos en el Reglamento de la DEFASEG (</w:t>
      </w:r>
      <w:hyperlink w:history="1" r:id="rId8">
        <w:r w:rsidRPr="00C61136">
          <w:rPr>
            <w:rStyle w:val="Hipervnculo"/>
            <w:rFonts w:eastAsia="Arial Unicode MS"/>
            <w:lang w:val="es-PE"/>
          </w:rPr>
          <w:t>http://www.defaseg.com.pe/reglamento.html</w:t>
        </w:r>
      </w:hyperlink>
      <w:r w:rsidRPr="00C61136">
        <w:rPr>
          <w:rFonts w:eastAsia="Arial Unicode MS"/>
          <w:lang w:val="es-PE"/>
        </w:rPr>
        <w:t>);</w:t>
      </w:r>
    </w:p>
    <w:p w:rsidRPr="00C61136" w:rsidR="00C61136" w:rsidP="00C61136" w:rsidRDefault="00C61136" w14:paraId="53C0477C" w14:textId="77777777">
      <w:pPr>
        <w:tabs>
          <w:tab w:val="num" w:pos="720"/>
        </w:tabs>
        <w:jc w:val="both"/>
        <w:rPr>
          <w:lang w:val="es-PE"/>
        </w:rPr>
      </w:pPr>
    </w:p>
    <w:p w:rsidRPr="00C61136" w:rsidR="00C61136" w:rsidP="00C61136" w:rsidRDefault="00C61136" w14:paraId="12833C23" w14:textId="77777777">
      <w:pPr>
        <w:tabs>
          <w:tab w:val="num" w:pos="720"/>
        </w:tabs>
        <w:jc w:val="both"/>
        <w:rPr>
          <w:lang w:val="es-PE"/>
        </w:rPr>
      </w:pPr>
      <w:r w:rsidRPr="00C61136">
        <w:rPr>
          <w:lang w:val="es-PE"/>
        </w:rPr>
        <w:t>Que, habiéndosele corrido traslado de la respectiva reclamación, la aseguradora solicitó un plazo adicional para presentar sus descargos, los cuales finalmente presentó el 25 de enero de 2023;</w:t>
      </w:r>
    </w:p>
    <w:p w:rsidRPr="00C61136" w:rsidR="00C61136" w:rsidP="00C61136" w:rsidRDefault="00C61136" w14:paraId="4FA6C742" w14:textId="77777777">
      <w:pPr>
        <w:tabs>
          <w:tab w:val="num" w:pos="720"/>
        </w:tabs>
        <w:jc w:val="both"/>
        <w:rPr>
          <w:lang w:val="es-PE"/>
        </w:rPr>
      </w:pPr>
    </w:p>
    <w:p w:rsidRPr="00C61136" w:rsidR="00C61136" w:rsidP="00C61136" w:rsidRDefault="00C61136" w14:paraId="4C36FFD3" w14:textId="77777777">
      <w:pPr>
        <w:tabs>
          <w:tab w:val="num" w:pos="720"/>
        </w:tabs>
        <w:jc w:val="both"/>
        <w:rPr>
          <w:lang w:val="es-PE"/>
        </w:rPr>
      </w:pPr>
      <w:r w:rsidRPr="00C61136">
        <w:rPr>
          <w:lang w:val="es-PE"/>
        </w:rPr>
        <w:t xml:space="preserve">Que, </w:t>
      </w:r>
      <w:r w:rsidRPr="00C61136">
        <w:rPr>
          <w:lang w:val="es-419"/>
        </w:rPr>
        <w:t xml:space="preserve">el 07 de febrero de 2023 </w:t>
      </w:r>
      <w:r w:rsidRPr="00C61136">
        <w:rPr>
          <w:lang w:val="es-PE"/>
        </w:rPr>
        <w:t>se realizó la correspondiente audiencia de vista, con la participación de ambas partes, quienes sustentaron sus respectivas posiciones respecto de la reclamación</w:t>
      </w:r>
      <w:r w:rsidRPr="00C61136">
        <w:t>,</w:t>
      </w:r>
      <w:r w:rsidRPr="00C61136">
        <w:rPr>
          <w:lang w:val="es-PE"/>
        </w:rPr>
        <w:t xml:space="preserve"> absolviendo las diversas preguntas formuladas por este colegiado, conforme consta de la correspondiente acta;</w:t>
      </w:r>
    </w:p>
    <w:p w:rsidRPr="00C61136" w:rsidR="00C61136" w:rsidP="00C61136" w:rsidRDefault="00C61136" w14:paraId="75011B1D" w14:textId="77777777">
      <w:pPr>
        <w:tabs>
          <w:tab w:val="num" w:pos="720"/>
        </w:tabs>
        <w:jc w:val="both"/>
        <w:rPr>
          <w:lang w:val="es-PE"/>
        </w:rPr>
      </w:pPr>
    </w:p>
    <w:p w:rsidRPr="00C61136" w:rsidR="00C61136" w:rsidP="00C61136" w:rsidRDefault="00C61136" w14:paraId="467A2318" w14:textId="77777777">
      <w:pPr>
        <w:jc w:val="both"/>
        <w:rPr>
          <w:rFonts w:eastAsiaTheme="minorHAnsi"/>
          <w:bCs/>
          <w:lang w:val="es-PE" w:eastAsia="en-US"/>
        </w:rPr>
      </w:pPr>
      <w:r w:rsidRPr="00C61136">
        <w:rPr>
          <w:lang w:val="es-PE"/>
        </w:rPr>
        <w:t>Que, la reclamación interpuesta se sustenta resumidamente en lo siguiente:</w:t>
      </w:r>
      <w:r w:rsidRPr="00C61136">
        <w:t xml:space="preserve"> </w:t>
      </w:r>
      <w:r w:rsidRPr="00C61136">
        <w:rPr>
          <w:bCs/>
          <w:lang w:val="es-PE"/>
        </w:rPr>
        <w:t xml:space="preserve">a) No se encuentra conforme con el rechazo pues jamás le han comunicado que se excluyan gastos relacionados a condiciones preexistentes, siendo que ella informó a la vendedora que tenía la condición de trasplantada de riñón desde el año 2003,  y le indicaron que no había ningún problema con ello, lo que puede verificarse con la grabación de la llamada de afiliación; b) el 12.01.22 fue internada en la clínica San Felipe hasta el 16.01.22 por el diagnóstico de infección de vías urinarias, sitio no especificado, en dicha oportunidad el seguro cubrió el monto de S/.1,200 por los días de internamiento; c) el 31.08.22 fue internada en la clínica Providencia hasta el 11.9.22, el diagnóstico fue ITU </w:t>
      </w:r>
      <w:proofErr w:type="spellStart"/>
      <w:r w:rsidRPr="00C61136">
        <w:rPr>
          <w:bCs/>
          <w:lang w:val="es-PE"/>
        </w:rPr>
        <w:t>Ecoli</w:t>
      </w:r>
      <w:proofErr w:type="spellEnd"/>
      <w:r w:rsidRPr="00C61136">
        <w:rPr>
          <w:bCs/>
          <w:lang w:val="es-PE"/>
        </w:rPr>
        <w:t xml:space="preserve"> </w:t>
      </w:r>
      <w:proofErr w:type="spellStart"/>
      <w:r w:rsidRPr="00C61136">
        <w:rPr>
          <w:bCs/>
          <w:lang w:val="es-PE"/>
        </w:rPr>
        <w:t>Blee</w:t>
      </w:r>
      <w:proofErr w:type="spellEnd"/>
      <w:r w:rsidRPr="00C61136">
        <w:rPr>
          <w:bCs/>
          <w:lang w:val="es-PE"/>
        </w:rPr>
        <w:t xml:space="preserve">; d) le han rechazado la cobertura aduciendo preexistencia por: (i)  el trasplante de riñón cuando los trasplantados no sufren de </w:t>
      </w:r>
      <w:proofErr w:type="spellStart"/>
      <w:r w:rsidRPr="00C61136">
        <w:rPr>
          <w:bCs/>
          <w:lang w:val="es-PE"/>
        </w:rPr>
        <w:t>ecoli</w:t>
      </w:r>
      <w:proofErr w:type="spellEnd"/>
      <w:r w:rsidRPr="00C61136">
        <w:rPr>
          <w:bCs/>
          <w:lang w:val="es-PE"/>
        </w:rPr>
        <w:t xml:space="preserve"> de manera crónica;  (</w:t>
      </w:r>
      <w:proofErr w:type="spellStart"/>
      <w:r w:rsidRPr="00C61136">
        <w:rPr>
          <w:bCs/>
          <w:lang w:val="es-PE"/>
        </w:rPr>
        <w:t>ii</w:t>
      </w:r>
      <w:proofErr w:type="spellEnd"/>
      <w:r w:rsidRPr="00C61136">
        <w:rPr>
          <w:bCs/>
          <w:lang w:val="es-PE"/>
        </w:rPr>
        <w:t>) ITUS a repetición, cuando la ITU es diferente a la del diagnóstico del mes de enero 2022, donde no se identificó en dónde era la ITU y el urocultivo salió negativo; siendo que no se puede considerar una preexistencia una infección viral o bacteriana; e) se considera que las ITUS son crónicas o recurrentes cuando se tiene 2 o más en un periodo de 6 meses o 3 o más en el periodo de 1 año. Desde el 6.10.20 (fecha de contratación del seguro según indicó en la audiencia de vista) hasta el 31.8.22 ha tenido 2 ITUS por lo que no se cumplen con los parámetros para ser consideradas crónicas o recurrentes, siendo que todas las mujeres son propensas a contraer infecciones urinarias; f) si la aseguradora considera que su condición de trasplantada genera exclusiones en sus coberturas porqué le insistieron en que no tendría problema, y por qué le cubrieron la primera renta hospitalaria; considera que su trasplante no la inhabilita ya que no es el causante de la ITU, su riñón funciona perfectamente, la ITU es una infección bacteriana y ambas no han sido en el riñón; se siente estafada y discriminada por una condición que además informó. Solicita se respete el acuerdo inicial y si no la quieren como asegurada rescindan el contrato y le expliquen la razón del cobro durante estos meses.</w:t>
      </w:r>
    </w:p>
    <w:p w:rsidRPr="00C61136" w:rsidR="00C61136" w:rsidP="00C61136" w:rsidRDefault="00C61136" w14:paraId="56A1176D" w14:textId="77777777">
      <w:pPr>
        <w:jc w:val="both"/>
      </w:pPr>
    </w:p>
    <w:p w:rsidRPr="00C61136" w:rsidR="00C61136" w:rsidP="00C61136" w:rsidRDefault="00C61136" w14:paraId="7D0C83EA" w14:textId="06898DE9">
      <w:pPr>
        <w:jc w:val="both"/>
      </w:pPr>
      <w:r w:rsidR="00C61136">
        <w:rPr/>
        <w:t xml:space="preserve">Que, por su parte, ratificando el rechazo de cobertura, </w:t>
      </w:r>
      <w:r w:rsidR="76A13F38">
        <w:rPr/>
        <w:t>...........</w:t>
      </w:r>
      <w:r w:rsidR="00C61136">
        <w:rPr/>
        <w:t xml:space="preserve"> </w:t>
      </w:r>
      <w:r w:rsidRPr="027319EA" w:rsidR="00C61136">
        <w:rPr>
          <w:lang w:val="es-PE"/>
        </w:rPr>
        <w:t>expresa</w:t>
      </w:r>
      <w:r w:rsidR="00C61136">
        <w:rPr/>
        <w:t xml:space="preserve"> resumidamente lo siguiente: </w:t>
      </w:r>
      <w:r w:rsidRPr="027319EA" w:rsidR="00C61136">
        <w:rPr>
          <w:lang w:val="es-PE"/>
        </w:rPr>
        <w:t>a) rechazaron el siniestro debido a que el diagnóstico que motivó el internamiento califica como una preexistencia a la contratación de la póliza; b) de acuerdo a las condiciones de la póliza se considera preexistencia “cualquier condición de alteración del estado de salud diagnosticada por un profesional médico colegiado, conocida por el asegurado y no resuelta en el momento previo a la presentación de la Declaración Personal de Salud -DPS”, asimismo la póliza excluye las hospitalizaciones originadas, relacionadas o causadas por enfermedades y/o condiciones preexistentes al inicio del seguro. En la carta de rechazo señalan que fue hospitalizado por diagnóstico de infección urinaria y trasplante de riñón, y que según la revisión efectuada tiene antecedente de trasplante de riñón derecho en el año 2003 e ITUS a repetición, es decir antes de la vigencia de la póliza por lo que consideran el diagnóstico como una enfermedad preexistente.</w:t>
      </w:r>
    </w:p>
    <w:p w:rsidRPr="00C61136" w:rsidR="00C61136" w:rsidP="00C61136" w:rsidRDefault="00C61136" w14:paraId="642DA79C" w14:textId="77777777">
      <w:pPr>
        <w:jc w:val="both"/>
      </w:pPr>
    </w:p>
    <w:p w:rsidRPr="00C61136" w:rsidR="00C61136" w:rsidP="00C61136" w:rsidRDefault="00C61136" w14:paraId="4683F266" w14:textId="77777777">
      <w:pPr>
        <w:jc w:val="both"/>
        <w:rPr>
          <w:lang w:eastAsia="en-US"/>
        </w:rPr>
      </w:pPr>
      <w:r w:rsidRPr="00C61136">
        <w:rPr>
          <w:bCs/>
          <w:lang w:val="es-PE"/>
        </w:rPr>
        <w:t>Que,</w:t>
      </w:r>
      <w:r w:rsidRPr="00C61136">
        <w:rPr>
          <w:lang w:val="es-PE"/>
        </w:rPr>
        <w:t xml:space="preserve"> a la fecha, el estado del proceso permite que este colegiado pueda expedir su pronunciamiento sobre el caso sometido a su conocimiento, sobre la base de la documentación que obra en el expediente;</w:t>
      </w:r>
    </w:p>
    <w:p w:rsidRPr="00C61136" w:rsidR="00C61136" w:rsidP="00C61136" w:rsidRDefault="00C61136" w14:paraId="4EF70E04" w14:textId="77777777">
      <w:pPr>
        <w:jc w:val="both"/>
        <w:rPr>
          <w:b/>
          <w:bCs/>
        </w:rPr>
      </w:pPr>
    </w:p>
    <w:p w:rsidRPr="00C61136" w:rsidR="00C61136" w:rsidP="00C61136" w:rsidRDefault="00C61136" w14:paraId="76E19CEC" w14:textId="77777777">
      <w:pPr>
        <w:jc w:val="both"/>
        <w:rPr>
          <w:lang w:val="es-PE"/>
        </w:rPr>
      </w:pPr>
      <w:r w:rsidRPr="00C61136">
        <w:rPr>
          <w:b/>
          <w:bCs/>
          <w:lang w:val="es-PE"/>
        </w:rPr>
        <w:t>Considerando:</w:t>
      </w:r>
    </w:p>
    <w:p w:rsidRPr="00C61136" w:rsidR="00C61136" w:rsidP="00C61136" w:rsidRDefault="00C61136" w14:paraId="484DF209" w14:textId="77777777">
      <w:pPr>
        <w:jc w:val="both"/>
        <w:rPr>
          <w:lang w:val="es-PE"/>
        </w:rPr>
      </w:pPr>
    </w:p>
    <w:p w:rsidRPr="00C61136" w:rsidR="00C61136" w:rsidP="00C61136" w:rsidRDefault="00C61136" w14:paraId="714B171D" w14:textId="77777777">
      <w:pPr>
        <w:jc w:val="both"/>
        <w:rPr>
          <w:lang w:val="es-PE"/>
        </w:rPr>
      </w:pPr>
      <w:r w:rsidRPr="00C61136">
        <w:rPr>
          <w:b/>
          <w:u w:val="single"/>
          <w:lang w:val="es-PE"/>
        </w:rPr>
        <w:t>Primero</w:t>
      </w:r>
      <w:r w:rsidRPr="00C61136">
        <w:rPr>
          <w:b/>
          <w:lang w:val="es-PE"/>
        </w:rPr>
        <w:t xml:space="preserve">: </w:t>
      </w:r>
      <w:r w:rsidRPr="00C61136">
        <w:rPr>
          <w:lang w:val="es-PE"/>
        </w:rPr>
        <w:t>Conforme a su Reglamento, la</w:t>
      </w:r>
      <w:r w:rsidRPr="00C61136">
        <w:rPr>
          <w:b/>
          <w:bCs/>
          <w:lang w:val="es-PE"/>
        </w:rPr>
        <w:t xml:space="preserve"> </w:t>
      </w:r>
      <w:r w:rsidRPr="00C61136">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C61136" w:rsidR="00C61136" w:rsidP="00C61136" w:rsidRDefault="00C61136" w14:paraId="68C29730" w14:textId="77777777">
      <w:pPr>
        <w:jc w:val="both"/>
        <w:rPr>
          <w:lang w:val="es-PE"/>
        </w:rPr>
      </w:pPr>
    </w:p>
    <w:p w:rsidRPr="00C61136" w:rsidR="00C61136" w:rsidP="00C61136" w:rsidRDefault="00C61136" w14:paraId="0C2EFCC2" w14:textId="77777777">
      <w:pPr>
        <w:jc w:val="both"/>
        <w:rPr>
          <w:bCs/>
          <w:lang w:val="es-PE"/>
        </w:rPr>
      </w:pPr>
      <w:r w:rsidRPr="00C61136">
        <w:rPr>
          <w:b/>
          <w:bCs/>
          <w:u w:val="single"/>
          <w:lang w:val="es-PE"/>
        </w:rPr>
        <w:t>Segundo</w:t>
      </w:r>
      <w:r w:rsidRPr="00C61136">
        <w:rPr>
          <w:b/>
          <w:bCs/>
          <w:lang w:val="es-PE"/>
        </w:rPr>
        <w:t>:</w:t>
      </w:r>
      <w:r w:rsidRPr="00C61136">
        <w:rPr>
          <w:bCs/>
          <w:lang w:val="es-PE"/>
        </w:rPr>
        <w:t xml:space="preserve"> </w:t>
      </w:r>
      <w:r w:rsidRPr="00C61136">
        <w:rPr>
          <w:lang w:val="es-PE"/>
        </w:rPr>
        <w:t xml:space="preserve">Asimismo, </w:t>
      </w:r>
      <w:proofErr w:type="gramStart"/>
      <w:r w:rsidRPr="00C61136">
        <w:rPr>
          <w:lang w:val="es-PE"/>
        </w:rPr>
        <w:t>de acuerdo a</w:t>
      </w:r>
      <w:proofErr w:type="gramEnd"/>
      <w:r w:rsidRPr="00C61136">
        <w:rPr>
          <w:lang w:val="es-PE"/>
        </w:rPr>
        <w:t xml:space="preserve"> </w:t>
      </w:r>
      <w:r w:rsidRPr="00C61136">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C61136" w:rsidR="00C61136" w:rsidP="00C61136" w:rsidRDefault="00C61136" w14:paraId="01A35CAC" w14:textId="77777777">
      <w:pPr>
        <w:jc w:val="both"/>
        <w:rPr>
          <w:bCs/>
          <w:lang w:val="es-PE"/>
        </w:rPr>
      </w:pPr>
    </w:p>
    <w:p w:rsidRPr="00C61136" w:rsidR="00C61136" w:rsidP="00C61136" w:rsidRDefault="00C61136" w14:paraId="7326DCD1" w14:textId="77777777">
      <w:pPr>
        <w:jc w:val="both"/>
      </w:pPr>
      <w:r w:rsidRPr="00C61136">
        <w:rPr>
          <w:b/>
          <w:bCs/>
          <w:u w:val="single"/>
          <w:lang w:val="es-PE"/>
        </w:rPr>
        <w:t>Tercero</w:t>
      </w:r>
      <w:r w:rsidRPr="00C61136">
        <w:rPr>
          <w:b/>
          <w:bCs/>
          <w:lang w:val="es-PE"/>
        </w:rPr>
        <w:t>:</w:t>
      </w:r>
      <w:r w:rsidRPr="00C61136">
        <w:rPr>
          <w:lang w:val="es-PE"/>
        </w:rPr>
        <w:t xml:space="preserve"> Que, de acuerdo a la Ley Nro. </w:t>
      </w:r>
      <w:r w:rsidRPr="00C61136">
        <w:t xml:space="preserve">29946 – Ley del Contrato de Seguro, norma legal vigente con ocasión de la celebración del contrato al cual se contrae el presente caso, </w:t>
      </w:r>
      <w:r w:rsidRPr="00C61136">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C61136" w:rsidR="00C61136" w:rsidP="00C61136" w:rsidRDefault="00C61136" w14:paraId="34F22FD2" w14:textId="77777777">
      <w:pPr>
        <w:jc w:val="both"/>
        <w:rPr>
          <w:b/>
          <w:u w:val="single"/>
          <w:lang w:val="es-PE"/>
        </w:rPr>
      </w:pPr>
    </w:p>
    <w:p w:rsidRPr="00C61136" w:rsidR="00C61136" w:rsidP="00C61136" w:rsidRDefault="00C61136" w14:paraId="4A214DE6" w14:textId="77777777">
      <w:pPr>
        <w:jc w:val="both"/>
        <w:rPr>
          <w:lang w:val="es-PE"/>
        </w:rPr>
      </w:pPr>
      <w:r w:rsidRPr="00C61136">
        <w:rPr>
          <w:b/>
          <w:u w:val="single"/>
          <w:lang w:val="es-PE"/>
        </w:rPr>
        <w:t>Cuarto</w:t>
      </w:r>
      <w:r w:rsidRPr="00C61136">
        <w:rPr>
          <w:b/>
          <w:lang w:val="es-PE"/>
        </w:rPr>
        <w:t>:</w:t>
      </w:r>
      <w:r w:rsidRPr="00C61136">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C61136" w:rsidR="00C61136" w:rsidP="00C61136" w:rsidRDefault="00C61136" w14:paraId="7AB65CBF" w14:textId="77777777">
      <w:pPr>
        <w:jc w:val="both"/>
        <w:rPr>
          <w:bCs/>
        </w:rPr>
      </w:pPr>
    </w:p>
    <w:p w:rsidRPr="00C61136" w:rsidR="00C61136" w:rsidP="00C61136" w:rsidRDefault="00C61136" w14:paraId="411116AE" w14:textId="77777777">
      <w:pPr>
        <w:jc w:val="both"/>
      </w:pPr>
      <w:r w:rsidRPr="00C61136">
        <w:rPr>
          <w:b/>
          <w:bCs/>
          <w:u w:val="single"/>
          <w:lang w:val="es-PE"/>
        </w:rPr>
        <w:t>Quinto</w:t>
      </w:r>
      <w:r w:rsidRPr="00C61136">
        <w:rPr>
          <w:b/>
          <w:bCs/>
          <w:lang w:val="es-PE"/>
        </w:rPr>
        <w:t xml:space="preserve">: </w:t>
      </w:r>
      <w:r w:rsidRPr="00C61136">
        <w:rPr>
          <w:bCs/>
          <w:lang w:val="es-PE"/>
        </w:rPr>
        <w:t>Que, conforme al</w:t>
      </w:r>
      <w:r w:rsidRPr="00C61136">
        <w:rPr>
          <w:b/>
          <w:bCs/>
          <w:lang w:val="es-PE"/>
        </w:rPr>
        <w:t xml:space="preserve"> </w:t>
      </w:r>
      <w:r w:rsidRPr="00C61136">
        <w:rPr>
          <w:lang w:val="es-PE"/>
        </w:rPr>
        <w:t>artículo 196 del Código Procesal Civil, la carga de la prueba corresponde a quien afirma hechos que configuran su pretensión, o a quien los contradice alegando nuevos hechos, salvo disposición legal diferente.</w:t>
      </w:r>
    </w:p>
    <w:p w:rsidRPr="00C61136" w:rsidR="00C61136" w:rsidP="00C61136" w:rsidRDefault="00C61136" w14:paraId="479FDE76" w14:textId="77777777">
      <w:pPr>
        <w:jc w:val="both"/>
        <w:rPr>
          <w:lang w:val="es-PE"/>
        </w:rPr>
      </w:pPr>
    </w:p>
    <w:p w:rsidRPr="00C61136" w:rsidR="00C61136" w:rsidP="00C61136" w:rsidRDefault="00C61136" w14:paraId="5B26391F" w14:textId="5322FF09">
      <w:pPr>
        <w:tabs>
          <w:tab w:val="left" w:pos="2160"/>
        </w:tabs>
        <w:jc w:val="both"/>
        <w:rPr>
          <w:lang w:val="es-PE"/>
        </w:rPr>
      </w:pPr>
      <w:r w:rsidRPr="027319EA" w:rsidR="00C61136">
        <w:rPr>
          <w:b w:val="1"/>
          <w:bCs w:val="1"/>
          <w:u w:val="single"/>
        </w:rPr>
        <w:t>Sexto</w:t>
      </w:r>
      <w:r w:rsidRPr="027319EA" w:rsidR="00C61136">
        <w:rPr>
          <w:b w:val="1"/>
          <w:bCs w:val="1"/>
        </w:rPr>
        <w:t>:</w:t>
      </w:r>
      <w:r w:rsidRPr="027319EA" w:rsidR="00C61136">
        <w:rPr>
          <w:b w:val="1"/>
          <w:bCs w:val="1"/>
          <w:lang w:val="es-PE"/>
        </w:rPr>
        <w:t xml:space="preserve"> </w:t>
      </w:r>
      <w:r w:rsidRPr="027319EA" w:rsidR="00C61136">
        <w:rPr>
          <w:lang w:val="es-PE"/>
        </w:rPr>
        <w:t>Sobre la base de los términos contenidos en la reclamación</w:t>
      </w:r>
      <w:r w:rsidRPr="027319EA" w:rsidR="00C61136">
        <w:rPr>
          <w:lang w:val="es-419"/>
        </w:rPr>
        <w:t xml:space="preserve">, en los descargos a la misma, y </w:t>
      </w:r>
      <w:r w:rsidRPr="027319EA" w:rsidR="00C61136">
        <w:rPr>
          <w:lang w:val="es-PE"/>
        </w:rPr>
        <w:t xml:space="preserve">a lo tratado en la audiencia de vista, la cuestión controvertida radica en determinar si se encuentra justificado o no el rechazo de cobertura.  Dicho rechazo se sustenta, conforme a lo comunicado en su oportunidad por </w:t>
      </w:r>
      <w:r w:rsidRPr="027319EA" w:rsidR="76A13F38">
        <w:rPr>
          <w:lang w:val="es-PE"/>
        </w:rPr>
        <w:t>...........</w:t>
      </w:r>
      <w:r w:rsidRPr="027319EA" w:rsidR="00C61136">
        <w:rPr>
          <w:lang w:val="es-PE"/>
        </w:rPr>
        <w:t>, en que la cobertura solicitada está referida a una enfermedad preexistente, lo cual corresponde expresamente a una exclusión.</w:t>
      </w:r>
    </w:p>
    <w:p w:rsidRPr="00C61136" w:rsidR="00C61136" w:rsidP="00C61136" w:rsidRDefault="00C61136" w14:paraId="646A3573" w14:textId="77777777">
      <w:pPr>
        <w:tabs>
          <w:tab w:val="left" w:pos="2160"/>
        </w:tabs>
        <w:jc w:val="both"/>
        <w:rPr>
          <w:lang w:val="es-PE"/>
        </w:rPr>
      </w:pPr>
    </w:p>
    <w:p w:rsidRPr="00C61136" w:rsidR="00C61136" w:rsidP="00C61136" w:rsidRDefault="00C61136" w14:paraId="599158CA" w14:textId="77777777">
      <w:pPr>
        <w:tabs>
          <w:tab w:val="left" w:pos="2160"/>
        </w:tabs>
        <w:jc w:val="both"/>
        <w:rPr>
          <w:lang w:val="es-PE"/>
        </w:rPr>
      </w:pPr>
      <w:r w:rsidRPr="00C61136">
        <w:rPr>
          <w:lang w:val="es-PE"/>
        </w:rPr>
        <w:t>Y para estimar ello debe considerarse que, conforme al artículo 77 de la Ley Nro. 29946 – Ley del Contrato de Seguro, compete al asegurado probar la ocurrencia del siniestro y la cuantía de la pérdida, si fuera esto último el caso, así como compete a la aseguradora probar las causas que la liberan de su prestación indemnizatoria, en este caso la exclusión invocada.</w:t>
      </w:r>
    </w:p>
    <w:p w:rsidRPr="00C61136" w:rsidR="00C61136" w:rsidP="00C61136" w:rsidRDefault="00C61136" w14:paraId="38081952" w14:textId="77777777">
      <w:pPr>
        <w:tabs>
          <w:tab w:val="left" w:pos="2160"/>
        </w:tabs>
        <w:jc w:val="both"/>
        <w:rPr>
          <w:lang w:val="es-PE"/>
        </w:rPr>
      </w:pPr>
    </w:p>
    <w:p w:rsidRPr="00C61136" w:rsidR="00C61136" w:rsidP="00C61136" w:rsidRDefault="00C61136" w14:paraId="29C033C2" w14:textId="77777777">
      <w:pPr>
        <w:tabs>
          <w:tab w:val="left" w:pos="2160"/>
        </w:tabs>
        <w:jc w:val="both"/>
        <w:rPr>
          <w:lang w:val="es-PE"/>
        </w:rPr>
      </w:pPr>
      <w:r w:rsidRPr="00C61136">
        <w:rPr>
          <w:lang w:val="es-PE"/>
        </w:rPr>
        <w:t>Sobre el particular, tratándose específicamente del rechazo por exclusiones de cobertura, c</w:t>
      </w:r>
      <w:r w:rsidRPr="00C61136">
        <w:rPr>
          <w:rFonts w:eastAsia="Calibri"/>
          <w:lang w:val="es-PE"/>
        </w:rPr>
        <w:t>omo bien es sabido, este colegiado aplica un criterio uniforme, siguiendo el criterio derivado de diversos precedentes sostenidos en el tiempo, en el sentido que su eficacia está subordinada que el correspondiente pacto contractual sea de efectivo conocimiento del asegurado, de manera que se pueda aplicar ante el correspondiente supuesto de hecho.  De allí que requiera verificarse: (i) si la póliza contiene la exclusión, (</w:t>
      </w:r>
      <w:proofErr w:type="spellStart"/>
      <w:r w:rsidRPr="00C61136">
        <w:rPr>
          <w:rFonts w:eastAsia="Calibri"/>
          <w:lang w:val="es-PE"/>
        </w:rPr>
        <w:t>ii</w:t>
      </w:r>
      <w:proofErr w:type="spellEnd"/>
      <w:r w:rsidRPr="00C61136">
        <w:rPr>
          <w:rFonts w:eastAsia="Calibri"/>
          <w:lang w:val="es-PE"/>
        </w:rPr>
        <w:t>) sobre si dicha exclusión fue oportuna, adecuada y suficientemente informada al asegurado, y (</w:t>
      </w:r>
      <w:proofErr w:type="spellStart"/>
      <w:r w:rsidRPr="00C61136">
        <w:rPr>
          <w:rFonts w:eastAsia="Calibri"/>
          <w:lang w:val="es-PE"/>
        </w:rPr>
        <w:t>iii</w:t>
      </w:r>
      <w:proofErr w:type="spellEnd"/>
      <w:r w:rsidRPr="00C61136">
        <w:rPr>
          <w:rFonts w:eastAsia="Calibri"/>
          <w:lang w:val="es-PE"/>
        </w:rPr>
        <w:t>) si está probada la exclusión invocada.</w:t>
      </w:r>
    </w:p>
    <w:p w:rsidRPr="00C61136" w:rsidR="00C61136" w:rsidP="00C61136" w:rsidRDefault="00C61136" w14:paraId="4D8E7291" w14:textId="77777777">
      <w:pPr>
        <w:tabs>
          <w:tab w:val="left" w:pos="2160"/>
        </w:tabs>
        <w:jc w:val="both"/>
        <w:rPr>
          <w:lang w:val="es-PE"/>
        </w:rPr>
      </w:pPr>
    </w:p>
    <w:p w:rsidRPr="00C61136" w:rsidR="00C61136" w:rsidP="00C61136" w:rsidRDefault="00C61136" w14:paraId="6CCDFD63" w14:textId="77777777">
      <w:pPr>
        <w:tabs>
          <w:tab w:val="left" w:pos="709"/>
          <w:tab w:val="left" w:pos="2160"/>
        </w:tabs>
        <w:ind w:left="709" w:hanging="709"/>
        <w:jc w:val="both"/>
        <w:rPr>
          <w:lang w:val="es-PE"/>
        </w:rPr>
      </w:pPr>
      <w:r w:rsidRPr="00C61136">
        <w:rPr>
          <w:lang w:val="es-PE"/>
        </w:rPr>
        <w:t>6.1.</w:t>
      </w:r>
      <w:r w:rsidRPr="00C61136">
        <w:rPr>
          <w:lang w:val="es-PE"/>
        </w:rPr>
        <w:tab/>
      </w:r>
      <w:r w:rsidRPr="00C61136">
        <w:rPr>
          <w:lang w:val="es-PE"/>
        </w:rPr>
        <w:t xml:space="preserve">En este caso, pese a que la aseguradora conoce que debe presentar adjunto a sus descargos tanto la póliza de seguros como el cargo de entrega de </w:t>
      </w:r>
      <w:proofErr w:type="gramStart"/>
      <w:r w:rsidRPr="00C61136">
        <w:rPr>
          <w:lang w:val="es-PE"/>
        </w:rPr>
        <w:t>la misma</w:t>
      </w:r>
      <w:proofErr w:type="gramEnd"/>
      <w:r w:rsidRPr="00C61136">
        <w:rPr>
          <w:lang w:val="es-PE"/>
        </w:rPr>
        <w:t xml:space="preserve">, no se ha cumplido con presentar dichos documentos. Por el contrario, la aseguradora, se ha limitado a trascribir en sus descargos parte pertinente de la supuesta póliza, pero sin adjuntarla en forma completa y menos con acreditar que la misma fue entregada a la asegurada. </w:t>
      </w:r>
    </w:p>
    <w:p w:rsidRPr="00C61136" w:rsidR="00C61136" w:rsidP="00C61136" w:rsidRDefault="00C61136" w14:paraId="357EC191" w14:textId="77777777">
      <w:pPr>
        <w:tabs>
          <w:tab w:val="left" w:pos="709"/>
          <w:tab w:val="left" w:pos="2160"/>
        </w:tabs>
        <w:ind w:left="709" w:hanging="709"/>
        <w:jc w:val="both"/>
        <w:rPr>
          <w:lang w:val="es-PE"/>
        </w:rPr>
      </w:pPr>
    </w:p>
    <w:p w:rsidRPr="00C61136" w:rsidR="00C61136" w:rsidP="00C61136" w:rsidRDefault="00C61136" w14:paraId="5AD4A23A" w14:textId="77777777">
      <w:pPr>
        <w:tabs>
          <w:tab w:val="left" w:pos="709"/>
          <w:tab w:val="left" w:pos="2160"/>
        </w:tabs>
        <w:ind w:left="709" w:hanging="709"/>
        <w:jc w:val="both"/>
        <w:rPr>
          <w:lang w:val="es-PE"/>
        </w:rPr>
      </w:pPr>
      <w:r w:rsidRPr="00C61136">
        <w:rPr>
          <w:lang w:val="es-PE"/>
        </w:rPr>
        <w:tab/>
      </w:r>
      <w:r w:rsidRPr="00C61136">
        <w:rPr>
          <w:lang w:val="es-PE"/>
        </w:rPr>
        <w:t>En efecto, en la comunicación de rechazo, la aseguradora invoca las condiciones generales de la póliza en el extremo siguiente:</w:t>
      </w:r>
    </w:p>
    <w:p w:rsidRPr="00C61136" w:rsidR="00C61136" w:rsidP="00C61136" w:rsidRDefault="00C61136" w14:paraId="2A608102" w14:textId="77777777">
      <w:pPr>
        <w:tabs>
          <w:tab w:val="left" w:pos="709"/>
          <w:tab w:val="left" w:pos="2160"/>
        </w:tabs>
        <w:ind w:left="709" w:hanging="709"/>
        <w:jc w:val="both"/>
        <w:rPr>
          <w:lang w:val="es-PE"/>
        </w:rPr>
      </w:pPr>
    </w:p>
    <w:p w:rsidRPr="00C61136" w:rsidR="00C61136" w:rsidP="00C61136" w:rsidRDefault="00C61136" w14:paraId="5341FFD1" w14:textId="1C4559B0">
      <w:pPr>
        <w:tabs>
          <w:tab w:val="left" w:pos="709"/>
          <w:tab w:val="left" w:pos="2160"/>
        </w:tabs>
        <w:ind w:left="709" w:hanging="709"/>
        <w:jc w:val="both"/>
        <w:rPr>
          <w:lang w:val="es-PE"/>
        </w:rPr>
      </w:pPr>
      <w:r w:rsidRPr="00C61136">
        <w:rPr>
          <w:noProof/>
        </w:rPr>
        <w:drawing>
          <wp:inline distT="0" distB="0" distL="0" distR="0" wp14:anchorId="1C4B9975" wp14:editId="3E3BEECF">
            <wp:extent cx="5580380" cy="1440180"/>
            <wp:effectExtent l="0" t="0" r="1270" b="7620"/>
            <wp:docPr id="4" name="Imagen 4"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9172" t="38847" r="25671" b="44991"/>
                    <a:stretch>
                      <a:fillRect/>
                    </a:stretch>
                  </pic:blipFill>
                  <pic:spPr bwMode="auto">
                    <a:xfrm>
                      <a:off x="0" y="0"/>
                      <a:ext cx="5580380" cy="1440180"/>
                    </a:xfrm>
                    <a:prstGeom prst="rect">
                      <a:avLst/>
                    </a:prstGeom>
                    <a:noFill/>
                    <a:ln>
                      <a:noFill/>
                    </a:ln>
                  </pic:spPr>
                </pic:pic>
              </a:graphicData>
            </a:graphic>
          </wp:inline>
        </w:drawing>
      </w:r>
    </w:p>
    <w:p w:rsidRPr="00C61136" w:rsidR="00C61136" w:rsidP="00C61136" w:rsidRDefault="00C61136" w14:paraId="25FFE9D1" w14:textId="77777777">
      <w:pPr>
        <w:tabs>
          <w:tab w:val="left" w:pos="709"/>
          <w:tab w:val="left" w:pos="2160"/>
        </w:tabs>
        <w:ind w:left="709"/>
        <w:jc w:val="both"/>
        <w:rPr>
          <w:lang w:val="es-PE"/>
        </w:rPr>
      </w:pPr>
    </w:p>
    <w:p w:rsidRPr="00C61136" w:rsidR="00C61136" w:rsidP="00C61136" w:rsidRDefault="00C61136" w14:paraId="65B9B830" w14:textId="77777777">
      <w:pPr>
        <w:tabs>
          <w:tab w:val="left" w:pos="709"/>
          <w:tab w:val="left" w:pos="2160"/>
        </w:tabs>
        <w:ind w:left="709"/>
        <w:jc w:val="both"/>
        <w:rPr>
          <w:lang w:val="es-PE"/>
        </w:rPr>
      </w:pPr>
      <w:r w:rsidRPr="00C61136">
        <w:rPr>
          <w:lang w:val="es-PE"/>
        </w:rPr>
        <w:t xml:space="preserve">Sin embargo, al no haberse presentado dicho condicionado, este colegiado no puede verificar que el contrato contenga la exclusión invocada para fines del rechazo, siendo que si la aseguradora sostiene que el contrato contiene dicha previsión, se encuentra bajo su responsabilidad de así demostrarlo, no correspondiendo que este colegiado supla su deficiencia en la respectiva carga probatoria, porque de ser así se </w:t>
      </w:r>
      <w:r w:rsidRPr="00C61136">
        <w:rPr>
          <w:lang w:val="es-PE"/>
        </w:rPr>
        <w:t>estaría afectando la independencia e imparcialidad con la que interviene la DEFASEG en la resolución de controversias sometidas a su conocimiento.</w:t>
      </w:r>
    </w:p>
    <w:p w:rsidRPr="00C61136" w:rsidR="00C61136" w:rsidP="00C61136" w:rsidRDefault="00C61136" w14:paraId="20DBEB4C" w14:textId="77777777">
      <w:pPr>
        <w:tabs>
          <w:tab w:val="left" w:pos="709"/>
          <w:tab w:val="left" w:pos="2160"/>
        </w:tabs>
        <w:ind w:left="709"/>
        <w:jc w:val="both"/>
        <w:rPr>
          <w:lang w:val="es-PE"/>
        </w:rPr>
      </w:pPr>
    </w:p>
    <w:p w:rsidRPr="00C61136" w:rsidR="00C61136" w:rsidP="00C61136" w:rsidRDefault="00C61136" w14:paraId="2FDE7EA1" w14:textId="0D093960">
      <w:pPr>
        <w:tabs>
          <w:tab w:val="left" w:pos="709"/>
          <w:tab w:val="left" w:pos="2160"/>
        </w:tabs>
        <w:ind w:left="709"/>
        <w:jc w:val="both"/>
        <w:rPr>
          <w:lang w:val="es-PE"/>
        </w:rPr>
      </w:pPr>
      <w:r w:rsidRPr="027319EA" w:rsidR="00C61136">
        <w:rPr>
          <w:lang w:val="es-PE"/>
        </w:rPr>
        <w:t xml:space="preserve">Por lo tanto, es un hecho objetivo que no ha sido probado por </w:t>
      </w:r>
      <w:r w:rsidRPr="027319EA" w:rsidR="76A13F38">
        <w:rPr>
          <w:lang w:val="es-PE"/>
        </w:rPr>
        <w:t>...........</w:t>
      </w:r>
      <w:r w:rsidRPr="027319EA" w:rsidR="00C61136">
        <w:rPr>
          <w:lang w:val="es-PE"/>
        </w:rPr>
        <w:t xml:space="preserve"> que el contrato de seguro, en su condicionado general, contenga lo que se afirma que contiene (exclusión por enfermedad preexistente).  </w:t>
      </w:r>
      <w:r w:rsidRPr="027319EA" w:rsidR="00C61136">
        <w:rPr>
          <w:lang w:val="es-PE"/>
        </w:rPr>
        <w:t>Lo anterior es de por sí suficiente para deslegitimar el rechazo de cobertura; empero, atendiendo a que dicha omisión podría ser subsanada en vía de impugnación, presentando lo que no lo fue oportunamente, este colegiado proseguirá en el análisis del caso.</w:t>
      </w:r>
    </w:p>
    <w:p w:rsidRPr="00C61136" w:rsidR="00C61136" w:rsidP="00C61136" w:rsidRDefault="00C61136" w14:paraId="05ACACED" w14:textId="77777777">
      <w:pPr>
        <w:tabs>
          <w:tab w:val="left" w:pos="709"/>
          <w:tab w:val="left" w:pos="2160"/>
        </w:tabs>
        <w:ind w:left="709"/>
        <w:jc w:val="both"/>
        <w:rPr>
          <w:lang w:val="es-PE"/>
        </w:rPr>
      </w:pPr>
    </w:p>
    <w:p w:rsidRPr="00C61136" w:rsidR="00C61136" w:rsidP="00C61136" w:rsidRDefault="00C61136" w14:paraId="4C72A9AF" w14:textId="77777777">
      <w:pPr>
        <w:tabs>
          <w:tab w:val="left" w:pos="709"/>
          <w:tab w:val="left" w:pos="2160"/>
        </w:tabs>
        <w:ind w:left="709" w:hanging="709"/>
        <w:jc w:val="both"/>
        <w:rPr>
          <w:lang w:val="es-PE"/>
        </w:rPr>
      </w:pPr>
      <w:r w:rsidRPr="00C61136">
        <w:rPr>
          <w:lang w:val="es-PE"/>
        </w:rPr>
        <w:t>6.2.</w:t>
      </w:r>
      <w:r w:rsidRPr="00C61136">
        <w:rPr>
          <w:lang w:val="es-PE"/>
        </w:rPr>
        <w:tab/>
      </w:r>
      <w:r w:rsidRPr="00C61136">
        <w:rPr>
          <w:lang w:val="es-PE"/>
        </w:rPr>
        <w:t>Corresponde evaluar si el asegurado no contratante conoció del régimen sobre exclusiones, en particular de la invocada para fines de rechazo.  Este aspecto es muy relevante porque permite generar oponibilidad del pacto concertado en su momento, requiriéndose para ello que el asegurado haya tenido conocimiento de manera oportuna, adecuada y suficiente de los pactos contractuales que se le oponen, que se invocan para serle aplicados, en particular tratándose del régimen de exclusiones. Siendo que en este caso la reclamante afirma que no ha recibido la póliza y que no fue informada del régimen de exclusiones.</w:t>
      </w:r>
    </w:p>
    <w:p w:rsidRPr="00C61136" w:rsidR="00C61136" w:rsidP="00C61136" w:rsidRDefault="00C61136" w14:paraId="65E47125" w14:textId="77777777">
      <w:pPr>
        <w:tabs>
          <w:tab w:val="left" w:pos="709"/>
          <w:tab w:val="left" w:pos="2160"/>
        </w:tabs>
        <w:ind w:left="709" w:hanging="709"/>
        <w:jc w:val="both"/>
        <w:rPr>
          <w:lang w:val="es-PE"/>
        </w:rPr>
      </w:pPr>
    </w:p>
    <w:p w:rsidRPr="00C61136" w:rsidR="00C61136" w:rsidP="00C61136" w:rsidRDefault="00C61136" w14:paraId="07D578BA" w14:textId="77777777">
      <w:pPr>
        <w:tabs>
          <w:tab w:val="left" w:pos="709"/>
          <w:tab w:val="left" w:pos="2160"/>
        </w:tabs>
        <w:ind w:left="709" w:hanging="709"/>
        <w:jc w:val="both"/>
        <w:rPr>
          <w:lang w:val="es-PE"/>
        </w:rPr>
      </w:pPr>
      <w:r w:rsidRPr="00C61136">
        <w:rPr>
          <w:lang w:val="es-PE"/>
        </w:rPr>
        <w:tab/>
      </w:r>
      <w:r w:rsidRPr="00C61136">
        <w:rPr>
          <w:lang w:val="es-PE"/>
        </w:rPr>
        <w:t xml:space="preserve">Conforme a múltiples resoluciones expedidas por la DEFASEG de manera uniforme, no basta demostrar que el contrato de seguro celebrado en su oportunidad, contiene determinada condición contractual, sino que es absolutamente indispensable para poder ser opuesta, que honrando su carga procesal, la aseguradora demuestre que informó efectivamente sobre dicha condición contractual de manera oportuna, adecuada y suficiente, lo cual se realiza normalmente a través de la entrega de la póliza de </w:t>
      </w:r>
      <w:proofErr w:type="spellStart"/>
      <w:r w:rsidRPr="00C61136">
        <w:rPr>
          <w:lang w:val="es-PE"/>
        </w:rPr>
        <w:t>seuro</w:t>
      </w:r>
      <w:proofErr w:type="spellEnd"/>
      <w:r w:rsidRPr="00C61136">
        <w:rPr>
          <w:lang w:val="es-PE"/>
        </w:rPr>
        <w:t xml:space="preserve"> y/o certificado de seguro, según corresponda.  </w:t>
      </w:r>
    </w:p>
    <w:p w:rsidRPr="00C61136" w:rsidR="00C61136" w:rsidP="00C61136" w:rsidRDefault="00C61136" w14:paraId="23853AB5" w14:textId="77777777">
      <w:pPr>
        <w:tabs>
          <w:tab w:val="left" w:pos="709"/>
          <w:tab w:val="left" w:pos="2160"/>
        </w:tabs>
        <w:ind w:left="709" w:hanging="709"/>
        <w:jc w:val="both"/>
        <w:rPr>
          <w:lang w:val="es-PE"/>
        </w:rPr>
      </w:pPr>
    </w:p>
    <w:p w:rsidRPr="00C61136" w:rsidR="00C61136" w:rsidP="00C61136" w:rsidRDefault="00C61136" w14:paraId="492A0200" w14:textId="3679E9B6">
      <w:pPr>
        <w:tabs>
          <w:tab w:val="left" w:pos="709"/>
          <w:tab w:val="left" w:pos="2160"/>
        </w:tabs>
        <w:ind w:left="709" w:hanging="709"/>
        <w:jc w:val="both"/>
        <w:rPr>
          <w:lang w:val="es-PE"/>
        </w:rPr>
      </w:pPr>
      <w:r w:rsidRPr="00C61136">
        <w:rPr>
          <w:lang w:val="es-PE"/>
        </w:rPr>
        <w:tab/>
      </w:r>
      <w:r w:rsidRPr="00C61136" w:rsidR="00C61136">
        <w:rPr>
          <w:lang w:val="es-PE"/>
        </w:rPr>
        <w:t xml:space="preserve">En el presente caso, </w:t>
      </w:r>
      <w:r w:rsidRPr="00C61136" w:rsidR="76A13F38">
        <w:rPr>
          <w:lang w:val="es-PE"/>
        </w:rPr>
        <w:t>...........</w:t>
      </w:r>
      <w:r w:rsidRPr="00C61136" w:rsidR="00C61136">
        <w:rPr>
          <w:lang w:val="es-PE"/>
        </w:rPr>
        <w:t xml:space="preserve"> no sólo no ha probado el pacto sobre exclusiones, sino que tampoco ha probado el conocimiento que el asegurado debe tener sobre las exclusiones, esto es, no ha demostrado que brindó información oportuna, adecuada y suficiente.</w:t>
      </w:r>
    </w:p>
    <w:p w:rsidRPr="00C61136" w:rsidR="00C61136" w:rsidP="00C61136" w:rsidRDefault="00C61136" w14:paraId="6B9BA871" w14:textId="77777777">
      <w:pPr>
        <w:tabs>
          <w:tab w:val="left" w:pos="709"/>
          <w:tab w:val="left" w:pos="2160"/>
        </w:tabs>
        <w:ind w:left="709" w:hanging="709"/>
        <w:jc w:val="both"/>
        <w:rPr>
          <w:lang w:val="es-PE"/>
        </w:rPr>
      </w:pPr>
      <w:r w:rsidRPr="00C61136">
        <w:rPr>
          <w:lang w:val="es-PE"/>
        </w:rPr>
        <w:t xml:space="preserve"> </w:t>
      </w:r>
    </w:p>
    <w:p w:rsidRPr="00C61136" w:rsidR="00C61136" w:rsidP="00C61136" w:rsidRDefault="00C61136" w14:paraId="4D99ED36" w14:textId="5004EBA7">
      <w:pPr>
        <w:tabs>
          <w:tab w:val="left" w:pos="709"/>
          <w:tab w:val="left" w:pos="2160"/>
        </w:tabs>
        <w:ind w:left="709"/>
        <w:jc w:val="both"/>
        <w:rPr>
          <w:lang w:val="es-PE"/>
        </w:rPr>
      </w:pPr>
      <w:r w:rsidRPr="027319EA" w:rsidR="00C61136">
        <w:rPr>
          <w:lang w:val="es-PE"/>
        </w:rPr>
        <w:t xml:space="preserve">Por lo tanto, a juicio de este colegiado, es un hecho objetivo que no ha sido probado por </w:t>
      </w:r>
      <w:r w:rsidRPr="027319EA" w:rsidR="76A13F38">
        <w:rPr>
          <w:lang w:val="es-PE"/>
        </w:rPr>
        <w:t>...........</w:t>
      </w:r>
      <w:r w:rsidRPr="027319EA" w:rsidR="00C61136">
        <w:rPr>
          <w:lang w:val="es-PE"/>
        </w:rPr>
        <w:t xml:space="preserve"> que el asegurado conocía del régimen de exclusiones, en particular de la exclusión que se le pretende oponer (enfermedad preexistente).  </w:t>
      </w:r>
      <w:r w:rsidRPr="027319EA" w:rsidR="00C61136">
        <w:rPr>
          <w:lang w:val="es-PE"/>
        </w:rPr>
        <w:t>Esa situación es de por sí suficiente para deslegitimar el rechazo de cobertura; empero, atendiendo a que dicha omisión podría ser subsanada en vía de impugnación, presentando lo que no lo fue oportunamente, este colegiado proseguirá el análisis del caso.</w:t>
      </w:r>
    </w:p>
    <w:p w:rsidRPr="00C61136" w:rsidR="00C61136" w:rsidP="00C61136" w:rsidRDefault="00C61136" w14:paraId="252E1BB1" w14:textId="77777777">
      <w:pPr>
        <w:tabs>
          <w:tab w:val="left" w:pos="709"/>
          <w:tab w:val="left" w:pos="2160"/>
        </w:tabs>
        <w:ind w:left="709" w:hanging="709"/>
        <w:jc w:val="both"/>
        <w:rPr>
          <w:lang w:val="es-PE"/>
        </w:rPr>
      </w:pPr>
    </w:p>
    <w:p w:rsidRPr="00C61136" w:rsidR="00C61136" w:rsidP="00C61136" w:rsidRDefault="00C61136" w14:paraId="74E91E6E" w14:textId="77777777">
      <w:pPr>
        <w:tabs>
          <w:tab w:val="left" w:pos="709"/>
          <w:tab w:val="left" w:pos="2160"/>
        </w:tabs>
        <w:ind w:left="709" w:hanging="709"/>
        <w:jc w:val="both"/>
        <w:rPr>
          <w:lang w:val="es-PE"/>
        </w:rPr>
      </w:pPr>
      <w:r w:rsidRPr="00C61136">
        <w:rPr>
          <w:lang w:val="es-PE"/>
        </w:rPr>
        <w:t>6.3.</w:t>
      </w:r>
      <w:r w:rsidRPr="00C61136">
        <w:rPr>
          <w:lang w:val="es-PE"/>
        </w:rPr>
        <w:tab/>
      </w:r>
      <w:r w:rsidRPr="00C61136">
        <w:rPr>
          <w:lang w:val="es-PE"/>
        </w:rPr>
        <w:t>Por último, el tercer aspecto a analizar es determinar si se configuró o no la exclusión invocada u opuesta al reclamante.</w:t>
      </w:r>
    </w:p>
    <w:p w:rsidRPr="00C61136" w:rsidR="00C61136" w:rsidP="00C61136" w:rsidRDefault="00C61136" w14:paraId="2E414697" w14:textId="77777777">
      <w:pPr>
        <w:tabs>
          <w:tab w:val="left" w:pos="709"/>
          <w:tab w:val="left" w:pos="2160"/>
        </w:tabs>
        <w:ind w:left="709" w:hanging="709"/>
        <w:jc w:val="both"/>
        <w:rPr>
          <w:lang w:val="es-PE"/>
        </w:rPr>
      </w:pPr>
    </w:p>
    <w:p w:rsidRPr="00C61136" w:rsidR="00C61136" w:rsidP="00C61136" w:rsidRDefault="00C61136" w14:paraId="193DE699" w14:textId="77777777">
      <w:pPr>
        <w:tabs>
          <w:tab w:val="left" w:pos="709"/>
          <w:tab w:val="left" w:pos="2160"/>
        </w:tabs>
        <w:ind w:left="709" w:hanging="709"/>
        <w:jc w:val="both"/>
        <w:rPr>
          <w:lang w:val="es-PE"/>
        </w:rPr>
      </w:pPr>
      <w:r w:rsidRPr="00C61136">
        <w:rPr>
          <w:lang w:val="es-PE"/>
        </w:rPr>
        <w:tab/>
      </w:r>
      <w:r w:rsidRPr="00C61136">
        <w:rPr>
          <w:lang w:val="es-PE"/>
        </w:rPr>
        <w:t>Para realizar la respectiva evaluación debe considerase dos aspectos: (i) Alcances de la exclusión, y (</w:t>
      </w:r>
      <w:proofErr w:type="spellStart"/>
      <w:r w:rsidRPr="00C61136">
        <w:rPr>
          <w:lang w:val="es-PE"/>
        </w:rPr>
        <w:t>ii</w:t>
      </w:r>
      <w:proofErr w:type="spellEnd"/>
      <w:r w:rsidRPr="00C61136">
        <w:rPr>
          <w:lang w:val="es-PE"/>
        </w:rPr>
        <w:t xml:space="preserve">) Aplicación literal de la exclusión, por lo que no cabe invocar sobreentendidos, o aplicación en vía de interpretación extensiva o por analogía.  La sétima regla interpretativa contenida en el artículo IV de la Ley del Contrato de Seguro es concluyente: </w:t>
      </w:r>
      <w:r w:rsidRPr="00C61136">
        <w:rPr>
          <w:i/>
          <w:iCs/>
          <w:lang w:val="es-PE"/>
        </w:rPr>
        <w:t xml:space="preserve">“La cobertura, exclusiones y, en general, la extensión del </w:t>
      </w:r>
      <w:r w:rsidRPr="00C61136">
        <w:rPr>
          <w:i/>
          <w:iCs/>
          <w:lang w:val="es-PE"/>
        </w:rPr>
        <w:t>riesgo, así como los derechos de los beneficiarios, previstos en el contrato de seguro, deben interpretarse literalmente”</w:t>
      </w:r>
      <w:r w:rsidRPr="00C61136">
        <w:rPr>
          <w:lang w:val="es-PE"/>
        </w:rPr>
        <w:t>.</w:t>
      </w:r>
    </w:p>
    <w:p w:rsidRPr="00C61136" w:rsidR="00C61136" w:rsidP="00C61136" w:rsidRDefault="00C61136" w14:paraId="76C449F4" w14:textId="77777777">
      <w:pPr>
        <w:tabs>
          <w:tab w:val="left" w:pos="709"/>
          <w:tab w:val="left" w:pos="2160"/>
        </w:tabs>
        <w:ind w:left="709" w:hanging="709"/>
        <w:jc w:val="both"/>
        <w:rPr>
          <w:lang w:val="es-PE"/>
        </w:rPr>
      </w:pPr>
    </w:p>
    <w:p w:rsidRPr="00C61136" w:rsidR="00C61136" w:rsidP="00C61136" w:rsidRDefault="00C61136" w14:paraId="635615B1" w14:textId="77777777">
      <w:pPr>
        <w:tabs>
          <w:tab w:val="left" w:pos="709"/>
          <w:tab w:val="left" w:pos="2160"/>
        </w:tabs>
        <w:ind w:left="709"/>
        <w:jc w:val="both"/>
        <w:rPr>
          <w:lang w:val="es-PE"/>
        </w:rPr>
      </w:pPr>
      <w:r w:rsidRPr="00C61136">
        <w:rPr>
          <w:lang w:val="es-PE"/>
        </w:rPr>
        <w:t>Para el análisis de este aspecto, este colegiado va a asumir como cierto, un hecho que no ha sido probado, que la exclusión invocada para el rechazo está efectivamente contenida en el condicionado general de la póliza, y que era de conocimiento del asegurado no contratante, el actual reclamante.  Sobre dicha base hipotética, este colegiado se remite al texto de la exclusión invocado por la aseguradora:</w:t>
      </w:r>
    </w:p>
    <w:p w:rsidRPr="00C61136" w:rsidR="00C61136" w:rsidP="00C61136" w:rsidRDefault="00C61136" w14:paraId="788B1179" w14:textId="77777777">
      <w:pPr>
        <w:tabs>
          <w:tab w:val="left" w:pos="709"/>
          <w:tab w:val="left" w:pos="2160"/>
        </w:tabs>
        <w:jc w:val="both"/>
        <w:rPr>
          <w:lang w:val="es-PE"/>
        </w:rPr>
      </w:pPr>
    </w:p>
    <w:p w:rsidRPr="00C61136" w:rsidR="00C61136" w:rsidP="00C61136" w:rsidRDefault="00C61136" w14:paraId="0A2A378F" w14:textId="2F4F9B07">
      <w:pPr>
        <w:tabs>
          <w:tab w:val="left" w:pos="709"/>
          <w:tab w:val="left" w:pos="2160"/>
        </w:tabs>
        <w:ind w:left="709"/>
        <w:jc w:val="both"/>
        <w:rPr>
          <w:lang w:val="es-PE"/>
        </w:rPr>
      </w:pPr>
      <w:r w:rsidRPr="00C61136">
        <w:rPr>
          <w:noProof/>
        </w:rPr>
        <w:drawing>
          <wp:inline distT="0" distB="0" distL="0" distR="0" wp14:anchorId="1B4AD926" wp14:editId="207B2538">
            <wp:extent cx="5580380" cy="1439545"/>
            <wp:effectExtent l="0" t="0" r="1270" b="8255"/>
            <wp:docPr id="3" name="Imagen 3" descr="Interfaz de usuario gráfica, Texto,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Texto, Aplicación, Word&#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l="39172" t="38847" r="25671" b="44991"/>
                    <a:stretch>
                      <a:fillRect/>
                    </a:stretch>
                  </pic:blipFill>
                  <pic:spPr bwMode="auto">
                    <a:xfrm>
                      <a:off x="0" y="0"/>
                      <a:ext cx="5580380" cy="1439545"/>
                    </a:xfrm>
                    <a:prstGeom prst="rect">
                      <a:avLst/>
                    </a:prstGeom>
                    <a:noFill/>
                    <a:ln>
                      <a:noFill/>
                    </a:ln>
                  </pic:spPr>
                </pic:pic>
              </a:graphicData>
            </a:graphic>
          </wp:inline>
        </w:drawing>
      </w:r>
    </w:p>
    <w:p w:rsidRPr="00C61136" w:rsidR="00C61136" w:rsidP="00C61136" w:rsidRDefault="00C61136" w14:paraId="10A2324F" w14:textId="77777777">
      <w:pPr>
        <w:tabs>
          <w:tab w:val="left" w:pos="709"/>
          <w:tab w:val="left" w:pos="2160"/>
        </w:tabs>
        <w:ind w:left="709" w:hanging="709"/>
        <w:jc w:val="both"/>
        <w:rPr>
          <w:lang w:val="es-PE"/>
        </w:rPr>
      </w:pPr>
      <w:r w:rsidRPr="00C61136">
        <w:rPr>
          <w:lang w:val="es-PE"/>
        </w:rPr>
        <w:tab/>
      </w:r>
    </w:p>
    <w:p w:rsidRPr="00C61136" w:rsidR="00C61136" w:rsidP="00C61136" w:rsidRDefault="00C61136" w14:paraId="3970AD82" w14:textId="77777777">
      <w:pPr>
        <w:tabs>
          <w:tab w:val="left" w:pos="709"/>
          <w:tab w:val="left" w:pos="2160"/>
        </w:tabs>
        <w:ind w:left="709" w:hanging="709"/>
        <w:jc w:val="both"/>
        <w:rPr>
          <w:lang w:val="es-PE"/>
        </w:rPr>
      </w:pPr>
      <w:r w:rsidRPr="00C61136">
        <w:rPr>
          <w:lang w:val="es-PE"/>
        </w:rPr>
        <w:tab/>
      </w:r>
      <w:r w:rsidRPr="00C61136">
        <w:rPr>
          <w:lang w:val="es-PE"/>
        </w:rPr>
        <w:t xml:space="preserve">Conforme se aprecia, literalmente, para que se configura la exclusión por enfermedad preexistente se requiere necesariamente que la alteración del estado de salud haya sido diagnosticada por un profesional médico colegiado, en forma </w:t>
      </w:r>
      <w:proofErr w:type="gramStart"/>
      <w:r w:rsidRPr="00C61136">
        <w:rPr>
          <w:lang w:val="es-PE"/>
        </w:rPr>
        <w:t>previa  a</w:t>
      </w:r>
      <w:proofErr w:type="gramEnd"/>
      <w:r w:rsidRPr="00C61136">
        <w:rPr>
          <w:lang w:val="es-PE"/>
        </w:rPr>
        <w:t xml:space="preserve"> la contratación del seguro.  Dicho de otro modo, la preexistencia para el contrato de seguro no es sólo la alteración del estado de salud no resuelta al momento de presentación de la Declaración Jurada de Salud, sino que debe mediar un diagnóstico de médico colegiado.</w:t>
      </w:r>
    </w:p>
    <w:p w:rsidRPr="00C61136" w:rsidR="00C61136" w:rsidP="00C61136" w:rsidRDefault="00C61136" w14:paraId="32BD1F88" w14:textId="77777777">
      <w:pPr>
        <w:tabs>
          <w:tab w:val="left" w:pos="709"/>
          <w:tab w:val="left" w:pos="2160"/>
        </w:tabs>
        <w:ind w:left="709" w:hanging="709"/>
        <w:jc w:val="both"/>
        <w:rPr>
          <w:lang w:val="es-PE"/>
        </w:rPr>
      </w:pPr>
    </w:p>
    <w:p w:rsidRPr="00C61136" w:rsidR="00C61136" w:rsidP="00C61136" w:rsidRDefault="00C61136" w14:paraId="1C6F6CF0" w14:textId="0599D64B">
      <w:pPr>
        <w:tabs>
          <w:tab w:val="left" w:pos="709"/>
          <w:tab w:val="left" w:pos="2160"/>
        </w:tabs>
        <w:ind w:left="709" w:hanging="709"/>
        <w:jc w:val="both"/>
        <w:rPr>
          <w:lang w:val="es-PE"/>
        </w:rPr>
      </w:pPr>
      <w:r w:rsidRPr="00C61136">
        <w:rPr>
          <w:lang w:val="es-PE"/>
        </w:rPr>
        <w:tab/>
      </w:r>
      <w:r w:rsidRPr="00C61136" w:rsidR="00C61136">
        <w:rPr>
          <w:lang w:val="es-PE"/>
        </w:rPr>
        <w:t xml:space="preserve">De los documentos presentados por </w:t>
      </w:r>
      <w:r w:rsidRPr="00C61136" w:rsidR="76A13F38">
        <w:rPr>
          <w:lang w:val="es-PE"/>
        </w:rPr>
        <w:t>...........</w:t>
      </w:r>
      <w:r w:rsidRPr="00C61136" w:rsidR="00C61136">
        <w:rPr>
          <w:lang w:val="es-PE"/>
        </w:rPr>
        <w:t xml:space="preserve">, no se aprecia que la infección urinaria como tal haya sido previa a la afiliación al seguro. </w:t>
      </w:r>
      <w:r w:rsidRPr="00C61136" w:rsidR="00C61136">
        <w:rPr>
          <w:lang w:val="es-PE"/>
        </w:rPr>
        <w:t>Lo que se verifica y no ha sido negado por la asegurada es que tuvo un trasplante de riñón previo a la contratación, pero no está acreditado que luego del mismo y antes de la contratación del seguro tuviera una infección urinaria crónica que deriva en la situación presentada en el año 2022.</w:t>
      </w:r>
      <w:r w:rsidRPr="00C61136" w:rsidR="00C61136">
        <w:rPr>
          <w:lang w:val="es-PE"/>
        </w:rPr>
        <w:t xml:space="preserve">  Tampoco se acreditado que la infección urinaria reclamada derive del trasplante del año 2003, siendo evidente que las infecciones urinarias también se presentan en personas no trasplantadas. Mas aún, en este caso estamos ante una infección bacteriana, por lo que el origen es el mismo que suele presentase en personas no trasplantadas.</w:t>
      </w:r>
    </w:p>
    <w:p w:rsidRPr="00C61136" w:rsidR="00C61136" w:rsidP="00C61136" w:rsidRDefault="00C61136" w14:paraId="79B3066E" w14:textId="77777777">
      <w:pPr>
        <w:tabs>
          <w:tab w:val="left" w:pos="709"/>
          <w:tab w:val="left" w:pos="2160"/>
        </w:tabs>
        <w:ind w:left="709" w:hanging="709"/>
        <w:jc w:val="both"/>
        <w:rPr>
          <w:lang w:val="es-PE"/>
        </w:rPr>
      </w:pPr>
    </w:p>
    <w:p w:rsidRPr="00C61136" w:rsidR="00C61136" w:rsidP="00C61136" w:rsidRDefault="00C61136" w14:paraId="640AA298" w14:textId="77777777">
      <w:pPr>
        <w:tabs>
          <w:tab w:val="left" w:pos="709"/>
          <w:tab w:val="left" w:pos="2160"/>
        </w:tabs>
        <w:ind w:left="709" w:hanging="709"/>
        <w:jc w:val="both"/>
        <w:rPr>
          <w:lang w:val="es-PE"/>
        </w:rPr>
      </w:pPr>
      <w:r w:rsidRPr="00C61136">
        <w:rPr>
          <w:lang w:val="es-PE"/>
        </w:rPr>
        <w:tab/>
      </w:r>
      <w:r w:rsidRPr="00C61136">
        <w:rPr>
          <w:lang w:val="es-PE"/>
        </w:rPr>
        <w:t xml:space="preserve">La compañía por su </w:t>
      </w:r>
      <w:proofErr w:type="gramStart"/>
      <w:r w:rsidRPr="00C61136">
        <w:rPr>
          <w:lang w:val="es-PE"/>
        </w:rPr>
        <w:t>parte,</w:t>
      </w:r>
      <w:proofErr w:type="gramEnd"/>
      <w:r w:rsidRPr="00C61136">
        <w:rPr>
          <w:lang w:val="es-PE"/>
        </w:rPr>
        <w:t xml:space="preserve"> solo ha afirmado que estamos ante una preexistencia, pero sin explicar ni sustentar las razones por las cuales considera que la infección bacteriana derivaría del trasplante de riñón preexistente.</w:t>
      </w:r>
    </w:p>
    <w:p w:rsidRPr="00C61136" w:rsidR="00C61136" w:rsidP="00C61136" w:rsidRDefault="00C61136" w14:paraId="070C8C25" w14:textId="77777777">
      <w:pPr>
        <w:tabs>
          <w:tab w:val="left" w:pos="709"/>
          <w:tab w:val="left" w:pos="2160"/>
        </w:tabs>
        <w:ind w:left="709" w:hanging="709"/>
        <w:jc w:val="both"/>
        <w:rPr>
          <w:lang w:val="es-PE"/>
        </w:rPr>
      </w:pPr>
    </w:p>
    <w:p w:rsidRPr="00C61136" w:rsidR="00C61136" w:rsidP="00C61136" w:rsidRDefault="00C61136" w14:paraId="076922A3" w14:textId="77777777">
      <w:pPr>
        <w:tabs>
          <w:tab w:val="left" w:pos="709"/>
          <w:tab w:val="left" w:pos="2160"/>
        </w:tabs>
        <w:ind w:left="709" w:hanging="709"/>
        <w:jc w:val="both"/>
        <w:rPr>
          <w:lang w:val="es-PE"/>
        </w:rPr>
      </w:pPr>
      <w:r w:rsidRPr="00C61136">
        <w:rPr>
          <w:lang w:val="es-PE"/>
        </w:rPr>
        <w:tab/>
      </w:r>
      <w:r w:rsidRPr="00C61136">
        <w:rPr>
          <w:lang w:val="es-PE"/>
        </w:rPr>
        <w:t>Mas aún, la compañía ya había cubierto en forma previa otra situación de infección urinaria, no bacteriana (en esa oportunidad el urocultivo salió negativo). Ante ello, la reclamante afirma que cuando consultó por dicho precedente, le indicaron que le cubrieron porque no conocían del trasplante. Esto último es desmentido por la reclamante, pues afirma que los documentos que adjuntó en dicha oportunidad, en particular la epicrisis hacía referencia expresa a su trasplante del año 2003.</w:t>
      </w:r>
    </w:p>
    <w:p w:rsidRPr="00C61136" w:rsidR="00C61136" w:rsidP="00C61136" w:rsidRDefault="00C61136" w14:paraId="67628DB8" w14:textId="77777777">
      <w:pPr>
        <w:tabs>
          <w:tab w:val="left" w:pos="709"/>
          <w:tab w:val="left" w:pos="2160"/>
        </w:tabs>
        <w:ind w:left="709" w:hanging="709"/>
        <w:jc w:val="both"/>
        <w:rPr>
          <w:lang w:val="es-PE"/>
        </w:rPr>
      </w:pPr>
      <w:r w:rsidRPr="00C61136">
        <w:rPr>
          <w:lang w:val="es-PE"/>
        </w:rPr>
        <w:t xml:space="preserve"> </w:t>
      </w:r>
    </w:p>
    <w:p w:rsidRPr="00C61136" w:rsidR="00C61136" w:rsidP="00C61136" w:rsidRDefault="00C61136" w14:paraId="4AE3C920" w14:textId="77777777">
      <w:pPr>
        <w:tabs>
          <w:tab w:val="left" w:pos="709"/>
          <w:tab w:val="left" w:pos="2160"/>
        </w:tabs>
        <w:ind w:left="709"/>
        <w:jc w:val="both"/>
        <w:rPr>
          <w:lang w:val="es-PE"/>
        </w:rPr>
      </w:pPr>
      <w:r w:rsidRPr="00C61136">
        <w:rPr>
          <w:lang w:val="es-PE"/>
        </w:rPr>
        <w:t>Por lo tanto, la aseguradora no ha probado que el asegurado haya incurrido en la exclusión invocada para fines del rechazo de cobertura comunicado en su oportunidad, siendo que menos ha probado que dicha exclusión haya sido informada oportunamente al asegurado, ni que aquélla está efectivamente contenida en el condicionado de la póliza grupal a la cual dicho asegurado se afilió.  Se deja constancia que, conforme a lo analizado precedentemente, la legitimidad del rechazo se sustenta en que la aseguradora pruebe los tres aspectos referidos, y no sólo alguno de ellos, de ser el caso.</w:t>
      </w:r>
    </w:p>
    <w:p w:rsidRPr="00C61136" w:rsidR="00C61136" w:rsidP="00C61136" w:rsidRDefault="00C61136" w14:paraId="1FA79F14" w14:textId="77777777">
      <w:pPr>
        <w:tabs>
          <w:tab w:val="left" w:pos="709"/>
          <w:tab w:val="left" w:pos="2160"/>
        </w:tabs>
        <w:jc w:val="both"/>
        <w:rPr>
          <w:lang w:val="es-PE"/>
        </w:rPr>
      </w:pPr>
    </w:p>
    <w:p w:rsidRPr="00C61136" w:rsidR="00C61136" w:rsidP="00C61136" w:rsidRDefault="00C61136" w14:paraId="7C8E7C8E" w14:textId="77777777">
      <w:pPr>
        <w:tabs>
          <w:tab w:val="left" w:pos="709"/>
          <w:tab w:val="left" w:pos="2160"/>
        </w:tabs>
        <w:jc w:val="both"/>
      </w:pPr>
      <w:r w:rsidRPr="00C61136">
        <w:rPr>
          <w:lang w:val="es-PE"/>
        </w:rPr>
        <w:t xml:space="preserve">Atendiendo a lo expresado, este colegiado </w:t>
      </w:r>
      <w:r w:rsidRPr="00C61136">
        <w:t>concluye su apreciación razonada y conjunta al amparo de lo establecido en su Reglamento, por lo que</w:t>
      </w:r>
    </w:p>
    <w:p w:rsidRPr="00C61136" w:rsidR="00C61136" w:rsidP="00C61136" w:rsidRDefault="00C61136" w14:paraId="014D5FEE" w14:textId="77777777">
      <w:pPr>
        <w:tabs>
          <w:tab w:val="left" w:pos="709"/>
          <w:tab w:val="left" w:pos="2160"/>
        </w:tabs>
        <w:jc w:val="both"/>
      </w:pPr>
    </w:p>
    <w:p w:rsidRPr="00C61136" w:rsidR="00C61136" w:rsidP="00C61136" w:rsidRDefault="00C61136" w14:paraId="1065E92F" w14:textId="77777777">
      <w:pPr>
        <w:tabs>
          <w:tab w:val="left" w:pos="709"/>
          <w:tab w:val="left" w:pos="2160"/>
        </w:tabs>
        <w:jc w:val="both"/>
        <w:rPr>
          <w:b/>
        </w:rPr>
      </w:pPr>
      <w:r w:rsidRPr="00C61136">
        <w:rPr>
          <w:b/>
        </w:rPr>
        <w:t>SE RESUELVE</w:t>
      </w:r>
      <w:r w:rsidRPr="00C61136">
        <w:rPr>
          <w:b/>
          <w:lang w:val="es-PE"/>
        </w:rPr>
        <w:t>:</w:t>
      </w:r>
    </w:p>
    <w:p w:rsidRPr="00C61136" w:rsidR="00C61136" w:rsidP="00C61136" w:rsidRDefault="00C61136" w14:paraId="30AF5AA3" w14:textId="77777777">
      <w:pPr>
        <w:tabs>
          <w:tab w:val="left" w:pos="709"/>
          <w:tab w:val="left" w:pos="2160"/>
        </w:tabs>
        <w:jc w:val="both"/>
        <w:rPr>
          <w:b/>
          <w:bCs/>
        </w:rPr>
      </w:pPr>
    </w:p>
    <w:p w:rsidRPr="00C61136" w:rsidR="00C61136" w:rsidP="027319EA" w:rsidRDefault="00C61136" w14:paraId="5234E4C9" w14:textId="445E3453">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eastAsia="Calibri" w:eastAsiaTheme="minorAscii"/>
          <w:lang w:val="es-PE" w:eastAsia="en-US"/>
        </w:rPr>
      </w:pPr>
      <w:r w:rsidRPr="027319EA" w:rsidR="00C61136">
        <w:rPr>
          <w:b w:val="1"/>
          <w:bCs w:val="1"/>
          <w:lang w:val="es-PE"/>
        </w:rPr>
        <w:t xml:space="preserve">Declarar FUNDADA </w:t>
      </w:r>
      <w:r w:rsidRPr="027319EA" w:rsidR="00C61136">
        <w:rPr>
          <w:lang w:val="es-PE"/>
        </w:rPr>
        <w:t>la reclamación interpuesta por</w:t>
      </w:r>
      <w:r w:rsidR="00C61136">
        <w:rPr/>
        <w:t xml:space="preserve"> </w:t>
      </w:r>
      <w:r w:rsidRPr="027319EA" w:rsidR="00C61136">
        <w:rPr>
          <w:lang w:val="es-PE"/>
        </w:rPr>
        <w:t xml:space="preserve">doña </w:t>
      </w:r>
      <w:r w:rsidRPr="027319EA" w:rsidR="68C809F7">
        <w:rPr>
          <w:lang w:val="es-PE"/>
        </w:rPr>
        <w:t>..............................................................................</w:t>
      </w:r>
      <w:r w:rsidRPr="027319EA" w:rsidR="00C61136">
        <w:rPr>
          <w:lang w:val="es-PE"/>
        </w:rPr>
        <w:t xml:space="preserve"> contra </w:t>
      </w:r>
      <w:r w:rsidRPr="027319EA" w:rsidR="76A13F38">
        <w:rPr>
          <w:lang w:val="es-PE"/>
        </w:rPr>
        <w:t>...........</w:t>
      </w:r>
      <w:r w:rsidRPr="027319EA" w:rsidR="00C61136">
        <w:rPr>
          <w:lang w:val="es-PE"/>
        </w:rPr>
        <w:t xml:space="preserve"> </w:t>
      </w:r>
      <w:r w:rsidRPr="027319EA" w:rsidR="3DB7A00D">
        <w:rPr>
          <w:lang w:val="es-PE"/>
        </w:rPr>
        <w:t>.....................................................</w:t>
      </w:r>
      <w:r w:rsidR="00C61136">
        <w:rPr/>
        <w:t xml:space="preserve">, </w:t>
      </w:r>
      <w:r w:rsidRPr="027319EA" w:rsidR="00C61136">
        <w:rPr>
          <w:lang w:val="es-PE"/>
        </w:rPr>
        <w:t>por lo que debe otorgarse la cobertura objeto de la reclamación, conforme a los términos y condiciones contratados en su oportunidad.</w:t>
      </w:r>
    </w:p>
    <w:p w:rsidRPr="00C61136" w:rsidR="00F15FBA" w:rsidP="00F15FBA" w:rsidRDefault="00F15FBA" w14:paraId="70E046FE" w14:textId="77777777">
      <w:pPr>
        <w:jc w:val="right"/>
        <w:outlineLvl w:val="0"/>
        <w:rPr>
          <w:lang w:val="es-PE"/>
        </w:rPr>
      </w:pPr>
      <w:r w:rsidRPr="00C61136">
        <w:rPr>
          <w:lang w:val="es-PE"/>
        </w:rPr>
        <w:t xml:space="preserve"> </w:t>
      </w:r>
    </w:p>
    <w:p w:rsidRPr="00C61136" w:rsidR="001631D6" w:rsidP="00F202DC" w:rsidRDefault="00F15FBA" w14:paraId="48C7895B" w14:textId="7D6CF4D4">
      <w:pPr>
        <w:jc w:val="right"/>
        <w:outlineLvl w:val="0"/>
        <w:rPr>
          <w:lang w:val="es-PE"/>
        </w:rPr>
      </w:pPr>
      <w:r w:rsidRPr="00C61136">
        <w:rPr>
          <w:lang w:val="es-PE"/>
        </w:rPr>
        <w:t xml:space="preserve">Lima, </w:t>
      </w:r>
      <w:r w:rsidRPr="00C61136" w:rsidR="0029474B">
        <w:t>13</w:t>
      </w:r>
      <w:r w:rsidRPr="00C61136" w:rsidR="00732DCE">
        <w:t xml:space="preserve"> </w:t>
      </w:r>
      <w:r w:rsidRPr="00C61136">
        <w:rPr>
          <w:lang w:val="es-PE"/>
        </w:rPr>
        <w:t>de</w:t>
      </w:r>
      <w:r w:rsidRPr="00C61136" w:rsidR="001631D6">
        <w:rPr>
          <w:lang w:val="es-PE"/>
        </w:rPr>
        <w:t xml:space="preserve"> </w:t>
      </w:r>
      <w:r w:rsidRPr="00C61136" w:rsidR="00F74CF0">
        <w:rPr>
          <w:lang w:val="es-PE"/>
        </w:rPr>
        <w:t>febrero</w:t>
      </w:r>
      <w:r w:rsidRPr="00C61136" w:rsidR="001631D6">
        <w:rPr>
          <w:lang w:val="es-PE"/>
        </w:rPr>
        <w:t xml:space="preserve"> </w:t>
      </w:r>
      <w:r w:rsidRPr="00C61136">
        <w:rPr>
          <w:lang w:val="es-PE"/>
        </w:rPr>
        <w:t>de 20</w:t>
      </w:r>
      <w:r w:rsidRPr="00C61136" w:rsidR="001631D6">
        <w:rPr>
          <w:lang w:val="es-PE"/>
        </w:rPr>
        <w:t>2</w:t>
      </w:r>
      <w:r w:rsidRPr="00C61136" w:rsidR="00807D21">
        <w:rPr>
          <w:lang w:val="es-PE"/>
        </w:rPr>
        <w:t>3</w:t>
      </w:r>
    </w:p>
    <w:p w:rsidRPr="00C61136" w:rsidR="001631D6" w:rsidP="001631D6" w:rsidRDefault="001631D6" w14:paraId="30F8D459" w14:textId="2A212DE5">
      <w:pPr>
        <w:jc w:val="both"/>
      </w:pPr>
    </w:p>
    <w:p w:rsidRPr="00D173E4" w:rsidR="00F202DC" w:rsidP="001631D6" w:rsidRDefault="00F202DC" w14:paraId="55EA6443" w14:textId="77777777">
      <w:pPr>
        <w:jc w:val="both"/>
      </w:pPr>
    </w:p>
    <w:p w:rsidRPr="00D173E4" w:rsidR="001631D6" w:rsidP="001631D6" w:rsidRDefault="001631D6" w14:paraId="54F717D9" w14:textId="77777777">
      <w:pPr>
        <w:jc w:val="both"/>
        <w:rPr>
          <w:b/>
          <w:bCs/>
          <w:i/>
          <w:iCs/>
          <w:lang w:val="es-ES_tradnl"/>
        </w:rPr>
      </w:pPr>
      <w:r w:rsidRPr="00D173E4">
        <w:rPr>
          <w:b/>
          <w:bCs/>
          <w:i/>
          <w:iCs/>
          <w:lang w:val="es-ES_tradnl"/>
        </w:rPr>
        <w:t>La Secretaría Técnica certifica que la presente resolución cuenta con el voto de los vocales cuyos nombres figuran en el presente documento.</w:t>
      </w:r>
    </w:p>
    <w:p w:rsidRPr="00D173E4" w:rsidR="001631D6" w:rsidP="001631D6" w:rsidRDefault="001631D6" w14:paraId="265ABE8B" w14:textId="77777777">
      <w:pPr>
        <w:jc w:val="both"/>
        <w:rPr>
          <w:b/>
          <w:bCs/>
          <w:i/>
          <w:iCs/>
          <w:lang w:val="es-ES_tradnl"/>
        </w:rPr>
      </w:pPr>
    </w:p>
    <w:p w:rsidRPr="00D173E4" w:rsidR="001631D6" w:rsidP="001631D6" w:rsidRDefault="001631D6" w14:paraId="024CA4C1" w14:textId="77777777">
      <w:pPr>
        <w:jc w:val="both"/>
        <w:rPr>
          <w:b/>
          <w:bCs/>
          <w:i/>
          <w:iCs/>
          <w:lang w:val="es-ES_tradnl"/>
        </w:rPr>
      </w:pPr>
    </w:p>
    <w:p w:rsidRPr="00D173E4" w:rsidR="003E6BA6" w:rsidP="003E6BA6" w:rsidRDefault="003E6BA6" w14:paraId="7E9839D4" w14:textId="5DB01808">
      <w:pPr>
        <w:spacing w:line="360" w:lineRule="auto"/>
        <w:jc w:val="center"/>
        <w:rPr>
          <w:b/>
          <w:bCs/>
        </w:rPr>
      </w:pPr>
      <w:r w:rsidRPr="00D173E4">
        <w:rPr>
          <w:b/>
          <w:bCs/>
        </w:rPr>
        <w:t xml:space="preserve">María Eugenia Valdez Fernández Baca – </w:t>
      </w:r>
      <w:proofErr w:type="gramStart"/>
      <w:r w:rsidRPr="00D173E4">
        <w:rPr>
          <w:b/>
          <w:bCs/>
        </w:rPr>
        <w:t>Presidente</w:t>
      </w:r>
      <w:proofErr w:type="gramEnd"/>
    </w:p>
    <w:p w:rsidRPr="00D173E4" w:rsidR="001631D6" w:rsidP="001631D6" w:rsidRDefault="001631D6" w14:paraId="515933D0" w14:textId="5FD7ECBB">
      <w:pPr>
        <w:spacing w:line="360" w:lineRule="auto"/>
        <w:jc w:val="center"/>
        <w:rPr>
          <w:b/>
          <w:bCs/>
        </w:rPr>
      </w:pPr>
      <w:r w:rsidRPr="00D173E4">
        <w:rPr>
          <w:b/>
          <w:bCs/>
        </w:rPr>
        <w:t xml:space="preserve">Rolando Eyzaguirre </w:t>
      </w:r>
      <w:proofErr w:type="spellStart"/>
      <w:r w:rsidRPr="00D173E4">
        <w:rPr>
          <w:b/>
          <w:bCs/>
        </w:rPr>
        <w:t>Maccan</w:t>
      </w:r>
      <w:proofErr w:type="spellEnd"/>
      <w:r w:rsidRPr="00D173E4">
        <w:rPr>
          <w:b/>
          <w:bCs/>
        </w:rPr>
        <w:t xml:space="preserve"> – </w:t>
      </w:r>
      <w:r w:rsidRPr="00D173E4" w:rsidR="003E6BA6">
        <w:rPr>
          <w:b/>
          <w:bCs/>
        </w:rPr>
        <w:t>Vocal</w:t>
      </w:r>
    </w:p>
    <w:p w:rsidRPr="00D173E4" w:rsidR="001631D6" w:rsidP="001631D6" w:rsidRDefault="00807D21" w14:paraId="4B70DE1B" w14:textId="0A8BEEE9">
      <w:pPr>
        <w:spacing w:line="360" w:lineRule="auto"/>
        <w:jc w:val="center"/>
        <w:rPr>
          <w:b/>
          <w:bCs/>
        </w:rPr>
      </w:pPr>
      <w:r w:rsidRPr="00D173E4">
        <w:rPr>
          <w:b/>
          <w:bCs/>
        </w:rPr>
        <w:t>Omar Alfaro Villanueva</w:t>
      </w:r>
      <w:r w:rsidRPr="00D173E4" w:rsidR="001631D6">
        <w:rPr>
          <w:b/>
          <w:bCs/>
        </w:rPr>
        <w:t xml:space="preserve"> – Vocal</w:t>
      </w:r>
    </w:p>
    <w:p w:rsidRPr="0003324F" w:rsidR="001631D6" w:rsidP="001631D6" w:rsidRDefault="001631D6" w14:paraId="44059E74" w14:textId="77777777">
      <w:pPr>
        <w:spacing w:line="360" w:lineRule="auto"/>
        <w:jc w:val="center"/>
        <w:rPr>
          <w:lang w:val="es-MX"/>
        </w:rPr>
      </w:pPr>
      <w:r w:rsidRPr="0003324F">
        <w:rPr>
          <w:b/>
          <w:bCs/>
        </w:rPr>
        <w:t>Gonzalo Abad del Busto - Vocal</w:t>
      </w:r>
    </w:p>
    <w:p w:rsidRPr="0003324F" w:rsidR="001631D6" w:rsidP="00F15FBA" w:rsidRDefault="001631D6" w14:paraId="0DA96C46" w14:textId="77777777">
      <w:pPr>
        <w:jc w:val="both"/>
        <w:rPr>
          <w:lang w:val="es-PE"/>
        </w:rPr>
      </w:pPr>
    </w:p>
    <w:p w:rsidRPr="0003324F" w:rsidR="00F15FBA" w:rsidP="00F15FBA" w:rsidRDefault="00F15FBA" w14:paraId="22C77427" w14:textId="77777777"/>
    <w:p w:rsidRPr="0003324F" w:rsidR="00F15FBA" w:rsidP="00F15FBA" w:rsidRDefault="00F15FBA" w14:paraId="58BFC23A" w14:textId="77777777"/>
    <w:p w:rsidRPr="001631D6" w:rsidR="00517989" w:rsidRDefault="009A6A73" w14:paraId="164CAA9F" w14:textId="77777777"/>
    <w:sectPr w:rsidRPr="001631D6"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A00E6" w:rsidP="005F148C" w:rsidRDefault="007A00E6" w14:paraId="504DDC36" w14:textId="77777777">
      <w:r>
        <w:separator/>
      </w:r>
    </w:p>
  </w:endnote>
  <w:endnote w:type="continuationSeparator" w:id="0">
    <w:p w:rsidR="007A00E6" w:rsidP="005F148C" w:rsidRDefault="007A00E6" w14:paraId="3D691C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A00E6" w:rsidP="005F148C" w:rsidRDefault="007A00E6" w14:paraId="29947B43" w14:textId="77777777">
      <w:r>
        <w:separator/>
      </w:r>
    </w:p>
  </w:footnote>
  <w:footnote w:type="continuationSeparator" w:id="0">
    <w:p w:rsidR="007A00E6" w:rsidP="005F148C" w:rsidRDefault="007A00E6" w14:paraId="61C2A75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0000403"/>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2" w15:restartNumberingAfterBreak="0">
    <w:nsid w:val="00000404"/>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3" w15:restartNumberingAfterBreak="0">
    <w:nsid w:val="00000405"/>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4" w15:restartNumberingAfterBreak="0">
    <w:nsid w:val="00000406"/>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5" w15:restartNumberingAfterBreak="0">
    <w:nsid w:val="00000407"/>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6" w15:restartNumberingAfterBreak="0">
    <w:nsid w:val="00000408"/>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7" w15:restartNumberingAfterBreak="0">
    <w:nsid w:val="00000409"/>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8" w15:restartNumberingAfterBreak="0">
    <w:nsid w:val="0000040A"/>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9" w15:restartNumberingAfterBreak="0">
    <w:nsid w:val="0000040B"/>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0" w15:restartNumberingAfterBreak="0">
    <w:nsid w:val="0000040C"/>
    <w:multiLevelType w:val="multilevel"/>
    <w:tmpl w:val="FFFFFFFF"/>
    <w:lvl w:ilvl="0">
      <w:numFmt w:val="bullet"/>
      <w:lvlText w:val=""/>
      <w:lvlJc w:val="left"/>
      <w:pPr>
        <w:ind w:left="467" w:hanging="360"/>
      </w:pPr>
      <w:rPr>
        <w:rFonts w:ascii="Symbol" w:hAnsi="Symbol" w:cs="Symbol"/>
        <w:b w:val="0"/>
        <w:bCs w:val="0"/>
        <w:i w:val="0"/>
        <w:iCs w:val="0"/>
        <w:w w:val="100"/>
        <w:sz w:val="18"/>
        <w:szCs w:val="18"/>
      </w:rPr>
    </w:lvl>
    <w:lvl w:ilvl="1">
      <w:numFmt w:val="bullet"/>
      <w:lvlText w:val="•"/>
      <w:lvlJc w:val="left"/>
      <w:pPr>
        <w:ind w:left="910" w:hanging="360"/>
      </w:pPr>
    </w:lvl>
    <w:lvl w:ilvl="2">
      <w:numFmt w:val="bullet"/>
      <w:lvlText w:val="•"/>
      <w:lvlJc w:val="left"/>
      <w:pPr>
        <w:ind w:left="1361" w:hanging="360"/>
      </w:pPr>
    </w:lvl>
    <w:lvl w:ilvl="3">
      <w:numFmt w:val="bullet"/>
      <w:lvlText w:val="•"/>
      <w:lvlJc w:val="left"/>
      <w:pPr>
        <w:ind w:left="1811" w:hanging="360"/>
      </w:pPr>
    </w:lvl>
    <w:lvl w:ilvl="4">
      <w:numFmt w:val="bullet"/>
      <w:lvlText w:val="•"/>
      <w:lvlJc w:val="left"/>
      <w:pPr>
        <w:ind w:left="2262" w:hanging="360"/>
      </w:pPr>
    </w:lvl>
    <w:lvl w:ilvl="5">
      <w:numFmt w:val="bullet"/>
      <w:lvlText w:val="•"/>
      <w:lvlJc w:val="left"/>
      <w:pPr>
        <w:ind w:left="2713" w:hanging="360"/>
      </w:pPr>
    </w:lvl>
    <w:lvl w:ilvl="6">
      <w:numFmt w:val="bullet"/>
      <w:lvlText w:val="•"/>
      <w:lvlJc w:val="left"/>
      <w:pPr>
        <w:ind w:left="3163" w:hanging="360"/>
      </w:pPr>
    </w:lvl>
    <w:lvl w:ilvl="7">
      <w:numFmt w:val="bullet"/>
      <w:lvlText w:val="•"/>
      <w:lvlJc w:val="left"/>
      <w:pPr>
        <w:ind w:left="3614" w:hanging="360"/>
      </w:pPr>
    </w:lvl>
    <w:lvl w:ilvl="8">
      <w:numFmt w:val="bullet"/>
      <w:lvlText w:val="•"/>
      <w:lvlJc w:val="left"/>
      <w:pPr>
        <w:ind w:left="4064" w:hanging="360"/>
      </w:pPr>
    </w:lvl>
  </w:abstractNum>
  <w:abstractNum w:abstractNumId="11" w15:restartNumberingAfterBreak="0">
    <w:nsid w:val="06EC427C"/>
    <w:multiLevelType w:val="hybridMultilevel"/>
    <w:tmpl w:val="F94C7F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3"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4" w15:restartNumberingAfterBreak="0">
    <w:nsid w:val="12BD1C59"/>
    <w:multiLevelType w:val="hybridMultilevel"/>
    <w:tmpl w:val="CA5A582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156872A7"/>
    <w:multiLevelType w:val="hybridMultilevel"/>
    <w:tmpl w:val="631A53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2593AA7"/>
    <w:multiLevelType w:val="hybridMultilevel"/>
    <w:tmpl w:val="EB14E3DA"/>
    <w:lvl w:ilvl="0" w:tplc="535681C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9" w15:restartNumberingAfterBreak="0">
    <w:nsid w:val="58033AA6"/>
    <w:multiLevelType w:val="hybridMultilevel"/>
    <w:tmpl w:val="321A6DE8"/>
    <w:lvl w:ilvl="0" w:tplc="F244D342">
      <w:numFmt w:val="bullet"/>
      <w:lvlText w:val="-"/>
      <w:lvlJc w:val="left"/>
      <w:pPr>
        <w:ind w:left="1034" w:hanging="360"/>
      </w:pPr>
      <w:rPr>
        <w:rFonts w:hint="default" w:ascii="Georgia" w:hAnsi="Georgia" w:eastAsia="Times New Roman" w:cs="Arial"/>
      </w:rPr>
    </w:lvl>
    <w:lvl w:ilvl="1" w:tplc="280A0003">
      <w:start w:val="1"/>
      <w:numFmt w:val="bullet"/>
      <w:lvlText w:val="o"/>
      <w:lvlJc w:val="left"/>
      <w:pPr>
        <w:ind w:left="1754" w:hanging="360"/>
      </w:pPr>
      <w:rPr>
        <w:rFonts w:hint="default" w:ascii="Courier New" w:hAnsi="Courier New" w:cs="Courier New"/>
      </w:rPr>
    </w:lvl>
    <w:lvl w:ilvl="2" w:tplc="280A0005">
      <w:start w:val="1"/>
      <w:numFmt w:val="bullet"/>
      <w:lvlText w:val=""/>
      <w:lvlJc w:val="left"/>
      <w:pPr>
        <w:ind w:left="2474" w:hanging="360"/>
      </w:pPr>
      <w:rPr>
        <w:rFonts w:hint="default" w:ascii="Wingdings" w:hAnsi="Wingdings"/>
      </w:rPr>
    </w:lvl>
    <w:lvl w:ilvl="3" w:tplc="280A0001">
      <w:start w:val="1"/>
      <w:numFmt w:val="bullet"/>
      <w:lvlText w:val=""/>
      <w:lvlJc w:val="left"/>
      <w:pPr>
        <w:ind w:left="3194" w:hanging="360"/>
      </w:pPr>
      <w:rPr>
        <w:rFonts w:hint="default" w:ascii="Symbol" w:hAnsi="Symbol"/>
      </w:rPr>
    </w:lvl>
    <w:lvl w:ilvl="4" w:tplc="280A0003">
      <w:start w:val="1"/>
      <w:numFmt w:val="bullet"/>
      <w:lvlText w:val="o"/>
      <w:lvlJc w:val="left"/>
      <w:pPr>
        <w:ind w:left="3914" w:hanging="360"/>
      </w:pPr>
      <w:rPr>
        <w:rFonts w:hint="default" w:ascii="Courier New" w:hAnsi="Courier New" w:cs="Courier New"/>
      </w:rPr>
    </w:lvl>
    <w:lvl w:ilvl="5" w:tplc="280A0005">
      <w:start w:val="1"/>
      <w:numFmt w:val="bullet"/>
      <w:lvlText w:val=""/>
      <w:lvlJc w:val="left"/>
      <w:pPr>
        <w:ind w:left="4634" w:hanging="360"/>
      </w:pPr>
      <w:rPr>
        <w:rFonts w:hint="default" w:ascii="Wingdings" w:hAnsi="Wingdings"/>
      </w:rPr>
    </w:lvl>
    <w:lvl w:ilvl="6" w:tplc="280A0001">
      <w:start w:val="1"/>
      <w:numFmt w:val="bullet"/>
      <w:lvlText w:val=""/>
      <w:lvlJc w:val="left"/>
      <w:pPr>
        <w:ind w:left="5354" w:hanging="360"/>
      </w:pPr>
      <w:rPr>
        <w:rFonts w:hint="default" w:ascii="Symbol" w:hAnsi="Symbol"/>
      </w:rPr>
    </w:lvl>
    <w:lvl w:ilvl="7" w:tplc="280A0003">
      <w:start w:val="1"/>
      <w:numFmt w:val="bullet"/>
      <w:lvlText w:val="o"/>
      <w:lvlJc w:val="left"/>
      <w:pPr>
        <w:ind w:left="6074" w:hanging="360"/>
      </w:pPr>
      <w:rPr>
        <w:rFonts w:hint="default" w:ascii="Courier New" w:hAnsi="Courier New" w:cs="Courier New"/>
      </w:rPr>
    </w:lvl>
    <w:lvl w:ilvl="8" w:tplc="280A0005">
      <w:start w:val="1"/>
      <w:numFmt w:val="bullet"/>
      <w:lvlText w:val=""/>
      <w:lvlJc w:val="left"/>
      <w:pPr>
        <w:ind w:left="6794" w:hanging="360"/>
      </w:pPr>
      <w:rPr>
        <w:rFonts w:hint="default" w:ascii="Wingdings" w:hAnsi="Wingdings"/>
      </w:rPr>
    </w:lvl>
  </w:abstractNum>
  <w:abstractNum w:abstractNumId="20"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D2854A0"/>
    <w:multiLevelType w:val="hybridMultilevel"/>
    <w:tmpl w:val="F7B8D0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42CBA"/>
    <w:multiLevelType w:val="hybridMultilevel"/>
    <w:tmpl w:val="20F258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49002CD"/>
    <w:multiLevelType w:val="hybridMultilevel"/>
    <w:tmpl w:val="D11A7F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67133809">
    <w:abstractNumId w:val="13"/>
  </w:num>
  <w:num w:numId="2" w16cid:durableId="484517491">
    <w:abstractNumId w:val="18"/>
  </w:num>
  <w:num w:numId="3" w16cid:durableId="818159359">
    <w:abstractNumId w:val="17"/>
  </w:num>
  <w:num w:numId="4" w16cid:durableId="1722173265">
    <w:abstractNumId w:val="20"/>
  </w:num>
  <w:num w:numId="5" w16cid:durableId="1766068613">
    <w:abstractNumId w:val="0"/>
  </w:num>
  <w:num w:numId="6" w16cid:durableId="572667823">
    <w:abstractNumId w:val="1"/>
  </w:num>
  <w:num w:numId="7" w16cid:durableId="512308877">
    <w:abstractNumId w:val="2"/>
  </w:num>
  <w:num w:numId="8" w16cid:durableId="1733044142">
    <w:abstractNumId w:val="3"/>
  </w:num>
  <w:num w:numId="9" w16cid:durableId="889026913">
    <w:abstractNumId w:val="4"/>
  </w:num>
  <w:num w:numId="10" w16cid:durableId="343753388">
    <w:abstractNumId w:val="5"/>
  </w:num>
  <w:num w:numId="11" w16cid:durableId="1153640589">
    <w:abstractNumId w:val="6"/>
  </w:num>
  <w:num w:numId="12" w16cid:durableId="207836420">
    <w:abstractNumId w:val="7"/>
  </w:num>
  <w:num w:numId="13" w16cid:durableId="1390223559">
    <w:abstractNumId w:val="8"/>
  </w:num>
  <w:num w:numId="14" w16cid:durableId="1970092302">
    <w:abstractNumId w:val="9"/>
  </w:num>
  <w:num w:numId="15" w16cid:durableId="58476609">
    <w:abstractNumId w:val="10"/>
  </w:num>
  <w:num w:numId="16" w16cid:durableId="980884500">
    <w:abstractNumId w:val="19"/>
  </w:num>
  <w:num w:numId="17" w16cid:durableId="9850891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6021360">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180605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51099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321732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30129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712623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01350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526"/>
    <w:rsid w:val="0003324F"/>
    <w:rsid w:val="00035695"/>
    <w:rsid w:val="00035CCC"/>
    <w:rsid w:val="00074CB3"/>
    <w:rsid w:val="00084E51"/>
    <w:rsid w:val="00094DDA"/>
    <w:rsid w:val="000D2700"/>
    <w:rsid w:val="00103188"/>
    <w:rsid w:val="00121D19"/>
    <w:rsid w:val="00131FAD"/>
    <w:rsid w:val="00140C67"/>
    <w:rsid w:val="001631D6"/>
    <w:rsid w:val="00173975"/>
    <w:rsid w:val="00195646"/>
    <w:rsid w:val="001A3593"/>
    <w:rsid w:val="001B6607"/>
    <w:rsid w:val="001C2B16"/>
    <w:rsid w:val="001C5BFF"/>
    <w:rsid w:val="001D01FD"/>
    <w:rsid w:val="001E1429"/>
    <w:rsid w:val="001E6B7D"/>
    <w:rsid w:val="001F004E"/>
    <w:rsid w:val="0020442B"/>
    <w:rsid w:val="00233ED8"/>
    <w:rsid w:val="002370F4"/>
    <w:rsid w:val="00281026"/>
    <w:rsid w:val="0029474B"/>
    <w:rsid w:val="002A2188"/>
    <w:rsid w:val="002B14D5"/>
    <w:rsid w:val="002C30A0"/>
    <w:rsid w:val="002E35A4"/>
    <w:rsid w:val="002E708C"/>
    <w:rsid w:val="002E730D"/>
    <w:rsid w:val="00316A1B"/>
    <w:rsid w:val="0032570B"/>
    <w:rsid w:val="00377B6C"/>
    <w:rsid w:val="003977C8"/>
    <w:rsid w:val="003B46E3"/>
    <w:rsid w:val="003B4770"/>
    <w:rsid w:val="003B5737"/>
    <w:rsid w:val="003E6BA6"/>
    <w:rsid w:val="00417664"/>
    <w:rsid w:val="00417E23"/>
    <w:rsid w:val="00440C04"/>
    <w:rsid w:val="00444D29"/>
    <w:rsid w:val="00467825"/>
    <w:rsid w:val="00477D05"/>
    <w:rsid w:val="004854D9"/>
    <w:rsid w:val="004856B2"/>
    <w:rsid w:val="004C5624"/>
    <w:rsid w:val="004C6A2A"/>
    <w:rsid w:val="004E50D6"/>
    <w:rsid w:val="00516549"/>
    <w:rsid w:val="00531FBE"/>
    <w:rsid w:val="0058358B"/>
    <w:rsid w:val="005C5922"/>
    <w:rsid w:val="005C7583"/>
    <w:rsid w:val="005D1456"/>
    <w:rsid w:val="005E53F7"/>
    <w:rsid w:val="005F1349"/>
    <w:rsid w:val="005F148C"/>
    <w:rsid w:val="00647AEE"/>
    <w:rsid w:val="00651449"/>
    <w:rsid w:val="0069382D"/>
    <w:rsid w:val="00694105"/>
    <w:rsid w:val="006A1077"/>
    <w:rsid w:val="006D33B8"/>
    <w:rsid w:val="007224F7"/>
    <w:rsid w:val="00732DCE"/>
    <w:rsid w:val="00734447"/>
    <w:rsid w:val="00742D07"/>
    <w:rsid w:val="007474DB"/>
    <w:rsid w:val="00782489"/>
    <w:rsid w:val="00793F6A"/>
    <w:rsid w:val="0079416E"/>
    <w:rsid w:val="007A00E6"/>
    <w:rsid w:val="007B49ED"/>
    <w:rsid w:val="007C032D"/>
    <w:rsid w:val="007C2FC5"/>
    <w:rsid w:val="007C3730"/>
    <w:rsid w:val="007D353F"/>
    <w:rsid w:val="00807D21"/>
    <w:rsid w:val="00834DFE"/>
    <w:rsid w:val="00835D6A"/>
    <w:rsid w:val="00864800"/>
    <w:rsid w:val="00865B73"/>
    <w:rsid w:val="008872DD"/>
    <w:rsid w:val="00892A1F"/>
    <w:rsid w:val="008930FB"/>
    <w:rsid w:val="00895FF5"/>
    <w:rsid w:val="008A1DAB"/>
    <w:rsid w:val="008A67AB"/>
    <w:rsid w:val="008D0547"/>
    <w:rsid w:val="00916C04"/>
    <w:rsid w:val="0092266A"/>
    <w:rsid w:val="00934888"/>
    <w:rsid w:val="00972C37"/>
    <w:rsid w:val="009767BB"/>
    <w:rsid w:val="00977F56"/>
    <w:rsid w:val="009A7580"/>
    <w:rsid w:val="009B3934"/>
    <w:rsid w:val="009C28AE"/>
    <w:rsid w:val="009C4A1C"/>
    <w:rsid w:val="009E0BD4"/>
    <w:rsid w:val="009E254D"/>
    <w:rsid w:val="00A14315"/>
    <w:rsid w:val="00A223FC"/>
    <w:rsid w:val="00A22F39"/>
    <w:rsid w:val="00A80BAD"/>
    <w:rsid w:val="00AC4C0C"/>
    <w:rsid w:val="00AC68FA"/>
    <w:rsid w:val="00AC7D5A"/>
    <w:rsid w:val="00AE33DC"/>
    <w:rsid w:val="00AE40BA"/>
    <w:rsid w:val="00B04114"/>
    <w:rsid w:val="00B60E25"/>
    <w:rsid w:val="00B773DA"/>
    <w:rsid w:val="00B84F66"/>
    <w:rsid w:val="00BA6133"/>
    <w:rsid w:val="00BC6134"/>
    <w:rsid w:val="00BC633A"/>
    <w:rsid w:val="00BD063F"/>
    <w:rsid w:val="00BD5FD0"/>
    <w:rsid w:val="00C11655"/>
    <w:rsid w:val="00C21994"/>
    <w:rsid w:val="00C4515B"/>
    <w:rsid w:val="00C61136"/>
    <w:rsid w:val="00C85630"/>
    <w:rsid w:val="00C950B9"/>
    <w:rsid w:val="00CA4FD6"/>
    <w:rsid w:val="00CA72E7"/>
    <w:rsid w:val="00CA7EDF"/>
    <w:rsid w:val="00CB0E23"/>
    <w:rsid w:val="00CB451A"/>
    <w:rsid w:val="00CB7C37"/>
    <w:rsid w:val="00CD1BD2"/>
    <w:rsid w:val="00CF3742"/>
    <w:rsid w:val="00D01DEB"/>
    <w:rsid w:val="00D128FF"/>
    <w:rsid w:val="00D15C1E"/>
    <w:rsid w:val="00D173E4"/>
    <w:rsid w:val="00D56839"/>
    <w:rsid w:val="00D86E87"/>
    <w:rsid w:val="00D9006E"/>
    <w:rsid w:val="00E635A2"/>
    <w:rsid w:val="00E77C5B"/>
    <w:rsid w:val="00E908BC"/>
    <w:rsid w:val="00EF4FF0"/>
    <w:rsid w:val="00F029DD"/>
    <w:rsid w:val="00F1075C"/>
    <w:rsid w:val="00F15FBA"/>
    <w:rsid w:val="00F202DC"/>
    <w:rsid w:val="00F42DC6"/>
    <w:rsid w:val="00F465F7"/>
    <w:rsid w:val="00F71D17"/>
    <w:rsid w:val="00F74CF0"/>
    <w:rsid w:val="00F84148"/>
    <w:rsid w:val="00F842A1"/>
    <w:rsid w:val="00F97A17"/>
    <w:rsid w:val="00FA3CBA"/>
    <w:rsid w:val="027319EA"/>
    <w:rsid w:val="3CB2F775"/>
    <w:rsid w:val="3DB7A00D"/>
    <w:rsid w:val="506E21D2"/>
    <w:rsid w:val="57A67F24"/>
    <w:rsid w:val="68C809F7"/>
    <w:rsid w:val="76A13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semiHidden/>
    <w:unhideWhenUsed/>
    <w:rsid w:val="00C61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04CA9FE-5786-473C-B06F-403D4014C5E4}"/>
</file>

<file path=customXml/itemProps3.xml><?xml version="1.0" encoding="utf-8"?>
<ds:datastoreItem xmlns:ds="http://schemas.openxmlformats.org/officeDocument/2006/customXml" ds:itemID="{560C7CA8-778C-48DD-B5C7-0F521A71D201}"/>
</file>

<file path=customXml/itemProps4.xml><?xml version="1.0" encoding="utf-8"?>
<ds:datastoreItem xmlns:ds="http://schemas.openxmlformats.org/officeDocument/2006/customXml" ds:itemID="{9C89AE39-09C5-44FC-89FE-B0E2F8B8D85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cp:revision>
  <cp:lastPrinted>2023-02-14T15:04:00Z</cp:lastPrinted>
  <dcterms:created xsi:type="dcterms:W3CDTF">2020-12-18T20:09:00Z</dcterms:created>
  <dcterms:modified xsi:type="dcterms:W3CDTF">2025-05-19T14:17:01Z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