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F95AF9" w:rsidR="000341A4" w:rsidP="000341A4" w:rsidRDefault="000341A4" w14:paraId="6752CB7C" w14:textId="77777777">
      <w:pPr>
        <w:pStyle w:val="Puesto"/>
        <w:tabs>
          <w:tab w:val="left" w:pos="2730"/>
          <w:tab w:val="center" w:pos="4419"/>
        </w:tabs>
        <w:outlineLvl w:val="0"/>
        <w:rPr>
          <w:rStyle w:val="Textoennegrita"/>
        </w:rPr>
      </w:pPr>
    </w:p>
    <w:p w:rsidRPr="00F95AF9" w:rsidR="000341A4" w:rsidP="000341A4" w:rsidRDefault="000341A4" w14:paraId="56329F19" w14:textId="77777777">
      <w:pPr>
        <w:pStyle w:val="Puesto"/>
        <w:tabs>
          <w:tab w:val="left" w:pos="2730"/>
          <w:tab w:val="center" w:pos="4419"/>
        </w:tabs>
        <w:outlineLvl w:val="0"/>
        <w:rPr>
          <w:rStyle w:val="Textoennegrita"/>
          <w:b/>
          <w:bCs/>
          <w:lang w:val="es-ES"/>
        </w:rPr>
      </w:pPr>
    </w:p>
    <w:p w:rsidR="00B57BD9" w:rsidP="00F95AF9" w:rsidRDefault="00D00142" w14:paraId="4F80350E" w14:textId="2DF9D637">
      <w:pPr>
        <w:pStyle w:val="Puesto"/>
        <w:tabs>
          <w:tab w:val="left" w:pos="2730"/>
          <w:tab w:val="center" w:pos="4419"/>
        </w:tabs>
        <w:outlineLvl w:val="0"/>
        <w:rPr>
          <w:rStyle w:val="Textoennegrita"/>
          <w:b/>
          <w:bCs/>
          <w:lang w:val="es-ES"/>
        </w:rPr>
      </w:pPr>
      <w:r w:rsidRPr="00F95AF9">
        <w:rPr>
          <w:rStyle w:val="Textoennegrita"/>
          <w:b/>
          <w:bCs/>
          <w:lang w:val="es-ES"/>
        </w:rPr>
        <w:t>RESOLUCION N°</w:t>
      </w:r>
      <w:r w:rsidRPr="00F95AF9" w:rsidR="000341A4">
        <w:rPr>
          <w:rStyle w:val="Textoennegrita"/>
          <w:b/>
          <w:bCs/>
          <w:lang w:val="es-ES"/>
        </w:rPr>
        <w:t xml:space="preserve"> </w:t>
      </w:r>
      <w:r w:rsidRPr="00F95AF9" w:rsidR="006C6213">
        <w:rPr>
          <w:rStyle w:val="Textoennegrita"/>
          <w:b/>
          <w:bCs/>
          <w:lang w:val="es-ES"/>
        </w:rPr>
        <w:t>0</w:t>
      </w:r>
      <w:r w:rsidRPr="00F95AF9" w:rsidR="00ED5195">
        <w:rPr>
          <w:rStyle w:val="Textoennegrita"/>
          <w:b/>
          <w:bCs/>
          <w:lang w:val="es-ES"/>
        </w:rPr>
        <w:t>30</w:t>
      </w:r>
      <w:r w:rsidRPr="00F95AF9">
        <w:rPr>
          <w:rStyle w:val="Textoennegrita"/>
          <w:b/>
          <w:bCs/>
          <w:lang w:val="es-ES"/>
        </w:rPr>
        <w:t>/2</w:t>
      </w:r>
      <w:r w:rsidRPr="00F95AF9" w:rsidR="006C6213">
        <w:rPr>
          <w:rStyle w:val="Textoennegrita"/>
          <w:b/>
          <w:bCs/>
          <w:lang w:val="es-ES"/>
        </w:rPr>
        <w:t>3</w:t>
      </w:r>
    </w:p>
    <w:p w:rsidRPr="00F95AF9" w:rsidR="00F95AF9" w:rsidP="00F95AF9" w:rsidRDefault="00F95AF9" w14:paraId="649BD19F" w14:textId="77777777">
      <w:pPr>
        <w:pStyle w:val="Puesto"/>
        <w:tabs>
          <w:tab w:val="left" w:pos="2730"/>
          <w:tab w:val="center" w:pos="4419"/>
        </w:tabs>
        <w:outlineLvl w:val="0"/>
        <w:rPr>
          <w:rStyle w:val="Textoennegrita"/>
        </w:rPr>
      </w:pPr>
    </w:p>
    <w:p w:rsidRPr="00F95AF9" w:rsidR="00B57BD9" w:rsidP="00B57BD9" w:rsidRDefault="00B57BD9" w14:paraId="04802F0F" w14:textId="77777777">
      <w:pPr>
        <w:jc w:val="both"/>
        <w:rPr>
          <w:rFonts w:ascii="Times New Roman" w:hAnsi="Times New Roman"/>
          <w:sz w:val="24"/>
          <w:szCs w:val="24"/>
        </w:rPr>
      </w:pPr>
      <w:r w:rsidRPr="00F95AF9">
        <w:rPr>
          <w:rStyle w:val="Textoennegrita"/>
          <w:rFonts w:ascii="Times New Roman" w:hAnsi="Times New Roman"/>
          <w:sz w:val="24"/>
          <w:szCs w:val="24"/>
        </w:rPr>
        <w:t>VISTOS:</w:t>
      </w:r>
    </w:p>
    <w:p w:rsidRPr="00F95AF9" w:rsidR="00B57BD9" w:rsidP="00B57BD9" w:rsidRDefault="00B57BD9" w14:paraId="63C56810" w14:textId="51A411D7">
      <w:pPr>
        <w:jc w:val="both"/>
        <w:rPr>
          <w:rFonts w:ascii="Times New Roman" w:hAnsi="Times New Roman"/>
          <w:sz w:val="24"/>
          <w:szCs w:val="24"/>
        </w:rPr>
      </w:pPr>
      <w:r w:rsidRPr="3AEB93DD" w:rsidR="00B57BD9">
        <w:rPr>
          <w:rFonts w:ascii="Times New Roman" w:hAnsi="Times New Roman"/>
          <w:sz w:val="24"/>
          <w:szCs w:val="24"/>
        </w:rPr>
        <w:t xml:space="preserve">Que, don </w:t>
      </w:r>
      <w:r w:rsidRPr="3AEB93DD" w:rsidR="4192DDF0">
        <w:rPr>
          <w:rFonts w:ascii="Times New Roman" w:hAnsi="Times New Roman"/>
          <w:b w:val="1"/>
          <w:bCs w:val="1"/>
          <w:sz w:val="24"/>
          <w:szCs w:val="24"/>
        </w:rPr>
        <w:t>....................................................................</w:t>
      </w:r>
      <w:r w:rsidRPr="3AEB93DD" w:rsidR="00B57BD9">
        <w:rPr>
          <w:rFonts w:ascii="Times New Roman" w:hAnsi="Times New Roman"/>
          <w:b w:val="1"/>
          <w:bCs w:val="1"/>
          <w:sz w:val="24"/>
          <w:szCs w:val="24"/>
        </w:rPr>
        <w:t xml:space="preserve"> </w:t>
      </w:r>
      <w:r w:rsidRPr="3AEB93DD" w:rsidR="00B57BD9">
        <w:rPr>
          <w:rFonts w:ascii="Times New Roman" w:hAnsi="Times New Roman"/>
          <w:sz w:val="24"/>
          <w:szCs w:val="24"/>
        </w:rPr>
        <w:t xml:space="preserve">(en adelante, el reclamante) interpone reclamación ante esta Defensoría del Asegurado (DEFASEG), solicitando que </w:t>
      </w:r>
      <w:r w:rsidRPr="3AEB93DD" w:rsidR="4EDD5F17">
        <w:rPr>
          <w:rFonts w:ascii="Times New Roman" w:hAnsi="Times New Roman"/>
          <w:b w:val="1"/>
          <w:bCs w:val="1"/>
          <w:sz w:val="24"/>
          <w:szCs w:val="24"/>
        </w:rPr>
        <w:t>......................................................................</w:t>
      </w:r>
      <w:r w:rsidRPr="3AEB93DD" w:rsidR="00B57BD9">
        <w:rPr>
          <w:rFonts w:ascii="Times New Roman" w:hAnsi="Times New Roman"/>
          <w:b w:val="1"/>
          <w:bCs w:val="1"/>
          <w:sz w:val="24"/>
          <w:szCs w:val="24"/>
        </w:rPr>
        <w:t xml:space="preserve">. </w:t>
      </w:r>
      <w:r w:rsidRPr="3AEB93DD" w:rsidR="00B57BD9">
        <w:rPr>
          <w:rFonts w:ascii="Times New Roman" w:hAnsi="Times New Roman"/>
          <w:sz w:val="24"/>
          <w:szCs w:val="24"/>
        </w:rPr>
        <w:t>(en adelante, la aseguradora)</w:t>
      </w:r>
      <w:r w:rsidRPr="3AEB93DD" w:rsidR="00B57BD9">
        <w:rPr>
          <w:rFonts w:ascii="Times New Roman" w:hAnsi="Times New Roman"/>
          <w:b w:val="1"/>
          <w:bCs w:val="1"/>
          <w:sz w:val="24"/>
          <w:szCs w:val="24"/>
        </w:rPr>
        <w:t xml:space="preserve"> </w:t>
      </w:r>
      <w:r w:rsidRPr="3AEB93DD" w:rsidR="00B57BD9">
        <w:rPr>
          <w:rFonts w:ascii="Times New Roman" w:hAnsi="Times New Roman"/>
          <w:sz w:val="24"/>
          <w:szCs w:val="24"/>
        </w:rPr>
        <w:t xml:space="preserve">otorgue cobertura del Seguro de Protección de Tarjetas BBVA </w:t>
      </w:r>
      <w:r w:rsidRPr="3AEB93DD" w:rsidR="00B57BD9">
        <w:rPr>
          <w:rFonts w:ascii="Times New Roman" w:hAnsi="Times New Roman"/>
          <w:sz w:val="24"/>
          <w:szCs w:val="24"/>
        </w:rPr>
        <w:t>Dólares</w:t>
      </w:r>
      <w:r w:rsidRPr="3AEB93DD" w:rsidR="00B57BD9">
        <w:rPr>
          <w:rFonts w:ascii="Times New Roman" w:hAnsi="Times New Roman"/>
          <w:sz w:val="24"/>
          <w:szCs w:val="24"/>
        </w:rPr>
        <w:t xml:space="preserve"> de Póliza </w:t>
      </w:r>
      <w:r w:rsidRPr="3AEB93DD" w:rsidR="75AA806A">
        <w:rPr>
          <w:rFonts w:ascii="Times New Roman" w:hAnsi="Times New Roman"/>
          <w:sz w:val="24"/>
          <w:szCs w:val="24"/>
        </w:rPr>
        <w:t>..........................</w:t>
      </w:r>
      <w:r w:rsidRPr="3AEB93DD" w:rsidR="00B57BD9">
        <w:rPr>
          <w:rFonts w:ascii="Times New Roman" w:hAnsi="Times New Roman"/>
          <w:sz w:val="24"/>
          <w:szCs w:val="24"/>
        </w:rPr>
        <w:t xml:space="preserve"> (en adelante, la póliza) por concepto de la sustracción de dinero de sus cuentas, mediante la modalidad de </w:t>
      </w:r>
      <w:r w:rsidRPr="3AEB93DD" w:rsidR="00B57BD9">
        <w:rPr>
          <w:rFonts w:ascii="Times New Roman" w:hAnsi="Times New Roman"/>
          <w:i w:val="1"/>
          <w:iCs w:val="1"/>
          <w:sz w:val="24"/>
          <w:szCs w:val="24"/>
        </w:rPr>
        <w:t>uso indebido por compra fraudulenta vía internet (medios digitales)</w:t>
      </w:r>
      <w:r w:rsidRPr="3AEB93DD" w:rsidR="00B57BD9">
        <w:rPr>
          <w:rFonts w:ascii="Times New Roman" w:hAnsi="Times New Roman"/>
          <w:sz w:val="24"/>
          <w:szCs w:val="24"/>
        </w:rPr>
        <w:t>.</w:t>
      </w:r>
    </w:p>
    <w:p w:rsidRPr="00F95AF9" w:rsidR="00B57BD9" w:rsidP="00B57BD9" w:rsidRDefault="00B57BD9" w14:paraId="5F2C5F33" w14:textId="77777777">
      <w:pPr>
        <w:jc w:val="both"/>
        <w:rPr>
          <w:rFonts w:ascii="Times New Roman" w:hAnsi="Times New Roman" w:eastAsia="Arial Unicode MS"/>
          <w:sz w:val="24"/>
          <w:szCs w:val="24"/>
        </w:rPr>
      </w:pPr>
      <w:r w:rsidRPr="00F95AF9">
        <w:rPr>
          <w:rFonts w:ascii="Times New Roman" w:hAnsi="Times New Roman" w:eastAsia="Arial Unicode MS"/>
          <w:sz w:val="24"/>
          <w:szCs w:val="24"/>
        </w:rPr>
        <w:t>Que, la señalada reclamación cumple con los requisitos de materia, cuantía y oportunidad establecidos en el Reglamento de la DEFASEG (http://www.defaseg.com.pe/reglamento);</w:t>
      </w:r>
    </w:p>
    <w:p w:rsidRPr="00F95AF9" w:rsidR="00B57BD9" w:rsidP="00B57BD9" w:rsidRDefault="00B57BD9" w14:paraId="5C64E059" w14:textId="7FDA7B1C">
      <w:pPr>
        <w:tabs>
          <w:tab w:val="num" w:pos="720"/>
        </w:tabs>
        <w:jc w:val="both"/>
        <w:rPr>
          <w:rFonts w:ascii="Times New Roman" w:hAnsi="Times New Roman"/>
          <w:sz w:val="24"/>
          <w:szCs w:val="24"/>
        </w:rPr>
      </w:pPr>
      <w:r w:rsidRPr="00F95AF9">
        <w:rPr>
          <w:rFonts w:ascii="Times New Roman" w:hAnsi="Times New Roman"/>
          <w:sz w:val="24"/>
          <w:szCs w:val="24"/>
        </w:rPr>
        <w:t>Que, habiéndosele corrido traslado de la respectiva reclamación, la aseguradora presentó sus respectivos descargos y la documentación solicitada;</w:t>
      </w:r>
    </w:p>
    <w:p w:rsidRPr="00F95AF9" w:rsidR="003C0596" w:rsidP="003C0596" w:rsidRDefault="003C0596" w14:paraId="7BB1CF2A" w14:textId="0853A30A">
      <w:pPr>
        <w:tabs>
          <w:tab w:val="num" w:pos="720"/>
        </w:tabs>
        <w:spacing w:after="0"/>
        <w:jc w:val="both"/>
        <w:rPr>
          <w:rFonts w:ascii="Times New Roman" w:hAnsi="Times New Roman"/>
          <w:sz w:val="24"/>
          <w:szCs w:val="24"/>
        </w:rPr>
      </w:pPr>
      <w:r w:rsidRPr="00F95AF9">
        <w:rPr>
          <w:rFonts w:ascii="Times New Roman" w:hAnsi="Times New Roman"/>
          <w:sz w:val="24"/>
          <w:szCs w:val="24"/>
        </w:rPr>
        <w:t>Que, conforme al Reglamento de la DEFASEG, atendiendo a la cuantía de la reclamación interpuesta, la misma que no supera el importe de US$ 3,000 (o su equivalente en moneda nacional), aquélla pueda ser resuelta por un órgano resolutivo unipersonal, en el presente caso, a cargo del vocal que suscribe;</w:t>
      </w:r>
    </w:p>
    <w:p w:rsidRPr="00F95AF9" w:rsidR="003C0596" w:rsidP="003C0596" w:rsidRDefault="003C0596" w14:paraId="0BA26DDC" w14:textId="77777777">
      <w:pPr>
        <w:tabs>
          <w:tab w:val="num" w:pos="720"/>
        </w:tabs>
        <w:spacing w:after="0"/>
        <w:jc w:val="both"/>
        <w:rPr>
          <w:rFonts w:ascii="Times New Roman" w:hAnsi="Times New Roman"/>
          <w:sz w:val="24"/>
          <w:szCs w:val="24"/>
        </w:rPr>
      </w:pPr>
    </w:p>
    <w:p w:rsidRPr="00F95AF9" w:rsidR="00B57BD9" w:rsidP="00B57BD9" w:rsidRDefault="00B57BD9" w14:paraId="7F4A0B9D" w14:textId="77777777">
      <w:pPr>
        <w:tabs>
          <w:tab w:val="num" w:pos="720"/>
        </w:tabs>
        <w:jc w:val="both"/>
        <w:rPr>
          <w:rFonts w:ascii="Times New Roman" w:hAnsi="Times New Roman"/>
          <w:sz w:val="24"/>
          <w:szCs w:val="24"/>
        </w:rPr>
      </w:pPr>
      <w:r w:rsidRPr="00F95AF9">
        <w:rPr>
          <w:rFonts w:ascii="Times New Roman" w:hAnsi="Times New Roman"/>
          <w:sz w:val="24"/>
          <w:szCs w:val="24"/>
        </w:rPr>
        <w:t>Que, el 07 de noviembre de 2022 se realizó la audiencia virtual de vista con la concurrencia del reclamante. Al respecto, en el Acta emitida con ocasión de la referida audiencia virtual, se deja constancia de que la aseguradora no asistió, pese a estar debidamente notificada para tal efecto;</w:t>
      </w:r>
    </w:p>
    <w:p w:rsidRPr="00F95AF9" w:rsidR="00B57BD9" w:rsidP="00B57BD9" w:rsidRDefault="00B57BD9" w14:paraId="3230F4B8" w14:textId="77777777">
      <w:pPr>
        <w:jc w:val="both"/>
        <w:rPr>
          <w:rFonts w:ascii="Times New Roman" w:hAnsi="Times New Roman"/>
          <w:sz w:val="24"/>
          <w:szCs w:val="24"/>
        </w:rPr>
      </w:pPr>
      <w:r w:rsidRPr="00F95AF9">
        <w:rPr>
          <w:rFonts w:ascii="Times New Roman" w:hAnsi="Times New Roman"/>
          <w:sz w:val="24"/>
          <w:szCs w:val="24"/>
        </w:rPr>
        <w:t>Que, en síntesis, el reclamante manifiesta lo siguiente: a) la póliza cubre el monto por compras fraudulentas con la tarjeta de crédito y/o débito BBVA sin la autorización y conocimiento del Titular, realizadas hasta 60 días antes de la fecha de bloqueo de la tarjeta involucrada; b) la póliza cubre, tanto las tarjetas contratadas con el BBVA como con todos los bancos donde es titular; c) pese a enviar la información referida a montos, retiros, fechas y detalles del hurto, la aseguradora rechazó su pedido de cobertura alegando que contaba con sus tarjetas físicas y el sistema había validado los retiros de acuerdo al protocolo de seguridad (usuarios y contraseñas); d) su reclamo no es por perdida de tarjetas, sino por el uso indebido no autorizado de sus cuentas por medios digitales; e) la Fiscalía provincial corporativa especializada en delitos de ciberdelincuencia de Lima (1er Despacho) ha recibido su denuncia.</w:t>
      </w:r>
    </w:p>
    <w:p w:rsidRPr="00F95AF9" w:rsidR="00B57BD9" w:rsidP="00B57BD9" w:rsidRDefault="00B57BD9" w14:paraId="12383253" w14:textId="77777777">
      <w:pPr>
        <w:autoSpaceDE w:val="0"/>
        <w:autoSpaceDN w:val="0"/>
        <w:adjustRightInd w:val="0"/>
        <w:jc w:val="both"/>
        <w:rPr>
          <w:rFonts w:ascii="Times New Roman" w:hAnsi="Times New Roman"/>
          <w:sz w:val="24"/>
          <w:szCs w:val="24"/>
          <w:lang w:val="es-ES"/>
        </w:rPr>
      </w:pPr>
      <w:r w:rsidRPr="00F95AF9">
        <w:rPr>
          <w:rFonts w:ascii="Times New Roman" w:hAnsi="Times New Roman"/>
          <w:sz w:val="24"/>
          <w:szCs w:val="24"/>
        </w:rPr>
        <w:t xml:space="preserve">Que, por su parte, la aseguradora sustenta su posición resumidamente en lo siguiente: a) el reclamante siempre mantuvo la tarjeta en su poder, por lo que no se configura el Uso Indebido de la tarjeta de crédito y/o débito por Robo y/o Hurto, Utilización forzada en cajeros automáticos de la tarjeta de crédito y/o débito, Robo de dinero de los cajeros automático, Uso Indebido por Compra fraudulenta vía internet con la tarjeta de crédito y/o débito administrada por el Banco BBVA; b) el siniestro no cuenta con cobertura, debido a que las operaciones </w:t>
      </w:r>
      <w:r w:rsidRPr="00F95AF9">
        <w:rPr>
          <w:rFonts w:ascii="Times New Roman" w:hAnsi="Times New Roman"/>
          <w:sz w:val="24"/>
          <w:szCs w:val="24"/>
        </w:rPr>
        <w:lastRenderedPageBreak/>
        <w:t>fueron efectuadas con presencia de todas las medidas de seguridad, habiéndose descartado algún caso de clonación o adulteración de las tarjetas emitidas por el BBVA; c) el presente caso no calza dentro de los supuestos de cobertura contemplados por el seguro de protección de tarjetas contratado; d) la cobertura para casos de compras fraudulentas implica que la compra fraudulenta haya sido realizada mediante el uso indebido de las tarjetas de crédito o débito del asegurado, no bastando que haya una ausencia de autorización o consentimiento del titular a la hora de realizar dichas transacciones; e) la póliza entiende como uso indebido al robo, secuestro, extravío o hurto de las tarjetas de crédito o débito; f) el reclamante no ha presentado medio probatorio alguno que acredite que efectivamente fue víctima de un supuesto fraude, siendo que la compra no reconocida se dio dentro de todos los parámetros de seguridad y con toda la información confidencial que solo podría conocer el reclamante; g) los contratos son obligatorios para las partes en cuanto se haya expresado en ellos, según lo preceptúa el artículo 1361 del Código Civil, por tanto, no existe justificación alguna para que se aparten de lo convenido, salvo que se pruebe que no existe coincidencia entre lo expresado en el contrato y la voluntad común de los contratantes.</w:t>
      </w:r>
    </w:p>
    <w:p w:rsidRPr="00F95AF9" w:rsidR="00B57BD9" w:rsidP="00B57BD9" w:rsidRDefault="00B57BD9" w14:paraId="4AD1E502" w14:textId="5DF3227A">
      <w:pPr>
        <w:autoSpaceDE w:val="0"/>
        <w:autoSpaceDN w:val="0"/>
        <w:adjustRightInd w:val="0"/>
        <w:jc w:val="both"/>
        <w:rPr>
          <w:rFonts w:ascii="Times New Roman" w:hAnsi="Times New Roman"/>
          <w:sz w:val="24"/>
          <w:szCs w:val="24"/>
        </w:rPr>
      </w:pPr>
      <w:r w:rsidRPr="3AEB93DD" w:rsidR="00B57BD9">
        <w:rPr>
          <w:rFonts w:ascii="Times New Roman" w:hAnsi="Times New Roman"/>
          <w:sz w:val="24"/>
          <w:szCs w:val="24"/>
        </w:rPr>
        <w:t xml:space="preserve">Que, se deja constancia de que con fecha 18 de agosto de 2022, se realizó un requerimiento de información adicional al reclamante, el que consistió en el pedido de los siguientes documentos: a) Estados de cuenta de los bancos, a fin de verificar las operaciones no reconocidas; b) denuncia policial; c) Solicitud de cobertura presentada ante </w:t>
      </w:r>
      <w:r w:rsidRPr="3AEB93DD" w:rsidR="57D75EF6">
        <w:rPr>
          <w:rFonts w:ascii="Times New Roman" w:hAnsi="Times New Roman"/>
          <w:sz w:val="24"/>
          <w:szCs w:val="24"/>
        </w:rPr>
        <w:t>.............................</w:t>
      </w:r>
      <w:r w:rsidRPr="3AEB93DD" w:rsidR="00B57BD9">
        <w:rPr>
          <w:rFonts w:ascii="Times New Roman" w:hAnsi="Times New Roman"/>
          <w:sz w:val="24"/>
          <w:szCs w:val="24"/>
        </w:rPr>
        <w:t>; d) Copia de la póliza o certificado de seguro contratado (de contar con dicha documentación). Dicho requerimiento fue absuelto mediante comunicación del 19 de agosto de 2022.</w:t>
      </w:r>
    </w:p>
    <w:p w:rsidRPr="00F95AF9" w:rsidR="00B57BD9" w:rsidP="00B57BD9" w:rsidRDefault="00B57BD9" w14:paraId="7422F38F" w14:textId="77777777">
      <w:pPr>
        <w:autoSpaceDE w:val="0"/>
        <w:autoSpaceDN w:val="0"/>
        <w:adjustRightInd w:val="0"/>
        <w:jc w:val="both"/>
        <w:rPr>
          <w:rFonts w:ascii="Times New Roman" w:hAnsi="Times New Roman"/>
          <w:sz w:val="24"/>
          <w:szCs w:val="24"/>
        </w:rPr>
      </w:pPr>
      <w:r w:rsidRPr="00F95AF9">
        <w:rPr>
          <w:rFonts w:ascii="Times New Roman" w:hAnsi="Times New Roman"/>
          <w:sz w:val="24"/>
          <w:szCs w:val="24"/>
        </w:rPr>
        <w:t>Que, asimismo, con fecha 17 de enero de 2023, se realizó un requerimiento adicional a la aseguradora, a fin de que remita lo siguiente: a) Condiciones Generales, Particulares y Especiales de la póliza, incluyendo Certificado; y b) Constancia que acredita que el asegurado ha sido debidamente notificado de dichos documentos, que permita apreciar la fecha y conducto de notificación. No obstante, a la fecha de emisión de la presente resolución, la aseguradora no ha cumplido con absolver el referido requerimiento.</w:t>
      </w:r>
    </w:p>
    <w:p w:rsidRPr="00F95AF9" w:rsidR="00B57BD9" w:rsidP="00B57BD9" w:rsidRDefault="00B57BD9" w14:paraId="5A310866" w14:textId="77777777">
      <w:pPr>
        <w:jc w:val="both"/>
        <w:rPr>
          <w:rFonts w:ascii="Times New Roman" w:hAnsi="Times New Roman"/>
          <w:sz w:val="24"/>
          <w:szCs w:val="24"/>
          <w:lang w:val="es-ES"/>
        </w:rPr>
      </w:pPr>
      <w:r w:rsidRPr="00F95AF9">
        <w:rPr>
          <w:rStyle w:val="Textoennegrita"/>
          <w:rFonts w:ascii="Times New Roman" w:hAnsi="Times New Roman"/>
          <w:sz w:val="24"/>
          <w:szCs w:val="24"/>
        </w:rPr>
        <w:t>CONSIDERANDO:</w:t>
      </w:r>
    </w:p>
    <w:p w:rsidRPr="00F95AF9" w:rsidR="00B57BD9" w:rsidP="00B57BD9" w:rsidRDefault="00B57BD9" w14:paraId="20AC18E5" w14:textId="109B8E56">
      <w:pPr>
        <w:jc w:val="both"/>
        <w:rPr>
          <w:rFonts w:ascii="Times New Roman" w:hAnsi="Times New Roman"/>
          <w:sz w:val="24"/>
          <w:szCs w:val="24"/>
        </w:rPr>
      </w:pPr>
      <w:r w:rsidRPr="00F95AF9">
        <w:rPr>
          <w:rFonts w:ascii="Times New Roman" w:hAnsi="Times New Roman"/>
          <w:sz w:val="24"/>
          <w:szCs w:val="24"/>
        </w:rPr>
        <w:t> </w:t>
      </w:r>
      <w:r w:rsidRPr="00F95AF9">
        <w:rPr>
          <w:rFonts w:ascii="Times New Roman" w:hAnsi="Times New Roman"/>
          <w:b/>
          <w:sz w:val="24"/>
          <w:szCs w:val="24"/>
          <w:u w:val="single"/>
        </w:rPr>
        <w:t>Primero</w:t>
      </w:r>
      <w:r w:rsidRPr="00F95AF9">
        <w:rPr>
          <w:rFonts w:ascii="Times New Roman" w:hAnsi="Times New Roman"/>
          <w:b/>
          <w:sz w:val="24"/>
          <w:szCs w:val="24"/>
        </w:rPr>
        <w:t xml:space="preserve">: </w:t>
      </w:r>
      <w:r w:rsidRPr="00F95AF9">
        <w:rPr>
          <w:rFonts w:ascii="Times New Roman" w:hAnsi="Times New Roman"/>
          <w:sz w:val="24"/>
          <w:szCs w:val="24"/>
        </w:rPr>
        <w:t>Conforme a su Reglamento, la</w:t>
      </w:r>
      <w:r w:rsidRPr="00F95AF9">
        <w:rPr>
          <w:rFonts w:ascii="Times New Roman" w:hAnsi="Times New Roman"/>
          <w:b/>
          <w:bCs/>
          <w:sz w:val="24"/>
          <w:szCs w:val="24"/>
        </w:rPr>
        <w:t xml:space="preserve"> </w:t>
      </w:r>
      <w:r w:rsidRPr="00F95AF9">
        <w:rPr>
          <w:rFonts w:ascii="Times New Roman" w:hAnsi="Times New Roman"/>
          <w:sz w:val="24"/>
          <w:szCs w:val="24"/>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F95AF9" w:rsidR="00B57BD9" w:rsidP="00B57BD9" w:rsidRDefault="00B57BD9" w14:paraId="1555DF04" w14:textId="77777777">
      <w:pPr>
        <w:jc w:val="both"/>
        <w:rPr>
          <w:rFonts w:ascii="Times New Roman" w:hAnsi="Times New Roman"/>
          <w:bCs/>
          <w:sz w:val="24"/>
          <w:szCs w:val="24"/>
        </w:rPr>
      </w:pPr>
      <w:r w:rsidRPr="00F95AF9">
        <w:rPr>
          <w:rFonts w:ascii="Times New Roman" w:hAnsi="Times New Roman"/>
          <w:b/>
          <w:bCs/>
          <w:sz w:val="24"/>
          <w:szCs w:val="24"/>
          <w:u w:val="single"/>
        </w:rPr>
        <w:t>Segundo</w:t>
      </w:r>
      <w:r w:rsidRPr="00F95AF9">
        <w:rPr>
          <w:rFonts w:ascii="Times New Roman" w:hAnsi="Times New Roman"/>
          <w:b/>
          <w:bCs/>
          <w:sz w:val="24"/>
          <w:szCs w:val="24"/>
        </w:rPr>
        <w:t>:</w:t>
      </w:r>
      <w:r w:rsidRPr="00F95AF9">
        <w:rPr>
          <w:rFonts w:ascii="Times New Roman" w:hAnsi="Times New Roman"/>
          <w:bCs/>
          <w:sz w:val="24"/>
          <w:szCs w:val="24"/>
        </w:rPr>
        <w:t xml:space="preserve"> </w:t>
      </w:r>
      <w:r w:rsidRPr="00F95AF9">
        <w:rPr>
          <w:rFonts w:ascii="Times New Roman" w:hAnsi="Times New Roman"/>
          <w:sz w:val="24"/>
          <w:szCs w:val="24"/>
        </w:rPr>
        <w:t xml:space="preserve">Asimismo, de acuerdo a </w:t>
      </w:r>
      <w:r w:rsidRPr="00F95AF9">
        <w:rPr>
          <w:rFonts w:ascii="Times New Roman" w:hAnsi="Times New Roman"/>
          <w:bCs/>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F95AF9" w:rsidR="00B57BD9" w:rsidP="00B57BD9" w:rsidRDefault="00B57BD9" w14:paraId="71C91332" w14:textId="77777777">
      <w:pPr>
        <w:jc w:val="both"/>
        <w:rPr>
          <w:rFonts w:ascii="Times New Roman" w:hAnsi="Times New Roman"/>
          <w:sz w:val="24"/>
          <w:szCs w:val="24"/>
          <w:lang w:val="es-ES"/>
        </w:rPr>
      </w:pPr>
      <w:r w:rsidRPr="00F95AF9">
        <w:rPr>
          <w:rFonts w:ascii="Times New Roman" w:hAnsi="Times New Roman"/>
          <w:b/>
          <w:bCs/>
          <w:sz w:val="24"/>
          <w:szCs w:val="24"/>
          <w:u w:val="single"/>
        </w:rPr>
        <w:lastRenderedPageBreak/>
        <w:t>Tercero</w:t>
      </w:r>
      <w:r w:rsidRPr="00F95AF9">
        <w:rPr>
          <w:rFonts w:ascii="Times New Roman" w:hAnsi="Times New Roman"/>
          <w:b/>
          <w:bCs/>
          <w:sz w:val="24"/>
          <w:szCs w:val="24"/>
        </w:rPr>
        <w:t>:</w:t>
      </w:r>
      <w:r w:rsidRPr="00F95AF9">
        <w:rPr>
          <w:rFonts w:ascii="Times New Roman" w:hAnsi="Times New Roman"/>
          <w:sz w:val="24"/>
          <w:szCs w:val="24"/>
        </w:rPr>
        <w:t xml:space="preserve"> Que, de acuerdo a la Ley Nro. 29946 – Ley del Contrato de Seguro, norma legal vigente con ocasión de la celebración del contrato al cual se contrae el presente caso, 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F95AF9" w:rsidR="00B57BD9" w:rsidP="00B57BD9" w:rsidRDefault="00B57BD9" w14:paraId="71EB671E" w14:textId="77777777">
      <w:pPr>
        <w:jc w:val="both"/>
        <w:rPr>
          <w:rFonts w:ascii="Times New Roman" w:hAnsi="Times New Roman"/>
          <w:sz w:val="24"/>
          <w:szCs w:val="24"/>
        </w:rPr>
      </w:pPr>
      <w:r w:rsidRPr="00F95AF9">
        <w:rPr>
          <w:rFonts w:ascii="Times New Roman" w:hAnsi="Times New Roman"/>
          <w:b/>
          <w:sz w:val="24"/>
          <w:szCs w:val="24"/>
          <w:u w:val="single"/>
        </w:rPr>
        <w:t>Cuarto</w:t>
      </w:r>
      <w:r w:rsidRPr="00F95AF9">
        <w:rPr>
          <w:rFonts w:ascii="Times New Roman" w:hAnsi="Times New Roman"/>
          <w:b/>
          <w:sz w:val="24"/>
          <w:szCs w:val="24"/>
        </w:rPr>
        <w:t>:</w:t>
      </w:r>
      <w:r w:rsidRPr="00F95AF9">
        <w:rPr>
          <w:rFonts w:ascii="Times New Roman" w:hAnsi="Times New Roman"/>
          <w:sz w:val="24"/>
          <w:szCs w:val="24"/>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F95AF9" w:rsidR="00B57BD9" w:rsidP="00B57BD9" w:rsidRDefault="00B57BD9" w14:paraId="1F109A06" w14:textId="77777777">
      <w:pPr>
        <w:jc w:val="both"/>
        <w:rPr>
          <w:rFonts w:ascii="Times New Roman" w:hAnsi="Times New Roman"/>
          <w:sz w:val="24"/>
          <w:szCs w:val="24"/>
        </w:rPr>
      </w:pPr>
      <w:r w:rsidRPr="00F95AF9">
        <w:rPr>
          <w:rStyle w:val="Textoennegrita"/>
          <w:rFonts w:ascii="Times New Roman" w:hAnsi="Times New Roman"/>
          <w:sz w:val="24"/>
          <w:szCs w:val="24"/>
          <w:u w:val="single"/>
        </w:rPr>
        <w:t>Quinto</w:t>
      </w:r>
      <w:r w:rsidRPr="00F95AF9">
        <w:rPr>
          <w:rStyle w:val="Textoennegrita"/>
          <w:rFonts w:ascii="Times New Roman" w:hAnsi="Times New Roman"/>
          <w:sz w:val="24"/>
          <w:szCs w:val="24"/>
        </w:rPr>
        <w:t xml:space="preserve">: </w:t>
      </w:r>
      <w:r w:rsidRPr="00F95AF9">
        <w:rPr>
          <w:rStyle w:val="Textoennegrita"/>
          <w:rFonts w:ascii="Times New Roman" w:hAnsi="Times New Roman"/>
          <w:b w:val="0"/>
          <w:bCs w:val="0"/>
          <w:sz w:val="24"/>
          <w:szCs w:val="24"/>
        </w:rPr>
        <w:t>Que, conforme al</w:t>
      </w:r>
      <w:r w:rsidRPr="00F95AF9">
        <w:rPr>
          <w:rStyle w:val="Textoennegrita"/>
          <w:rFonts w:ascii="Times New Roman" w:hAnsi="Times New Roman"/>
          <w:sz w:val="24"/>
          <w:szCs w:val="24"/>
        </w:rPr>
        <w:t xml:space="preserve"> </w:t>
      </w:r>
      <w:r w:rsidRPr="00F95AF9">
        <w:rPr>
          <w:rFonts w:ascii="Times New Roman" w:hAnsi="Times New Roman"/>
          <w:sz w:val="24"/>
          <w:szCs w:val="24"/>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F95AF9" w:rsidR="00B57BD9" w:rsidP="00B57BD9" w:rsidRDefault="00B57BD9" w14:paraId="03CBCC90" w14:textId="77777777">
      <w:pPr>
        <w:jc w:val="both"/>
        <w:rPr>
          <w:rFonts w:ascii="Times New Roman" w:hAnsi="Times New Roman"/>
          <w:sz w:val="24"/>
          <w:szCs w:val="24"/>
        </w:rPr>
      </w:pPr>
      <w:r w:rsidRPr="00F95AF9">
        <w:rPr>
          <w:rFonts w:ascii="Times New Roman" w:hAnsi="Times New Roman"/>
          <w:b/>
          <w:sz w:val="24"/>
          <w:szCs w:val="24"/>
          <w:u w:val="single"/>
        </w:rPr>
        <w:t>Sexto</w:t>
      </w:r>
      <w:r w:rsidRPr="00F95AF9">
        <w:rPr>
          <w:rFonts w:ascii="Times New Roman" w:hAnsi="Times New Roman"/>
          <w:b/>
          <w:sz w:val="24"/>
          <w:szCs w:val="24"/>
        </w:rPr>
        <w:t xml:space="preserve">: </w:t>
      </w:r>
      <w:r w:rsidRPr="00F95AF9">
        <w:rPr>
          <w:rFonts w:ascii="Times New Roman" w:hAnsi="Times New Roman"/>
          <w:sz w:val="24"/>
          <w:szCs w:val="24"/>
        </w:rPr>
        <w:t xml:space="preserve"> </w:t>
      </w:r>
      <w:r w:rsidRPr="00F95AF9">
        <w:rPr>
          <w:rStyle w:val="Textoennegrita"/>
          <w:rFonts w:ascii="Times New Roman" w:hAnsi="Times New Roman"/>
          <w:b w:val="0"/>
          <w:sz w:val="24"/>
          <w:szCs w:val="24"/>
        </w:rPr>
        <w:t xml:space="preserve">Que, conforme a lo expuesto en la reclamación, </w:t>
      </w:r>
      <w:r w:rsidRPr="00F95AF9">
        <w:rPr>
          <w:rFonts w:ascii="Times New Roman" w:hAnsi="Times New Roman"/>
          <w:sz w:val="24"/>
          <w:szCs w:val="24"/>
        </w:rPr>
        <w:t>en la absolución de esta, y a lo tratado en la audiencia de vista, la cuestión controvertida radica en determinar si el rechazo de cobertura resulta o no legítimo.</w:t>
      </w:r>
    </w:p>
    <w:p w:rsidRPr="00F95AF9" w:rsidR="00B57BD9" w:rsidP="00B57BD9" w:rsidRDefault="00B57BD9" w14:paraId="32BF42EF" w14:textId="663F6720">
      <w:pPr>
        <w:tabs>
          <w:tab w:val="left" w:pos="2160"/>
        </w:tabs>
        <w:jc w:val="both"/>
        <w:rPr>
          <w:rFonts w:ascii="Times New Roman" w:hAnsi="Times New Roman"/>
          <w:sz w:val="24"/>
          <w:szCs w:val="24"/>
        </w:rPr>
      </w:pPr>
      <w:r w:rsidRPr="00F95AF9">
        <w:rPr>
          <w:rFonts w:ascii="Times New Roman" w:hAnsi="Times New Roman"/>
          <w:sz w:val="24"/>
          <w:szCs w:val="24"/>
        </w:rPr>
        <w:t xml:space="preserve">En el presente caso, se advierte que la controversia gira en torno al concepto de </w:t>
      </w:r>
      <w:r w:rsidRPr="00F95AF9">
        <w:rPr>
          <w:rFonts w:ascii="Times New Roman" w:hAnsi="Times New Roman"/>
          <w:i/>
          <w:iCs/>
          <w:sz w:val="24"/>
          <w:szCs w:val="24"/>
        </w:rPr>
        <w:t>uso indebido</w:t>
      </w:r>
      <w:r w:rsidRPr="00F95AF9">
        <w:rPr>
          <w:rFonts w:ascii="Times New Roman" w:hAnsi="Times New Roman"/>
          <w:sz w:val="24"/>
          <w:szCs w:val="24"/>
        </w:rPr>
        <w:t xml:space="preserve">. Al respecto, debemos precisar que </w:t>
      </w:r>
      <w:r w:rsidRPr="00F95AF9" w:rsidR="00F95AF9">
        <w:rPr>
          <w:rFonts w:ascii="Times New Roman" w:hAnsi="Times New Roman"/>
          <w:sz w:val="24"/>
          <w:szCs w:val="24"/>
        </w:rPr>
        <w:t xml:space="preserve">en </w:t>
      </w:r>
      <w:r w:rsidRPr="00F95AF9" w:rsidR="00F36D1D">
        <w:rPr>
          <w:rFonts w:ascii="Times New Roman" w:hAnsi="Times New Roman"/>
          <w:sz w:val="24"/>
          <w:szCs w:val="24"/>
        </w:rPr>
        <w:t>la Defensoría del Asegurado</w:t>
      </w:r>
      <w:r w:rsidRPr="00F95AF9">
        <w:rPr>
          <w:rFonts w:ascii="Times New Roman" w:hAnsi="Times New Roman"/>
          <w:sz w:val="24"/>
          <w:szCs w:val="24"/>
        </w:rPr>
        <w:t xml:space="preserve"> </w:t>
      </w:r>
      <w:r w:rsidRPr="00F95AF9" w:rsidR="00F95AF9">
        <w:rPr>
          <w:rFonts w:ascii="Times New Roman" w:hAnsi="Times New Roman"/>
          <w:sz w:val="24"/>
          <w:szCs w:val="24"/>
        </w:rPr>
        <w:t xml:space="preserve">se </w:t>
      </w:r>
      <w:r w:rsidRPr="00F95AF9">
        <w:rPr>
          <w:rFonts w:ascii="Times New Roman" w:hAnsi="Times New Roman"/>
          <w:sz w:val="24"/>
          <w:szCs w:val="24"/>
        </w:rPr>
        <w:t>cuenta con una opinión constante y coherente en el tiempo respecto del presente tema, en particular respecto de la póliza. Así pues, resulta necesario realizar un análisis de la póliza o Certificado de Seguro, según corresponda (debidamente notificada y suscrita por el reclamante), a fin de poder afirmar que las coberturas contratadas relativas al uso indebido de tarjetas de crédito y/o débito, presuponen necesariamente que se haya verificado un uso indebido tal como éste se encuentra enunciado específicamente para una cobertura singular.</w:t>
      </w:r>
    </w:p>
    <w:p w:rsidRPr="00F95AF9" w:rsidR="00B57BD9" w:rsidP="00B57BD9" w:rsidRDefault="00B57BD9" w14:paraId="7D84EFFB" w14:textId="77777777">
      <w:pPr>
        <w:tabs>
          <w:tab w:val="left" w:pos="2160"/>
        </w:tabs>
        <w:jc w:val="both"/>
        <w:rPr>
          <w:rFonts w:ascii="Times New Roman" w:hAnsi="Times New Roman"/>
          <w:sz w:val="24"/>
          <w:szCs w:val="24"/>
        </w:rPr>
      </w:pPr>
      <w:r w:rsidRPr="00F95AF9">
        <w:rPr>
          <w:rFonts w:ascii="Times New Roman" w:hAnsi="Times New Roman"/>
          <w:sz w:val="24"/>
          <w:szCs w:val="24"/>
        </w:rPr>
        <w:t>Sobre el particular, debemos precisar que la aseguradora únicamente ha remitido un extracto de la copia del Certificado de Seguro suscrito por el reclamante, el que omite las páginas que son relevantes para el presente caso, donde figuran las definiciones en controversia. En ese sentido, se pretende reemplazar tal omisión con el envío de un archivo sin firmar del Certificado de Seguro completo; sin embargo, no puede determinarse si tal fue la versión que suscribió el reclamante.</w:t>
      </w:r>
    </w:p>
    <w:p w:rsidRPr="00F95AF9" w:rsidR="00B57BD9" w:rsidP="00B57BD9" w:rsidRDefault="00B57BD9" w14:paraId="0123E8C9" w14:textId="77777777">
      <w:pPr>
        <w:tabs>
          <w:tab w:val="left" w:pos="2160"/>
        </w:tabs>
        <w:jc w:val="both"/>
        <w:rPr>
          <w:rFonts w:ascii="Times New Roman" w:hAnsi="Times New Roman"/>
          <w:sz w:val="24"/>
          <w:szCs w:val="24"/>
        </w:rPr>
      </w:pPr>
      <w:r w:rsidRPr="00F95AF9">
        <w:rPr>
          <w:rFonts w:ascii="Times New Roman" w:hAnsi="Times New Roman"/>
          <w:sz w:val="24"/>
          <w:szCs w:val="24"/>
        </w:rPr>
        <w:t>Respecto de la “póliza matriz” remitida por la aseguradora, se debe tener en cuenta que dicho archivo no cuenta con fecha, firma o algún dato que permita identificar si esta resulta ser la versión vigente al momento de suscripción del Certificado de Seguro por parte del reclamante. En buena cuenta, de los actuados, no se cuenta con información certera respecto de las definiciones que la aseguradora afirma haber utilizado para denegar la cobertura del reclamante.</w:t>
      </w:r>
    </w:p>
    <w:p w:rsidRPr="00F95AF9" w:rsidR="00B57BD9" w:rsidP="00B57BD9" w:rsidRDefault="00B57BD9" w14:paraId="24129D60" w14:textId="530A7584">
      <w:pPr>
        <w:tabs>
          <w:tab w:val="left" w:pos="2160"/>
        </w:tabs>
        <w:jc w:val="both"/>
        <w:rPr>
          <w:rFonts w:ascii="Times New Roman" w:hAnsi="Times New Roman"/>
          <w:sz w:val="24"/>
          <w:szCs w:val="24"/>
        </w:rPr>
      </w:pPr>
      <w:r w:rsidRPr="00F95AF9">
        <w:rPr>
          <w:rFonts w:ascii="Times New Roman" w:hAnsi="Times New Roman"/>
          <w:b/>
          <w:sz w:val="24"/>
          <w:szCs w:val="24"/>
          <w:u w:val="single"/>
        </w:rPr>
        <w:t>Sétimo:</w:t>
      </w:r>
      <w:r w:rsidRPr="00F95AF9">
        <w:rPr>
          <w:rFonts w:ascii="Times New Roman" w:hAnsi="Times New Roman"/>
          <w:sz w:val="24"/>
          <w:szCs w:val="24"/>
        </w:rPr>
        <w:t xml:space="preserve">  Se aprecia que la aseguradora cuestiona la veracidad de los hechos alegados por el reclamante. En ese sentido, afirma lo siguiente:</w:t>
      </w:r>
    </w:p>
    <w:p w:rsidRPr="00F95AF9" w:rsidR="00B57BD9" w:rsidP="00B57BD9" w:rsidRDefault="00B57BD9" w14:paraId="792C28CA" w14:textId="555A3FE7">
      <w:pPr>
        <w:tabs>
          <w:tab w:val="left" w:pos="2160"/>
        </w:tabs>
        <w:jc w:val="center"/>
        <w:rPr>
          <w:rFonts w:ascii="Times New Roman" w:hAnsi="Times New Roman"/>
          <w:sz w:val="24"/>
          <w:szCs w:val="24"/>
        </w:rPr>
      </w:pPr>
      <w:r w:rsidRPr="00F95AF9">
        <w:rPr>
          <w:rFonts w:ascii="Times New Roman" w:hAnsi="Times New Roman"/>
          <w:noProof/>
          <w:sz w:val="24"/>
          <w:szCs w:val="24"/>
        </w:rPr>
        <w:lastRenderedPageBreak/>
        <w:drawing>
          <wp:inline distT="0" distB="0" distL="0" distR="0" wp14:anchorId="53B12FB6" wp14:editId="216C5DE1">
            <wp:extent cx="4219575" cy="1981200"/>
            <wp:effectExtent l="0" t="0" r="9525" b="0"/>
            <wp:docPr id="1" name="Imagen 1"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Interfaz de usuario gráfica, Texto&#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l="17268" t="19687" r="37016" b="42029"/>
                    <a:stretch>
                      <a:fillRect/>
                    </a:stretch>
                  </pic:blipFill>
                  <pic:spPr bwMode="auto">
                    <a:xfrm>
                      <a:off x="0" y="0"/>
                      <a:ext cx="4219575" cy="1981200"/>
                    </a:xfrm>
                    <a:prstGeom prst="rect">
                      <a:avLst/>
                    </a:prstGeom>
                    <a:noFill/>
                    <a:ln>
                      <a:noFill/>
                    </a:ln>
                  </pic:spPr>
                </pic:pic>
              </a:graphicData>
            </a:graphic>
          </wp:inline>
        </w:drawing>
      </w:r>
    </w:p>
    <w:p w:rsidRPr="00F95AF9" w:rsidR="00B57BD9" w:rsidP="00B57BD9" w:rsidRDefault="00B57BD9" w14:paraId="796CBAC2" w14:textId="77777777">
      <w:pPr>
        <w:tabs>
          <w:tab w:val="left" w:pos="2160"/>
        </w:tabs>
        <w:jc w:val="both"/>
        <w:rPr>
          <w:rFonts w:ascii="Times New Roman" w:hAnsi="Times New Roman"/>
          <w:sz w:val="24"/>
          <w:szCs w:val="24"/>
        </w:rPr>
      </w:pPr>
      <w:r w:rsidRPr="00F95AF9">
        <w:rPr>
          <w:rFonts w:ascii="Times New Roman" w:hAnsi="Times New Roman"/>
          <w:sz w:val="24"/>
          <w:szCs w:val="24"/>
        </w:rPr>
        <w:t>No obstante, debemos precisar que la aseguradora no ha demostrado que, a lo largo del proceso de validación de la solicitud de cobertura del reclamante, haya pedido algún tipo de precisión y/o aclaración. De este modo, resulta necesario recordar que el artículo 11° del Reglamento de Gestión de Pago de Siniestros, aprobado mediante Resolución SBS N° 3202-2013 (en adelante, el Reglamento), establece las obligaciones de las aseguradoras en el contexto de la atención de una solicitud de cobertura de siniestro; en ese sentido, resulta obligación de la aseguradora el requerir la documentación complementaria y/o aclaraciones que necesite.</w:t>
      </w:r>
    </w:p>
    <w:p w:rsidRPr="00F95AF9" w:rsidR="00B57BD9" w:rsidP="00B57BD9" w:rsidRDefault="00B57BD9" w14:paraId="19611DD2" w14:textId="77777777">
      <w:pPr>
        <w:jc w:val="both"/>
        <w:rPr>
          <w:rFonts w:ascii="Times New Roman" w:hAnsi="Times New Roman"/>
          <w:sz w:val="24"/>
          <w:szCs w:val="24"/>
        </w:rPr>
      </w:pPr>
      <w:r w:rsidRPr="00F95AF9">
        <w:rPr>
          <w:rFonts w:ascii="Times New Roman" w:hAnsi="Times New Roman"/>
          <w:b/>
          <w:sz w:val="24"/>
          <w:szCs w:val="24"/>
          <w:u w:val="single"/>
        </w:rPr>
        <w:t>Octavo:</w:t>
      </w:r>
      <w:r w:rsidRPr="00F95AF9">
        <w:rPr>
          <w:rFonts w:ascii="Times New Roman" w:hAnsi="Times New Roman"/>
          <w:sz w:val="24"/>
          <w:szCs w:val="24"/>
        </w:rPr>
        <w:t xml:space="preserve">  Debemos señalar que el artículo 15° del Reglamento dispone que el rechazo de una cobertura debe encontrarse precedida por la obligación de la aseguradora de informar adecuadamente los términos de dicho rechazo. Asimismo, en concordancia con lo señalado, el artículo IV de la Ley del Contrato de Seguro, Ley N° 29946, dispone -en su Tercera Regla de Interpretación- que los términos contractuales generen ambigüedad o duda sobre sus alcances, deben interpretarse en favor de la parte asegurada. En buena cuenta, se aprecia que la normativa vigente en la materia resulta bastante clara, a fin de que la aseguradora cumpla con su deber de información respecto de los términos del rechazo de sus coberturas, así como de proteger a los asegurados de cualquier ambigüedad, dada su -evidente- posición de desventaja en la relación contractual.</w:t>
      </w:r>
    </w:p>
    <w:p w:rsidRPr="00F95AF9" w:rsidR="00B57BD9" w:rsidP="00B57BD9" w:rsidRDefault="00B57BD9" w14:paraId="4D209F47" w14:textId="521CFDFF">
      <w:pPr>
        <w:jc w:val="both"/>
        <w:rPr>
          <w:rFonts w:ascii="Times New Roman" w:hAnsi="Times New Roman"/>
          <w:sz w:val="24"/>
          <w:szCs w:val="24"/>
        </w:rPr>
      </w:pPr>
      <w:r w:rsidRPr="00F95AF9">
        <w:rPr>
          <w:rFonts w:ascii="Times New Roman" w:hAnsi="Times New Roman"/>
          <w:sz w:val="24"/>
          <w:szCs w:val="24"/>
        </w:rPr>
        <w:t>En el presente caso, de los actuados en el presente procedimiento se advierte que la aseguradora no ha cumplido con acreditar cuáles son las definiciones o condiciones que vinculan su relación contractual con el reclamante. Así pues, tal como ya hemos señalado, no existe medio probatorio que -sin lugar a duda- demuestre las condiciones contractuales que aceptó y suscribió el reclamante, debiéndose llamar la atención respecto del hecho de que el Certificado de Seguro suscrito por el reclamante que remite la aseguradora se encuentra incompleto, siendo que la parte relevante para la presente controversia ha sido omitida en el archivo remitido. En esa misma línea, debemos insistir en que la aseguradora no cumplió con atender el requerimiento realizado por el</w:t>
      </w:r>
      <w:r w:rsidRPr="00F95AF9" w:rsidR="00F36D1D">
        <w:rPr>
          <w:rFonts w:ascii="Times New Roman" w:hAnsi="Times New Roman"/>
          <w:sz w:val="24"/>
          <w:szCs w:val="24"/>
        </w:rPr>
        <w:t xml:space="preserve"> </w:t>
      </w:r>
      <w:r w:rsidRPr="00F95AF9" w:rsidR="00F96F24">
        <w:rPr>
          <w:rFonts w:ascii="Times New Roman" w:hAnsi="Times New Roman"/>
          <w:sz w:val="24"/>
          <w:szCs w:val="24"/>
        </w:rPr>
        <w:t>órgano resolutivo unipersonal</w:t>
      </w:r>
      <w:r w:rsidRPr="00F95AF9">
        <w:rPr>
          <w:rFonts w:ascii="Times New Roman" w:hAnsi="Times New Roman"/>
          <w:sz w:val="24"/>
          <w:szCs w:val="24"/>
        </w:rPr>
        <w:t xml:space="preserve">. </w:t>
      </w:r>
    </w:p>
    <w:p w:rsidRPr="00F95AF9" w:rsidR="00B57BD9" w:rsidP="00B57BD9" w:rsidRDefault="00B57BD9" w14:paraId="3483354B" w14:textId="77777777">
      <w:pPr>
        <w:tabs>
          <w:tab w:val="left" w:pos="2160"/>
        </w:tabs>
        <w:jc w:val="both"/>
        <w:rPr>
          <w:rFonts w:ascii="Times New Roman" w:hAnsi="Times New Roman"/>
          <w:sz w:val="24"/>
          <w:szCs w:val="24"/>
        </w:rPr>
      </w:pPr>
      <w:r w:rsidRPr="00F95AF9">
        <w:rPr>
          <w:rFonts w:ascii="Times New Roman" w:hAnsi="Times New Roman"/>
          <w:sz w:val="24"/>
          <w:szCs w:val="24"/>
        </w:rPr>
        <w:t>Por lo señalado, no resulta posible que la aseguradora utilice definiciones que no ha logrado acreditar como parte de su relación contractual, a fin de sustentar el rechazo formulado. En ese sentido, resulta obligación de la aseguradora el acreditar los términos de su rechazo, lo que -en el contexto del presente procedimiento- no ha podido conseguir.</w:t>
      </w:r>
    </w:p>
    <w:p w:rsidRPr="00F95AF9" w:rsidR="00B57BD9" w:rsidP="00B57BD9" w:rsidRDefault="00B57BD9" w14:paraId="2660C3B5" w14:textId="77777777">
      <w:pPr>
        <w:tabs>
          <w:tab w:val="left" w:pos="2160"/>
        </w:tabs>
        <w:jc w:val="both"/>
        <w:rPr>
          <w:rFonts w:ascii="Times New Roman" w:hAnsi="Times New Roman"/>
          <w:sz w:val="24"/>
          <w:szCs w:val="24"/>
        </w:rPr>
      </w:pPr>
      <w:r w:rsidRPr="00F95AF9">
        <w:rPr>
          <w:rFonts w:ascii="Times New Roman" w:hAnsi="Times New Roman"/>
          <w:sz w:val="24"/>
          <w:szCs w:val="24"/>
        </w:rPr>
        <w:lastRenderedPageBreak/>
        <w:t>Por otro lado, respecto de la puesta en duda de la veracidad del fraude alegado por el reclamante, debemos precisar que la aseguradora no ha cuestionado el cumplimiento del reclamante respecto del procedimiento de comunicación del siniestro. En ese sentido, atendiendo a lo señalado anteriormente, si advertían alguna inconsistencia, irregularidad o contradicción en el reclamante, la aseguradora debió haber solicitado las precisiones o documentos correspondientes. Asimismo, en atención de lo dispuesto en el Reglamento, debió haber formulado su rechazo por tal motivo, conforme al artículo 73 de la Ley del Contrato de Seguro, Ley N° 29946. No obstante, ello no sucedió, por lo que no es posible alegar una causal no esgrimida con ocasión del rechazo, a fin de justificar la decisión de la aseguradora.</w:t>
      </w:r>
    </w:p>
    <w:p w:rsidRPr="00F95AF9" w:rsidR="00B57BD9" w:rsidP="00B57BD9" w:rsidRDefault="00B57BD9" w14:paraId="72229BD8" w14:textId="77777777">
      <w:pPr>
        <w:tabs>
          <w:tab w:val="left" w:pos="2160"/>
        </w:tabs>
        <w:jc w:val="both"/>
        <w:rPr>
          <w:rFonts w:ascii="Times New Roman" w:hAnsi="Times New Roman"/>
          <w:sz w:val="24"/>
          <w:szCs w:val="24"/>
        </w:rPr>
      </w:pPr>
      <w:r w:rsidRPr="33E1E3DB" w:rsidR="34FED2BE">
        <w:rPr>
          <w:rFonts w:ascii="Times New Roman" w:hAnsi="Times New Roman"/>
          <w:sz w:val="24"/>
          <w:szCs w:val="24"/>
        </w:rPr>
        <w:t>En consecuencia, atendiendo a lo expuesto, el presente podemos concluir que el rechazo de cobertura informado por la compañía no se ajusta a la normativa vigente y, por tanto, no resulta legítimo.</w:t>
      </w:r>
    </w:p>
    <w:p w:rsidRPr="00F95AF9" w:rsidR="00B57BD9" w:rsidP="33E1E3DB" w:rsidRDefault="00B57BD9" w14:paraId="5200AB27" w14:textId="58ED757A">
      <w:pPr>
        <w:tabs>
          <w:tab w:val="left" w:pos="2160"/>
        </w:tabs>
        <w:jc w:val="both"/>
        <w:rPr>
          <w:rFonts w:ascii="Times New Roman" w:hAnsi="Times New Roman"/>
          <w:sz w:val="24"/>
          <w:szCs w:val="24"/>
        </w:rPr>
      </w:pPr>
    </w:p>
    <w:p w:rsidRPr="00F95AF9" w:rsidR="00B57BD9" w:rsidP="33E1E3DB" w:rsidRDefault="00B57BD9" w14:paraId="013C9EC2" w14:textId="249846A1">
      <w:pPr>
        <w:pStyle w:val="Normal"/>
        <w:tabs>
          <w:tab w:val="left" w:pos="2160"/>
        </w:tabs>
        <w:jc w:val="both"/>
        <w:rPr>
          <w:rFonts w:ascii="Times New Roman" w:hAnsi="Times New Roman"/>
          <w:b w:val="1"/>
          <w:bCs w:val="1"/>
          <w:sz w:val="24"/>
          <w:szCs w:val="24"/>
        </w:rPr>
      </w:pPr>
      <w:r w:rsidRPr="33E1E3DB" w:rsidR="34FED2BE">
        <w:rPr>
          <w:rFonts w:ascii="Times New Roman" w:hAnsi="Times New Roman"/>
          <w:b w:val="1"/>
          <w:bCs w:val="1"/>
          <w:sz w:val="24"/>
          <w:szCs w:val="24"/>
        </w:rPr>
        <w:t xml:space="preserve">Atendiendo a lo expresado, este </w:t>
      </w:r>
      <w:r w:rsidRPr="33E1E3DB" w:rsidR="7F2DAA69">
        <w:rPr>
          <w:rFonts w:ascii="Times New Roman" w:hAnsi="Times New Roman"/>
          <w:b w:val="1"/>
          <w:bCs w:val="1"/>
          <w:sz w:val="24"/>
          <w:szCs w:val="24"/>
        </w:rPr>
        <w:t>el órgano resolutivo unipersonal</w:t>
      </w:r>
      <w:r w:rsidRPr="33E1E3DB" w:rsidR="34FED2BE">
        <w:rPr>
          <w:rFonts w:ascii="Times New Roman" w:hAnsi="Times New Roman"/>
          <w:b w:val="1"/>
          <w:bCs w:val="1"/>
          <w:sz w:val="24"/>
          <w:szCs w:val="24"/>
        </w:rPr>
        <w:t xml:space="preserve"> concluye su apreciación razonada y conjunta al amparo de lo establecido en su Reglamento, por lo que </w:t>
      </w:r>
    </w:p>
    <w:p w:rsidRPr="00F95AF9" w:rsidR="00B57BD9" w:rsidP="00B57BD9" w:rsidRDefault="00B57BD9" w14:paraId="47C0227A" w14:textId="77777777">
      <w:pPr>
        <w:tabs>
          <w:tab w:val="left" w:pos="2160"/>
        </w:tabs>
        <w:jc w:val="both"/>
        <w:rPr>
          <w:rFonts w:ascii="Times New Roman" w:hAnsi="Times New Roman"/>
          <w:b/>
          <w:sz w:val="24"/>
          <w:szCs w:val="24"/>
          <w:lang w:val="es-ES"/>
        </w:rPr>
      </w:pPr>
      <w:r w:rsidRPr="00F95AF9">
        <w:rPr>
          <w:rFonts w:ascii="Times New Roman" w:hAnsi="Times New Roman"/>
          <w:b/>
          <w:sz w:val="24"/>
          <w:szCs w:val="24"/>
        </w:rPr>
        <w:t>Resuelve:</w:t>
      </w:r>
    </w:p>
    <w:p w:rsidRPr="00F95AF9" w:rsidR="00B57BD9" w:rsidP="00B57BD9" w:rsidRDefault="00B57BD9" w14:paraId="22DA21A7" w14:textId="66CBBE80">
      <w:pPr>
        <w:tabs>
          <w:tab w:val="left" w:pos="2160"/>
        </w:tabs>
        <w:jc w:val="both"/>
        <w:rPr>
          <w:rFonts w:ascii="Times New Roman" w:hAnsi="Times New Roman"/>
          <w:sz w:val="24"/>
          <w:szCs w:val="24"/>
        </w:rPr>
      </w:pPr>
      <w:r w:rsidRPr="3AEB93DD" w:rsidR="00B57BD9">
        <w:rPr>
          <w:rFonts w:ascii="Times New Roman" w:hAnsi="Times New Roman"/>
          <w:sz w:val="24"/>
          <w:szCs w:val="24"/>
        </w:rPr>
        <w:t xml:space="preserve">Declarar </w:t>
      </w:r>
      <w:r w:rsidRPr="3AEB93DD" w:rsidR="00B57BD9">
        <w:rPr>
          <w:rFonts w:ascii="Times New Roman" w:hAnsi="Times New Roman"/>
          <w:b w:val="1"/>
          <w:bCs w:val="1"/>
          <w:sz w:val="24"/>
          <w:szCs w:val="24"/>
        </w:rPr>
        <w:t xml:space="preserve">FUNDADA </w:t>
      </w:r>
      <w:r w:rsidRPr="3AEB93DD" w:rsidR="00B57BD9">
        <w:rPr>
          <w:rFonts w:ascii="Times New Roman" w:hAnsi="Times New Roman"/>
          <w:sz w:val="24"/>
          <w:szCs w:val="24"/>
        </w:rPr>
        <w:t xml:space="preserve">la reclamación interpuesta por don </w:t>
      </w:r>
      <w:r w:rsidRPr="3AEB93DD" w:rsidR="4192DDF0">
        <w:rPr>
          <w:rFonts w:ascii="Times New Roman" w:hAnsi="Times New Roman"/>
          <w:b w:val="1"/>
          <w:bCs w:val="1"/>
          <w:sz w:val="24"/>
          <w:szCs w:val="24"/>
        </w:rPr>
        <w:t>....................................................................</w:t>
      </w:r>
      <w:r w:rsidRPr="3AEB93DD" w:rsidR="00B57BD9">
        <w:rPr>
          <w:rFonts w:ascii="Times New Roman" w:hAnsi="Times New Roman"/>
          <w:b w:val="1"/>
          <w:bCs w:val="1"/>
          <w:sz w:val="24"/>
          <w:szCs w:val="24"/>
        </w:rPr>
        <w:t xml:space="preserve"> </w:t>
      </w:r>
      <w:r w:rsidRPr="3AEB93DD" w:rsidR="00B57BD9">
        <w:rPr>
          <w:rFonts w:ascii="Times New Roman" w:hAnsi="Times New Roman"/>
          <w:sz w:val="24"/>
          <w:szCs w:val="24"/>
        </w:rPr>
        <w:t xml:space="preserve">contra </w:t>
      </w:r>
      <w:r w:rsidRPr="3AEB93DD" w:rsidR="57D75EF6">
        <w:rPr>
          <w:rFonts w:ascii="Times New Roman" w:hAnsi="Times New Roman"/>
          <w:b w:val="1"/>
          <w:bCs w:val="1"/>
          <w:sz w:val="24"/>
          <w:szCs w:val="24"/>
        </w:rPr>
        <w:t>.............................</w:t>
      </w:r>
      <w:r w:rsidRPr="3AEB93DD" w:rsidR="00B57BD9">
        <w:rPr>
          <w:rFonts w:ascii="Times New Roman" w:hAnsi="Times New Roman"/>
          <w:b w:val="1"/>
          <w:bCs w:val="1"/>
          <w:sz w:val="24"/>
          <w:szCs w:val="24"/>
        </w:rPr>
        <w:t xml:space="preserve"> </w:t>
      </w:r>
      <w:r w:rsidRPr="3AEB93DD" w:rsidR="5A72CFEA">
        <w:rPr>
          <w:rFonts w:ascii="Times New Roman" w:hAnsi="Times New Roman"/>
          <w:b w:val="1"/>
          <w:bCs w:val="1"/>
          <w:sz w:val="24"/>
          <w:szCs w:val="24"/>
        </w:rPr>
        <w:t>.............................</w:t>
      </w:r>
      <w:r w:rsidRPr="3AEB93DD" w:rsidR="00B57BD9">
        <w:rPr>
          <w:rFonts w:ascii="Times New Roman" w:hAnsi="Times New Roman"/>
          <w:sz w:val="24"/>
          <w:szCs w:val="24"/>
        </w:rPr>
        <w:t>, dejando a salvo el derecho del reclamante de acudir ante las instancias que estime pertinente.</w:t>
      </w:r>
    </w:p>
    <w:p w:rsidRPr="00F95AF9" w:rsidR="000341A4" w:rsidP="00A1356B" w:rsidRDefault="00D00142" w14:paraId="1C54D393" w14:textId="45C37260">
      <w:pPr>
        <w:jc w:val="right"/>
        <w:rPr>
          <w:rFonts w:ascii="Times New Roman" w:hAnsi="Times New Roman"/>
          <w:sz w:val="24"/>
          <w:szCs w:val="24"/>
        </w:rPr>
      </w:pPr>
      <w:r w:rsidRPr="00F95AF9">
        <w:rPr>
          <w:rFonts w:ascii="Times New Roman" w:hAnsi="Times New Roman"/>
          <w:sz w:val="24"/>
          <w:szCs w:val="24"/>
        </w:rPr>
        <w:t>Lima,</w:t>
      </w:r>
      <w:r w:rsidRPr="00F95AF9" w:rsidR="0034229F">
        <w:rPr>
          <w:rFonts w:ascii="Times New Roman" w:hAnsi="Times New Roman"/>
          <w:sz w:val="24"/>
          <w:szCs w:val="24"/>
        </w:rPr>
        <w:t xml:space="preserve"> </w:t>
      </w:r>
      <w:r w:rsidR="00BF3D8F">
        <w:rPr>
          <w:rFonts w:ascii="Times New Roman" w:hAnsi="Times New Roman"/>
          <w:sz w:val="24"/>
          <w:szCs w:val="24"/>
        </w:rPr>
        <w:t>20</w:t>
      </w:r>
      <w:r w:rsidRPr="00F95AF9" w:rsidR="0034229F">
        <w:rPr>
          <w:rFonts w:ascii="Times New Roman" w:hAnsi="Times New Roman"/>
          <w:sz w:val="24"/>
          <w:szCs w:val="24"/>
        </w:rPr>
        <w:t xml:space="preserve"> </w:t>
      </w:r>
      <w:r w:rsidRPr="00F95AF9">
        <w:rPr>
          <w:rFonts w:ascii="Times New Roman" w:hAnsi="Times New Roman"/>
          <w:sz w:val="24"/>
          <w:szCs w:val="24"/>
        </w:rPr>
        <w:t>de</w:t>
      </w:r>
      <w:r w:rsidRPr="00F95AF9" w:rsidR="003E3E64">
        <w:rPr>
          <w:rFonts w:ascii="Times New Roman" w:hAnsi="Times New Roman"/>
          <w:sz w:val="24"/>
          <w:szCs w:val="24"/>
        </w:rPr>
        <w:t xml:space="preserve"> </w:t>
      </w:r>
      <w:r w:rsidRPr="00F95AF9" w:rsidR="00B01959">
        <w:rPr>
          <w:rFonts w:ascii="Times New Roman" w:hAnsi="Times New Roman"/>
          <w:sz w:val="24"/>
          <w:szCs w:val="24"/>
        </w:rPr>
        <w:t>febrero</w:t>
      </w:r>
      <w:r w:rsidRPr="00F95AF9">
        <w:rPr>
          <w:rFonts w:ascii="Times New Roman" w:hAnsi="Times New Roman"/>
          <w:sz w:val="24"/>
          <w:szCs w:val="24"/>
        </w:rPr>
        <w:t xml:space="preserve"> de 202</w:t>
      </w:r>
      <w:r w:rsidRPr="00F95AF9" w:rsidR="006C6213">
        <w:rPr>
          <w:rFonts w:ascii="Times New Roman" w:hAnsi="Times New Roman"/>
          <w:sz w:val="24"/>
          <w:szCs w:val="24"/>
        </w:rPr>
        <w:t>3</w:t>
      </w:r>
    </w:p>
    <w:p w:rsidRPr="00F95AF9" w:rsidR="000341A4" w:rsidP="000341A4" w:rsidRDefault="000341A4" w14:paraId="010019CB" w14:textId="03FC9817">
      <w:pPr>
        <w:jc w:val="both"/>
        <w:rPr>
          <w:rFonts w:ascii="Times New Roman" w:hAnsi="Times New Roman"/>
          <w:b/>
          <w:bCs/>
          <w:i/>
          <w:iCs/>
          <w:sz w:val="24"/>
          <w:szCs w:val="24"/>
        </w:rPr>
      </w:pPr>
      <w:r w:rsidRPr="00F95AF9">
        <w:rPr>
          <w:rFonts w:ascii="Times New Roman" w:hAnsi="Times New Roman"/>
          <w:b/>
          <w:bCs/>
          <w:i/>
          <w:iCs/>
          <w:sz w:val="24"/>
          <w:szCs w:val="24"/>
        </w:rPr>
        <w:t>La Secretaría Técnica certifica que la presente resolución, al haber sido emitida por el Órgano Resolutivo Unipersonal, cuenta con el voto del vocal cuyo nombre figura al final del presente documento.</w:t>
      </w:r>
    </w:p>
    <w:p w:rsidRPr="00F95AF9" w:rsidR="000341A4" w:rsidP="000341A4" w:rsidRDefault="000341A4" w14:paraId="7BEA296E" w14:textId="77777777">
      <w:pPr>
        <w:jc w:val="both"/>
        <w:rPr>
          <w:rFonts w:ascii="Times New Roman" w:hAnsi="Times New Roman"/>
          <w:b/>
          <w:bCs/>
          <w:sz w:val="24"/>
          <w:szCs w:val="24"/>
        </w:rPr>
      </w:pPr>
    </w:p>
    <w:p w:rsidRPr="00A1356B" w:rsidR="0089374D" w:rsidP="33E1E3DB" w:rsidRDefault="0089374D" w14:paraId="7A3A0BC6" w14:textId="17E9C5BC">
      <w:pPr>
        <w:spacing w:line="360" w:lineRule="auto"/>
        <w:jc w:val="center"/>
        <w:rPr>
          <w:rFonts w:ascii="Times New Roman" w:hAnsi="Times New Roman"/>
          <w:b w:val="1"/>
          <w:bCs w:val="1"/>
          <w:sz w:val="24"/>
          <w:szCs w:val="24"/>
        </w:rPr>
      </w:pPr>
      <w:r w:rsidRPr="33E1E3DB" w:rsidR="18C17F2D">
        <w:rPr>
          <w:rFonts w:ascii="Times New Roman" w:hAnsi="Times New Roman"/>
          <w:b w:val="1"/>
          <w:bCs w:val="1"/>
          <w:sz w:val="24"/>
          <w:szCs w:val="24"/>
        </w:rPr>
        <w:t xml:space="preserve">Omar Alfaro Villanueva </w:t>
      </w:r>
      <w:r w:rsidRPr="33E1E3DB" w:rsidR="24441B73">
        <w:rPr>
          <w:rFonts w:ascii="Times New Roman" w:hAnsi="Times New Roman"/>
          <w:b w:val="1"/>
          <w:bCs w:val="1"/>
          <w:sz w:val="24"/>
          <w:szCs w:val="24"/>
        </w:rPr>
        <w:t>– Vocal</w:t>
      </w:r>
    </w:p>
    <w:sectPr w:rsidRPr="00A1356B" w:rsidR="0089374D" w:rsidSect="0031356D">
      <w:headerReference w:type="default" r:id="rId9"/>
      <w:footerReference w:type="default" r:id="rId10"/>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2417D" w:rsidP="00722F1A" w:rsidRDefault="0062417D" w14:paraId="2DC8B4E7" w14:textId="77777777">
      <w:pPr>
        <w:spacing w:after="0" w:line="240" w:lineRule="auto"/>
      </w:pPr>
      <w:r>
        <w:separator/>
      </w:r>
    </w:p>
  </w:endnote>
  <w:endnote w:type="continuationSeparator" w:id="0">
    <w:p w:rsidR="0062417D" w:rsidP="00722F1A" w:rsidRDefault="0062417D" w14:paraId="6F74F6B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sz w:val="18"/>
        <w:szCs w:val="18"/>
      </w:rPr>
      <w:id w:val="-1356568603"/>
      <w:docPartObj>
        <w:docPartGallery w:val="Page Numbers (Bottom of Page)"/>
        <w:docPartUnique/>
      </w:docPartObj>
    </w:sdtPr>
    <w:sdtContent>
      <w:p w:rsidRPr="00A1356B" w:rsidR="00A1356B" w:rsidRDefault="00A1356B" w14:paraId="598C3FC7" w14:textId="14BDFCAA">
        <w:pPr>
          <w:pStyle w:val="Piedepgina"/>
          <w:jc w:val="right"/>
          <w:rPr>
            <w:rFonts w:ascii="Times New Roman" w:hAnsi="Times New Roman"/>
            <w:sz w:val="18"/>
            <w:szCs w:val="18"/>
          </w:rPr>
        </w:pPr>
        <w:r w:rsidRPr="00A1356B">
          <w:rPr>
            <w:rFonts w:ascii="Times New Roman" w:hAnsi="Times New Roman"/>
            <w:sz w:val="18"/>
            <w:szCs w:val="18"/>
          </w:rPr>
          <w:fldChar w:fldCharType="begin"/>
        </w:r>
        <w:r w:rsidRPr="00A1356B">
          <w:rPr>
            <w:rFonts w:ascii="Times New Roman" w:hAnsi="Times New Roman"/>
            <w:sz w:val="18"/>
            <w:szCs w:val="18"/>
          </w:rPr>
          <w:instrText>PAGE   \* MERGEFORMAT</w:instrText>
        </w:r>
        <w:r w:rsidRPr="00A1356B">
          <w:rPr>
            <w:rFonts w:ascii="Times New Roman" w:hAnsi="Times New Roman"/>
            <w:sz w:val="18"/>
            <w:szCs w:val="18"/>
          </w:rPr>
          <w:fldChar w:fldCharType="separate"/>
        </w:r>
        <w:r w:rsidRPr="00A1356B">
          <w:rPr>
            <w:rFonts w:ascii="Times New Roman" w:hAnsi="Times New Roman"/>
            <w:sz w:val="18"/>
            <w:szCs w:val="18"/>
            <w:lang w:val="es-ES"/>
          </w:rPr>
          <w:t>2</w:t>
        </w:r>
        <w:r w:rsidRPr="00A1356B">
          <w:rPr>
            <w:rFonts w:ascii="Times New Roman" w:hAnsi="Times New Roman"/>
            <w:sz w:val="18"/>
            <w:szCs w:val="18"/>
          </w:rPr>
          <w:fldChar w:fldCharType="end"/>
        </w:r>
      </w:p>
    </w:sdtContent>
    <w:sdtEndPr>
      <w:rPr>
        <w:rFonts w:ascii="Times New Roman" w:hAnsi="Times New Roman"/>
        <w:sz w:val="18"/>
        <w:szCs w:val="18"/>
      </w:rPr>
    </w:sdtEndPr>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2417D" w:rsidP="00722F1A" w:rsidRDefault="0062417D" w14:paraId="290C6EAF" w14:textId="77777777">
      <w:pPr>
        <w:spacing w:after="0" w:line="240" w:lineRule="auto"/>
      </w:pPr>
      <w:r>
        <w:separator/>
      </w:r>
    </w:p>
  </w:footnote>
  <w:footnote w:type="continuationSeparator" w:id="0">
    <w:p w:rsidR="0062417D" w:rsidP="00722F1A" w:rsidRDefault="0062417D" w14:paraId="3A590FE3"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4"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586651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341A4"/>
    <w:rsid w:val="002A2860"/>
    <w:rsid w:val="0034229F"/>
    <w:rsid w:val="003A723E"/>
    <w:rsid w:val="003B3018"/>
    <w:rsid w:val="003C0596"/>
    <w:rsid w:val="003C08D0"/>
    <w:rsid w:val="003E3E64"/>
    <w:rsid w:val="00407A18"/>
    <w:rsid w:val="00426947"/>
    <w:rsid w:val="00430735"/>
    <w:rsid w:val="005745B9"/>
    <w:rsid w:val="005A6F5E"/>
    <w:rsid w:val="0062417D"/>
    <w:rsid w:val="006C6213"/>
    <w:rsid w:val="00722F1A"/>
    <w:rsid w:val="00773552"/>
    <w:rsid w:val="00786219"/>
    <w:rsid w:val="0089374D"/>
    <w:rsid w:val="00A1356B"/>
    <w:rsid w:val="00A17B8F"/>
    <w:rsid w:val="00A32C5D"/>
    <w:rsid w:val="00AA78B6"/>
    <w:rsid w:val="00B01959"/>
    <w:rsid w:val="00B57BD9"/>
    <w:rsid w:val="00BF3D8F"/>
    <w:rsid w:val="00D00142"/>
    <w:rsid w:val="00E941E1"/>
    <w:rsid w:val="00EC2750"/>
    <w:rsid w:val="00ED5195"/>
    <w:rsid w:val="00F36D1D"/>
    <w:rsid w:val="00F91333"/>
    <w:rsid w:val="00F95AF9"/>
    <w:rsid w:val="00F96F24"/>
    <w:rsid w:val="00FC7002"/>
    <w:rsid w:val="15082BF6"/>
    <w:rsid w:val="18C17F2D"/>
    <w:rsid w:val="18C57339"/>
    <w:rsid w:val="24441B73"/>
    <w:rsid w:val="2DB5AF4F"/>
    <w:rsid w:val="33E1E3DB"/>
    <w:rsid w:val="34FED2BE"/>
    <w:rsid w:val="36ADBC10"/>
    <w:rsid w:val="3AEB93DD"/>
    <w:rsid w:val="3D1B1278"/>
    <w:rsid w:val="4192DDF0"/>
    <w:rsid w:val="4EDD5F17"/>
    <w:rsid w:val="57D75EF6"/>
    <w:rsid w:val="5A72CFEA"/>
    <w:rsid w:val="621188F9"/>
    <w:rsid w:val="75AA806A"/>
    <w:rsid w:val="7F2DAA69"/>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uiPriority w:val="1"/>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uiPriority w:val="1"/>
    <w:rsid w:val="005745B9"/>
    <w:rPr>
      <w:rFonts w:ascii="Times New Roman" w:hAnsi="Times New Roman" w:cs="Times New Roman"/>
      <w:sz w:val="24"/>
      <w:szCs w:val="24"/>
    </w:rPr>
  </w:style>
  <w:style w:type="paragraph" w:styleId="Prrafodelista">
    <w:name w:val="List Paragraph"/>
    <w:basedOn w:val="Normal"/>
    <w:uiPriority w:val="1"/>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941838220">
      <w:bodyDiv w:val="1"/>
      <w:marLeft w:val="0"/>
      <w:marRight w:val="0"/>
      <w:marTop w:val="0"/>
      <w:marBottom w:val="0"/>
      <w:divBdr>
        <w:top w:val="none" w:sz="0" w:space="0" w:color="auto"/>
        <w:left w:val="none" w:sz="0" w:space="0" w:color="auto"/>
        <w:bottom w:val="none" w:sz="0" w:space="0" w:color="auto"/>
        <w:right w:val="none" w:sz="0" w:space="0" w:color="auto"/>
      </w:divBdr>
    </w:div>
    <w:div w:id="1658067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12A57F75-AA3B-4007-86BB-4E961086FAFE}"/>
</file>

<file path=customXml/itemProps3.xml><?xml version="1.0" encoding="utf-8"?>
<ds:datastoreItem xmlns:ds="http://schemas.openxmlformats.org/officeDocument/2006/customXml" ds:itemID="{C54C033A-2B33-443B-A70F-9B12C908213A}"/>
</file>

<file path=customXml/itemProps4.xml><?xml version="1.0" encoding="utf-8"?>
<ds:datastoreItem xmlns:ds="http://schemas.openxmlformats.org/officeDocument/2006/customXml" ds:itemID="{E8585484-FD84-46FE-8BE6-C204C948F95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19</cp:revision>
  <cp:lastPrinted>2023-02-21T15:54:00Z</cp:lastPrinted>
  <dcterms:created xsi:type="dcterms:W3CDTF">2022-12-22T22:59:00Z</dcterms:created>
  <dcterms:modified xsi:type="dcterms:W3CDTF">2026-01-06T16:27:41Z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