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E6272" w:rsidR="00F15FBA" w:rsidP="00F15FBA" w:rsidRDefault="00F15FBA" w14:paraId="6BA6C8A5" w14:textId="57AB47A0">
      <w:pPr>
        <w:pStyle w:val="Ttulo"/>
        <w:outlineLvl w:val="0"/>
        <w:rPr>
          <w:lang w:val="es-PE"/>
        </w:rPr>
      </w:pPr>
      <w:r w:rsidRPr="006E6272">
        <w:rPr>
          <w:lang w:val="es-PE"/>
        </w:rPr>
        <w:t xml:space="preserve">RESOLUCIÓN </w:t>
      </w:r>
      <w:proofErr w:type="spellStart"/>
      <w:r w:rsidRPr="006E6272">
        <w:rPr>
          <w:lang w:val="es-PE"/>
        </w:rPr>
        <w:t>N</w:t>
      </w:r>
      <w:r w:rsidRPr="006E6272" w:rsidR="001631D6">
        <w:rPr>
          <w:lang w:val="es-PE"/>
        </w:rPr>
        <w:t>°</w:t>
      </w:r>
      <w:proofErr w:type="spellEnd"/>
      <w:r w:rsidRPr="006E6272" w:rsidR="001631D6">
        <w:rPr>
          <w:lang w:val="es-PE"/>
        </w:rPr>
        <w:t xml:space="preserve"> </w:t>
      </w:r>
      <w:r w:rsidRPr="006E6272" w:rsidR="003E6BA6">
        <w:rPr>
          <w:lang w:val="es-PE"/>
        </w:rPr>
        <w:t>0</w:t>
      </w:r>
      <w:r w:rsidRPr="006E6272" w:rsidR="001A4C9A">
        <w:rPr>
          <w:lang w:val="es-PE"/>
        </w:rPr>
        <w:t>7</w:t>
      </w:r>
      <w:r w:rsidRPr="006E6272" w:rsidR="003470DF">
        <w:rPr>
          <w:lang w:val="es-PE"/>
        </w:rPr>
        <w:t>1</w:t>
      </w:r>
      <w:r w:rsidRPr="006E6272" w:rsidR="001631D6">
        <w:rPr>
          <w:lang w:val="es-PE"/>
        </w:rPr>
        <w:t>/2</w:t>
      </w:r>
      <w:r w:rsidRPr="006E6272" w:rsidR="00BD063F">
        <w:rPr>
          <w:lang w:val="es-PE"/>
        </w:rPr>
        <w:t>3</w:t>
      </w:r>
    </w:p>
    <w:p w:rsidRPr="006E6272" w:rsidR="003D5263" w:rsidP="003D5263" w:rsidRDefault="003D5263" w14:paraId="6E8CEFCE" w14:textId="77777777">
      <w:pPr>
        <w:jc w:val="both"/>
        <w:rPr>
          <w:lang w:val="es-PE" w:eastAsia="en-US"/>
        </w:rPr>
      </w:pPr>
    </w:p>
    <w:p w:rsidRPr="006E6272" w:rsidR="002A1509" w:rsidP="002A1509" w:rsidRDefault="002A1509" w14:paraId="3DBB09B7" w14:textId="77777777">
      <w:pPr>
        <w:jc w:val="both"/>
        <w:rPr>
          <w:lang w:val="es-PE" w:eastAsia="en-US"/>
        </w:rPr>
      </w:pPr>
    </w:p>
    <w:p w:rsidRPr="006E6272" w:rsidR="006E6272" w:rsidP="006E6272" w:rsidRDefault="006E6272" w14:paraId="2BE81739" w14:textId="77777777">
      <w:pPr>
        <w:jc w:val="both"/>
        <w:rPr>
          <w:b/>
        </w:rPr>
      </w:pPr>
      <w:r w:rsidRPr="006E6272">
        <w:rPr>
          <w:b/>
        </w:rPr>
        <w:t>Vistos:</w:t>
      </w:r>
    </w:p>
    <w:p w:rsidRPr="006E6272" w:rsidR="006E6272" w:rsidP="006E6272" w:rsidRDefault="006E6272" w14:paraId="01CFC0E6" w14:textId="77777777">
      <w:pPr>
        <w:jc w:val="both"/>
        <w:rPr>
          <w:b/>
        </w:rPr>
      </w:pPr>
    </w:p>
    <w:p w:rsidRPr="006E6272" w:rsidR="006E6272" w:rsidP="006E6272" w:rsidRDefault="006E6272" w14:paraId="1A27ED35" w14:textId="2F1F1DBD">
      <w:pPr>
        <w:jc w:val="both"/>
      </w:pPr>
      <w:r w:rsidR="006E6272">
        <w:rPr/>
        <w:t xml:space="preserve">Que, don </w:t>
      </w:r>
      <w:r w:rsidR="3ADAE1C9">
        <w:rPr/>
        <w:t>........................................................</w:t>
      </w:r>
      <w:r w:rsidR="006E6272">
        <w:rPr/>
        <w:t xml:space="preserve"> interpone reclamación ante esta Defensoría del Asegurado (DEFASEG), solicitando que </w:t>
      </w:r>
      <w:r w:rsidR="640C1B70">
        <w:rPr/>
        <w:t>................................</w:t>
      </w:r>
      <w:r w:rsidR="006E6272">
        <w:rPr/>
        <w:t xml:space="preserve"> otorgue la cobertura de invalidez total y permanente del seguro de desgravamen considerando la fecha de ocurrencia de invalidez que figura en el dictamen de evaluación y calificación de invalidez, conforme a la Póliza de Seguro de Desgravamen No. </w:t>
      </w:r>
      <w:r w:rsidR="2868E841">
        <w:rPr/>
        <w:t>.............</w:t>
      </w:r>
      <w:r w:rsidR="006E6272">
        <w:rPr/>
        <w:t>;</w:t>
      </w:r>
    </w:p>
    <w:p w:rsidRPr="006E6272" w:rsidR="006E6272" w:rsidP="006E6272" w:rsidRDefault="006E6272" w14:paraId="08C3BFD5" w14:textId="77777777">
      <w:pPr>
        <w:jc w:val="both"/>
        <w:rPr>
          <w:bCs/>
        </w:rPr>
      </w:pPr>
    </w:p>
    <w:p w:rsidRPr="006E6272" w:rsidR="006E6272" w:rsidP="006E6272" w:rsidRDefault="006E6272" w14:paraId="58A313FC" w14:textId="77777777">
      <w:pPr>
        <w:jc w:val="both"/>
        <w:rPr>
          <w:bCs/>
        </w:rPr>
      </w:pPr>
      <w:r w:rsidRPr="006E6272">
        <w:rPr>
          <w:bCs/>
        </w:rPr>
        <w:t>Que, la señalada reclamación cumple con los requisitos de materia, cuantía y oportunidad establecidos en el reglamento de la DEFASEG (http://www.defaseg.com.pe/reglamento);</w:t>
      </w:r>
    </w:p>
    <w:p w:rsidRPr="006E6272" w:rsidR="006E6272" w:rsidP="006E6272" w:rsidRDefault="006E6272" w14:paraId="0342A0F0" w14:textId="77777777">
      <w:pPr>
        <w:jc w:val="both"/>
        <w:rPr>
          <w:bCs/>
        </w:rPr>
      </w:pPr>
    </w:p>
    <w:p w:rsidRPr="006E6272" w:rsidR="006E6272" w:rsidP="006E6272" w:rsidRDefault="006E6272" w14:paraId="2E24CA5D" w14:textId="38E6AD5D">
      <w:pPr>
        <w:jc w:val="both"/>
      </w:pPr>
      <w:r w:rsidR="006E6272">
        <w:rPr/>
        <w:t xml:space="preserve">Que, habiéndose corrido traslado de la señalada reclamación, </w:t>
      </w:r>
      <w:r w:rsidR="640C1B70">
        <w:rPr/>
        <w:t>................................</w:t>
      </w:r>
      <w:r w:rsidR="006E6272">
        <w:rPr/>
        <w:t xml:space="preserve"> presentó sus descargos de los cuales se corrió traslado a la reclamante, convocándose posteriormente a audiencia de vista;</w:t>
      </w:r>
    </w:p>
    <w:p w:rsidRPr="006E6272" w:rsidR="006E6272" w:rsidP="006E6272" w:rsidRDefault="006E6272" w14:paraId="54742DF3" w14:textId="77777777">
      <w:pPr>
        <w:jc w:val="both"/>
        <w:rPr>
          <w:bCs/>
        </w:rPr>
      </w:pPr>
    </w:p>
    <w:p w:rsidRPr="006E6272" w:rsidR="006E6272" w:rsidP="006E6272" w:rsidRDefault="006E6272" w14:paraId="08139DCB" w14:textId="77777777">
      <w:pPr>
        <w:jc w:val="both"/>
        <w:rPr>
          <w:bCs/>
        </w:rPr>
      </w:pPr>
      <w:r w:rsidRPr="006E6272">
        <w:rPr>
          <w:bCs/>
        </w:rPr>
        <w:t>Que, el 03 de abril de 2023 se realizó la audiencia de vista con la participación de ambas partes, quienes sustentaron sus respectivas posiciones respecto de la reclamación, absolviendo las diversas preguntas formuladas por este colegiado, conforme consta de la correspondiente acta;</w:t>
      </w:r>
    </w:p>
    <w:p w:rsidRPr="006E6272" w:rsidR="006E6272" w:rsidP="006E6272" w:rsidRDefault="006E6272" w14:paraId="73993867" w14:textId="77777777">
      <w:pPr>
        <w:jc w:val="both"/>
        <w:rPr>
          <w:bCs/>
        </w:rPr>
      </w:pPr>
    </w:p>
    <w:p w:rsidRPr="006E6272" w:rsidR="006E6272" w:rsidP="006E6272" w:rsidRDefault="006E6272" w14:paraId="5815C871" w14:textId="77777777">
      <w:pPr>
        <w:jc w:val="both"/>
        <w:rPr>
          <w:bCs/>
        </w:rPr>
      </w:pPr>
      <w:r w:rsidRPr="006E6272">
        <w:rPr>
          <w:bCs/>
        </w:rPr>
        <w:t>Que, la reclamación interpuesta se sustenta resumidamente en los hechos y fundamentos siguientes: a) No se encuentra de acuerdo con la fecha considerada por la aseguradora para liquidar el seguro de desgravamen cuya cobertura ha sido aceptada; b) considera que debe utilizarse la fecha de ocurrencia de la invalidez que figura en el dictamen de evaluación y calificación de invalidez, que es el 18 de enero de 2022, y no la fecha del dictamen que es el 14 de setiembre de 2022, ni la fecha de inicio de vigencia del dictamen que es el 02 de agosto de 2022; c) señala que la fecha de emisión del dictamen es la fecha donde la COMAFP comunica al afiliado y la AFP el resultado de la evaluación realizada al afiliado y en su contenido detalla el resultado del dictamen indicando la fecha de ocurrencia del siniestro; mientras que la fecha de ocurrencia, es la fecha que señala la ocurrencia del siniestro y la vigencia del seguro que se dará cobertura y también sirve para determinar si la cobertura procede o no, por lo que debe utilizarse esta última.</w:t>
      </w:r>
    </w:p>
    <w:p w:rsidRPr="006E6272" w:rsidR="006E6272" w:rsidP="006E6272" w:rsidRDefault="006E6272" w14:paraId="56B78F29" w14:textId="77777777">
      <w:pPr>
        <w:jc w:val="both"/>
        <w:rPr>
          <w:bCs/>
        </w:rPr>
      </w:pPr>
    </w:p>
    <w:p w:rsidRPr="006E6272" w:rsidR="006E6272" w:rsidP="006E6272" w:rsidRDefault="006E6272" w14:paraId="5AFBF840" w14:textId="4129246E">
      <w:pPr>
        <w:jc w:val="both"/>
      </w:pPr>
      <w:r w:rsidR="006E6272">
        <w:rPr/>
        <w:t xml:space="preserve">Que, por su parte, </w:t>
      </w:r>
      <w:r w:rsidR="640C1B70">
        <w:rPr/>
        <w:t>................................</w:t>
      </w:r>
      <w:r w:rsidR="006E6272">
        <w:rPr/>
        <w:t xml:space="preserve"> solicita en sus descargos que la reclamación sea desestimada, atendiendo resumidamente a lo siguiente:  a) el reclamante considera que la fecha correcta de liquidación es el 18 de enero de 2022 y no el 02 de agosto de 2022 tal como se ha consignado;  a fin que se le reconozca desde esa fecha la cobertura de invalidez total y permanente y se realice una nueva liquidación; b) han considerado la fecha del 02 de agosto de 2022 debido a que la fecha del dictamen de evaluación y calificación de invalidez que se ha adjuntado al reclamo, indica que el inicio de vigencia de dicho documento es el 02 de agosto de 2022; por lo que han atendido el siniestro de acuerdo a ley; c) añaden que los contratos son obligatorios para las partes en cuanto se haya expresado en ellos; d) mediante correo electrónico de fecha 31 de marzo de 2023, adjuntaron el certificado de seguro suscrito por el asegurado, resaltando que en el mismo se establece expresamente que en caso de invalidez total y permanente por enfermedad, se considerará como fecha de configuración </w:t>
      </w:r>
      <w:r w:rsidR="006E6272">
        <w:rPr/>
        <w:t>del siniestro la fecha del dictamen de invalidez; es por ello que el pago se realizó considerando la fecha del dictamen presentado por el asegurado esto es el 02.08.22 y no la fecha en que ocurrió el siniestro (enero 2022).</w:t>
      </w:r>
    </w:p>
    <w:p w:rsidRPr="006E6272" w:rsidR="006E6272" w:rsidP="006E6272" w:rsidRDefault="006E6272" w14:paraId="3C707E49" w14:textId="77777777">
      <w:pPr>
        <w:jc w:val="both"/>
        <w:rPr>
          <w:bCs/>
        </w:rPr>
      </w:pPr>
    </w:p>
    <w:p w:rsidRPr="005D2A9F" w:rsidR="006E6272" w:rsidP="006E6272" w:rsidRDefault="006E6272" w14:paraId="42A98CE9" w14:textId="77777777">
      <w:pPr>
        <w:jc w:val="both"/>
        <w:rPr>
          <w:b/>
        </w:rPr>
      </w:pPr>
      <w:r w:rsidRPr="005D2A9F">
        <w:rPr>
          <w:b/>
        </w:rPr>
        <w:t>Considerando:</w:t>
      </w:r>
    </w:p>
    <w:p w:rsidRPr="006E6272" w:rsidR="006E6272" w:rsidP="006E6272" w:rsidRDefault="006E6272" w14:paraId="0C87CA24" w14:textId="77777777">
      <w:pPr>
        <w:jc w:val="both"/>
        <w:rPr>
          <w:bCs/>
        </w:rPr>
      </w:pPr>
    </w:p>
    <w:p w:rsidRPr="006E6272" w:rsidR="006E6272" w:rsidP="006E6272" w:rsidRDefault="006E6272" w14:paraId="50628425" w14:textId="77777777">
      <w:pPr>
        <w:jc w:val="both"/>
        <w:rPr>
          <w:bCs/>
        </w:rPr>
      </w:pPr>
      <w:r w:rsidRPr="005D2A9F">
        <w:rPr>
          <w:b/>
        </w:rPr>
        <w:t>Primero</w:t>
      </w:r>
      <w:r w:rsidRPr="006E6272">
        <w:rPr>
          <w:bCs/>
        </w:rPr>
        <w:t>: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6E6272" w:rsidR="006E6272" w:rsidP="006E6272" w:rsidRDefault="006E6272" w14:paraId="6E745AB4" w14:textId="77777777">
      <w:pPr>
        <w:jc w:val="both"/>
        <w:rPr>
          <w:bCs/>
        </w:rPr>
      </w:pPr>
    </w:p>
    <w:p w:rsidRPr="006E6272" w:rsidR="006E6272" w:rsidP="006E6272" w:rsidRDefault="006E6272" w14:paraId="00C88E60" w14:textId="77777777">
      <w:pPr>
        <w:jc w:val="both"/>
        <w:rPr>
          <w:bCs/>
        </w:rPr>
      </w:pPr>
      <w:r w:rsidRPr="005D2A9F">
        <w:rPr>
          <w:b/>
        </w:rPr>
        <w:t>Segundo:</w:t>
      </w:r>
      <w:r w:rsidRPr="006E6272">
        <w:rPr>
          <w:bCs/>
        </w:rPr>
        <w:t xml:space="preserve"> Asimismo, </w:t>
      </w:r>
      <w:proofErr w:type="gramStart"/>
      <w:r w:rsidRPr="006E6272">
        <w:rPr>
          <w:bCs/>
        </w:rPr>
        <w:t>de acuerdo a</w:t>
      </w:r>
      <w:proofErr w:type="gramEnd"/>
      <w:r w:rsidRPr="006E6272">
        <w:rPr>
          <w:bCs/>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6E6272" w:rsidR="006E6272" w:rsidP="006E6272" w:rsidRDefault="006E6272" w14:paraId="290AAA68" w14:textId="77777777">
      <w:pPr>
        <w:jc w:val="both"/>
        <w:rPr>
          <w:bCs/>
        </w:rPr>
      </w:pPr>
    </w:p>
    <w:p w:rsidRPr="006E6272" w:rsidR="006E6272" w:rsidP="006E6272" w:rsidRDefault="006E6272" w14:paraId="19380DBC" w14:textId="77777777">
      <w:pPr>
        <w:jc w:val="both"/>
        <w:rPr>
          <w:bCs/>
        </w:rPr>
      </w:pPr>
      <w:r w:rsidRPr="006E6272">
        <w:rPr>
          <w:bCs/>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6E6272" w:rsidR="006E6272" w:rsidP="006E6272" w:rsidRDefault="006E6272" w14:paraId="16739BE3" w14:textId="77777777">
      <w:pPr>
        <w:jc w:val="both"/>
        <w:rPr>
          <w:bCs/>
        </w:rPr>
      </w:pPr>
    </w:p>
    <w:p w:rsidRPr="006E6272" w:rsidR="006E6272" w:rsidP="006E6272" w:rsidRDefault="006E6272" w14:paraId="6C30003B" w14:textId="77777777">
      <w:pPr>
        <w:jc w:val="both"/>
        <w:rPr>
          <w:bCs/>
        </w:rPr>
      </w:pPr>
      <w:r w:rsidRPr="005D2A9F">
        <w:rPr>
          <w:b/>
        </w:rPr>
        <w:t>Tercero:</w:t>
      </w:r>
      <w:r w:rsidRPr="006E6272">
        <w:rPr>
          <w:bCs/>
        </w:rPr>
        <w:t xml:space="preserv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E6272" w:rsidR="006E6272" w:rsidP="006E6272" w:rsidRDefault="006E6272" w14:paraId="0885D8CD" w14:textId="77777777">
      <w:pPr>
        <w:jc w:val="both"/>
        <w:rPr>
          <w:bCs/>
        </w:rPr>
      </w:pPr>
    </w:p>
    <w:p w:rsidRPr="006E6272" w:rsidR="006E6272" w:rsidP="006E6272" w:rsidRDefault="006E6272" w14:paraId="11DAE7FF" w14:textId="77777777">
      <w:pPr>
        <w:jc w:val="both"/>
        <w:rPr>
          <w:bCs/>
        </w:rPr>
      </w:pPr>
      <w:r w:rsidRPr="005D2A9F">
        <w:rPr>
          <w:b/>
        </w:rPr>
        <w:t>Cuarto:</w:t>
      </w:r>
      <w:r w:rsidRPr="006E6272">
        <w:rPr>
          <w:bC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E6272" w:rsidR="006E6272" w:rsidP="006E6272" w:rsidRDefault="006E6272" w14:paraId="1602EBF8" w14:textId="77777777">
      <w:pPr>
        <w:jc w:val="both"/>
        <w:rPr>
          <w:bCs/>
        </w:rPr>
      </w:pPr>
    </w:p>
    <w:p w:rsidRPr="006E6272" w:rsidR="006E6272" w:rsidP="006E6272" w:rsidRDefault="006E6272" w14:paraId="092343C4" w14:textId="77777777">
      <w:pPr>
        <w:jc w:val="both"/>
        <w:rPr>
          <w:bCs/>
        </w:rPr>
      </w:pPr>
      <w:r w:rsidRPr="005D2A9F">
        <w:rPr>
          <w:b/>
        </w:rPr>
        <w:t>Quinto:</w:t>
      </w:r>
      <w:r w:rsidRPr="006E6272">
        <w:rPr>
          <w:bCs/>
        </w:rPr>
        <w:t xml:space="preserve"> Conforme a un elemental criterio jurídico, recogido en el artículo 196 del Código Procesal Civil, corresponde a quien invoca hechos, así como a quien los contradice invocando nuevos hechos, probar su existencia, salvo que aquél que esté sujeto a dicha carga procesal se acoja a alguna presunción legal.</w:t>
      </w:r>
    </w:p>
    <w:p w:rsidRPr="006E6272" w:rsidR="006E6272" w:rsidP="006E6272" w:rsidRDefault="006E6272" w14:paraId="28EB724C" w14:textId="77777777">
      <w:pPr>
        <w:jc w:val="both"/>
        <w:rPr>
          <w:bCs/>
        </w:rPr>
      </w:pPr>
    </w:p>
    <w:p w:rsidRPr="006E6272" w:rsidR="006E6272" w:rsidP="006E6272" w:rsidRDefault="006E6272" w14:paraId="6B8C9B02" w14:textId="77777777">
      <w:pPr>
        <w:jc w:val="both"/>
        <w:rPr>
          <w:bCs/>
        </w:rPr>
      </w:pPr>
      <w:r w:rsidRPr="005D2A9F">
        <w:rPr>
          <w:b/>
        </w:rPr>
        <w:t>Sexto:</w:t>
      </w:r>
      <w:r w:rsidRPr="006E6272">
        <w:rPr>
          <w:bCs/>
        </w:rPr>
        <w:t xml:space="preserve"> Sobre la base de los términos contenidos en la reclamación y en la absolución de la misma, queda claro que no estamos ante un rechazo de siniestro, sino a una controversia respecto del monto liquidado, siendo </w:t>
      </w:r>
      <w:proofErr w:type="gramStart"/>
      <w:r w:rsidRPr="006E6272">
        <w:rPr>
          <w:bCs/>
        </w:rPr>
        <w:t>que  la</w:t>
      </w:r>
      <w:proofErr w:type="gramEnd"/>
      <w:r w:rsidRPr="006E6272">
        <w:rPr>
          <w:bCs/>
        </w:rPr>
        <w:t xml:space="preserve"> cuestión controvertida radica en determinar si </w:t>
      </w:r>
      <w:r w:rsidRPr="006E6272">
        <w:rPr>
          <w:bCs/>
        </w:rPr>
        <w:lastRenderedPageBreak/>
        <w:t>se debe considerar a la fecha de ocurrencia del siniestro consignada en el dictamen de evaluación y calificación de invalidez para efectos de determinar la suma asegurada a liquidar.</w:t>
      </w:r>
    </w:p>
    <w:p w:rsidRPr="006E6272" w:rsidR="006E6272" w:rsidP="006E6272" w:rsidRDefault="006E6272" w14:paraId="0C238DEC" w14:textId="77777777">
      <w:pPr>
        <w:jc w:val="both"/>
        <w:rPr>
          <w:bCs/>
        </w:rPr>
      </w:pPr>
    </w:p>
    <w:p w:rsidR="00BC5D74" w:rsidP="006E6272" w:rsidRDefault="006E6272" w14:paraId="115881AD" w14:textId="3A65AAD9">
      <w:pPr>
        <w:jc w:val="both"/>
        <w:rPr>
          <w:bCs/>
        </w:rPr>
      </w:pPr>
      <w:r w:rsidRPr="006E6272">
        <w:rPr>
          <w:bCs/>
        </w:rPr>
        <w:t xml:space="preserve">Obra en el expediente el certificado de seguro suscrito por el asegurado, y se aprecia </w:t>
      </w:r>
      <w:proofErr w:type="gramStart"/>
      <w:r w:rsidRPr="006E6272">
        <w:rPr>
          <w:bCs/>
        </w:rPr>
        <w:t>que</w:t>
      </w:r>
      <w:proofErr w:type="gramEnd"/>
      <w:r w:rsidRPr="006E6272">
        <w:rPr>
          <w:bCs/>
        </w:rPr>
        <w:t xml:space="preserve"> en el mismo, en el acápite II Coberturas (riesgos cubiertos) y sumas aseguradas, se estableció lo siguiente respecto de la suma asegurada (página 3):</w:t>
      </w:r>
    </w:p>
    <w:p w:rsidRPr="006E6272" w:rsidR="00BC5D74" w:rsidP="006E6272" w:rsidRDefault="00BC5D74" w14:paraId="181FA9BB" w14:textId="6C705B56">
      <w:pPr>
        <w:jc w:val="both"/>
        <w:rPr>
          <w:bCs/>
        </w:rPr>
      </w:pPr>
      <w:r>
        <w:rPr>
          <w:noProof/>
        </w:rPr>
        <w:drawing>
          <wp:inline distT="0" distB="0" distL="0" distR="0" wp14:anchorId="2D6CD7C6" wp14:editId="6BDDF553">
            <wp:extent cx="5580380" cy="1150620"/>
            <wp:effectExtent l="0" t="0" r="1270" b="0"/>
            <wp:docPr id="35690577" name="Imagen 3569057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0577" name="Imagen 35690577" descr="Interfaz de usuario gráfica, Texto, Aplicación&#10;&#10;Descripción generada automáticamente"/>
                    <pic:cNvPicPr>
                      <a:picLocks noChangeAspect="1"/>
                    </pic:cNvPicPr>
                  </pic:nvPicPr>
                  <pic:blipFill rotWithShape="1">
                    <a:blip r:embed="rId8"/>
                    <a:srcRect l="11245" t="49446" r="14452" b="27567"/>
                    <a:stretch/>
                  </pic:blipFill>
                  <pic:spPr bwMode="auto">
                    <a:xfrm>
                      <a:off x="0" y="0"/>
                      <a:ext cx="5580380" cy="1150620"/>
                    </a:xfrm>
                    <a:prstGeom prst="rect">
                      <a:avLst/>
                    </a:prstGeom>
                    <a:ln>
                      <a:noFill/>
                    </a:ln>
                    <a:extLst>
                      <a:ext uri="{53640926-AAD7-44D8-BBD7-CCE9431645EC}">
                        <a14:shadowObscured xmlns:a14="http://schemas.microsoft.com/office/drawing/2010/main"/>
                      </a:ext>
                    </a:extLst>
                  </pic:spPr>
                </pic:pic>
              </a:graphicData>
            </a:graphic>
          </wp:inline>
        </w:drawing>
      </w:r>
    </w:p>
    <w:p w:rsidRPr="006E6272" w:rsidR="006E6272" w:rsidP="006E6272" w:rsidRDefault="006E6272" w14:paraId="291CA155" w14:textId="6B6E57C5">
      <w:pPr>
        <w:jc w:val="both"/>
        <w:rPr>
          <w:bCs/>
        </w:rPr>
      </w:pPr>
      <w:r w:rsidRPr="006E6272">
        <w:rPr>
          <w:bCs/>
        </w:rPr>
        <w:t xml:space="preserve"> </w:t>
      </w:r>
    </w:p>
    <w:p w:rsidRPr="006E6272" w:rsidR="006E6272" w:rsidP="006E6272" w:rsidRDefault="006E6272" w14:paraId="4A660C00" w14:textId="77777777">
      <w:pPr>
        <w:jc w:val="both"/>
        <w:rPr>
          <w:bCs/>
        </w:rPr>
      </w:pPr>
      <w:r w:rsidRPr="006E6272">
        <w:rPr>
          <w:bCs/>
        </w:rPr>
        <w:t xml:space="preserve">Es decir, en el </w:t>
      </w:r>
      <w:proofErr w:type="spellStart"/>
      <w:r w:rsidRPr="006E6272">
        <w:rPr>
          <w:bCs/>
        </w:rPr>
        <w:t>acaso</w:t>
      </w:r>
      <w:proofErr w:type="spellEnd"/>
      <w:r w:rsidRPr="006E6272">
        <w:rPr>
          <w:bCs/>
        </w:rPr>
        <w:t xml:space="preserve"> de invalidez total y permanente por enfermedad, se determinó que la fecha de configuración del siniestro será la fecha del Dictamen de Invalidez.</w:t>
      </w:r>
    </w:p>
    <w:p w:rsidRPr="006E6272" w:rsidR="006E6272" w:rsidP="006E6272" w:rsidRDefault="006E6272" w14:paraId="47E738D6" w14:textId="77777777">
      <w:pPr>
        <w:jc w:val="both"/>
        <w:rPr>
          <w:bCs/>
        </w:rPr>
      </w:pPr>
    </w:p>
    <w:p w:rsidRPr="006E6272" w:rsidR="006E6272" w:rsidP="006E6272" w:rsidRDefault="006E6272" w14:paraId="0C7C459C" w14:textId="77777777">
      <w:pPr>
        <w:jc w:val="both"/>
        <w:rPr>
          <w:bCs/>
        </w:rPr>
      </w:pPr>
      <w:r w:rsidRPr="006E6272">
        <w:rPr>
          <w:bCs/>
        </w:rPr>
        <w:t xml:space="preserve">Es importante advertir que existe una diferenciación entre fecha de ocurrencia de siniestro, fecha de emisión del dictamen, y fecha de inicio de vigencia del dictamen; y, si bien el contrato se seguro se remite a las normas de evaluación y calificación de las </w:t>
      </w:r>
      <w:proofErr w:type="spellStart"/>
      <w:r w:rsidRPr="006E6272">
        <w:rPr>
          <w:bCs/>
        </w:rPr>
        <w:t>AFPs</w:t>
      </w:r>
      <w:proofErr w:type="spellEnd"/>
      <w:r w:rsidRPr="006E6272">
        <w:rPr>
          <w:bCs/>
        </w:rPr>
        <w:t xml:space="preserve">  para efectos de determinar si estamos ante una invalidez total, parcial, temporal o permanente, y según ello verificar si la condición de invalidez del asegurado corresponde a la indemnizada por la póliza; al no estar ante el seguro previsional del Sistema Privado de Pensiones sino ante un seguro que se rige por lo que la póliza establece, es claro que este último puede establecer normas y condiciones propias para determinar cuándo se considera configurada la invalidez para efectos de liquidar la suma asegurada.</w:t>
      </w:r>
    </w:p>
    <w:p w:rsidRPr="006E6272" w:rsidR="006E6272" w:rsidP="006E6272" w:rsidRDefault="006E6272" w14:paraId="16871950" w14:textId="77777777">
      <w:pPr>
        <w:jc w:val="both"/>
        <w:rPr>
          <w:bCs/>
        </w:rPr>
      </w:pPr>
    </w:p>
    <w:p w:rsidRPr="006E6272" w:rsidR="006E6272" w:rsidP="006E6272" w:rsidRDefault="006E6272" w14:paraId="57E2C8E9" w14:textId="77777777">
      <w:pPr>
        <w:jc w:val="both"/>
        <w:rPr>
          <w:bCs/>
        </w:rPr>
      </w:pPr>
      <w:r w:rsidRPr="006E6272">
        <w:rPr>
          <w:bCs/>
        </w:rPr>
        <w:t>Asimismo es preciso destacar que si bien una invalidez puede ser parcial o total y existir en ese grado desde la fecha de ocurrencia de la invalidez o con posterioridad al inicio de la enfermedad; dicho grado parcial o total puede ser a su vez temporal o permanente, y ello se determina en base a un criterio médico legal, conforme a las normas de evaluación y calificación de invalidez, por lo que solo se reconoce como permanente o definitiva, cuando se cuenta con un dictamen de invalidez que ha revisado las historia clínica y posibilidad o no de mejora o recuperación del paciente, y determina en una fecha determinada, la fecha inicio de vigencia del dictamen.</w:t>
      </w:r>
    </w:p>
    <w:p w:rsidRPr="006E6272" w:rsidR="006E6272" w:rsidP="006E6272" w:rsidRDefault="006E6272" w14:paraId="32426AFC" w14:textId="77777777">
      <w:pPr>
        <w:jc w:val="both"/>
        <w:rPr>
          <w:bCs/>
        </w:rPr>
      </w:pPr>
    </w:p>
    <w:p w:rsidRPr="006E6272" w:rsidR="006E6272" w:rsidP="006E6272" w:rsidRDefault="006E6272" w14:paraId="390F254E" w14:textId="77777777">
      <w:pPr>
        <w:jc w:val="both"/>
        <w:rPr>
          <w:bCs/>
        </w:rPr>
      </w:pPr>
      <w:r w:rsidRPr="006E6272">
        <w:rPr>
          <w:bCs/>
        </w:rPr>
        <w:t xml:space="preserve">En este sentido, la invalidez permanente no necesariamente se configura en la fecha de ocurrencia que figura en el dictamen, </w:t>
      </w:r>
      <w:proofErr w:type="spellStart"/>
      <w:r w:rsidRPr="006E6272">
        <w:rPr>
          <w:bCs/>
        </w:rPr>
        <w:t>pudiéndo</w:t>
      </w:r>
      <w:proofErr w:type="spellEnd"/>
      <w:r w:rsidRPr="006E6272">
        <w:rPr>
          <w:bCs/>
        </w:rPr>
        <w:t xml:space="preserve"> configurarse en una fecha posterior.</w:t>
      </w:r>
    </w:p>
    <w:p w:rsidRPr="006E6272" w:rsidR="006E6272" w:rsidP="006E6272" w:rsidRDefault="006E6272" w14:paraId="1517006C" w14:textId="77777777">
      <w:pPr>
        <w:jc w:val="both"/>
        <w:rPr>
          <w:bCs/>
        </w:rPr>
      </w:pPr>
    </w:p>
    <w:p w:rsidRPr="006E6272" w:rsidR="006E6272" w:rsidP="006E6272" w:rsidRDefault="006E6272" w14:paraId="2E77F5F8" w14:textId="77777777">
      <w:pPr>
        <w:jc w:val="both"/>
        <w:rPr>
          <w:bCs/>
        </w:rPr>
      </w:pPr>
      <w:r w:rsidRPr="006E6272">
        <w:rPr>
          <w:bCs/>
        </w:rPr>
        <w:t>En este caso, la póliza no cubre la invalidez total temporal sino solo la Invalidez Total y Permanente, y ella se produce desde que es reconocida como tal bajo dicha condición; y, lo que es más relevante para efectos del seguro que nos ocupa, es que la propia póliza estableció la forma en que debía liquidarse la suma asegurada en caso de una invalidez total y permanente, y determinó que debe considerarse para efectos de la liquidación a la fecha del dictamen de Invalidez (y no a la fecha de ocurrencia como sostiene la parte reclamante).</w:t>
      </w:r>
    </w:p>
    <w:p w:rsidRPr="006E6272" w:rsidR="006E6272" w:rsidP="006E6272" w:rsidRDefault="006E6272" w14:paraId="4B23F08D" w14:textId="77777777">
      <w:pPr>
        <w:jc w:val="both"/>
        <w:rPr>
          <w:bCs/>
        </w:rPr>
      </w:pPr>
    </w:p>
    <w:p w:rsidRPr="006E6272" w:rsidR="006E6272" w:rsidP="006E6272" w:rsidRDefault="006E6272" w14:paraId="3CD039AC" w14:textId="77777777">
      <w:pPr>
        <w:jc w:val="both"/>
        <w:rPr>
          <w:bCs/>
        </w:rPr>
      </w:pPr>
      <w:r w:rsidRPr="006E6272">
        <w:rPr>
          <w:bCs/>
        </w:rPr>
        <w:lastRenderedPageBreak/>
        <w:t>Conforme a lo expuesto, no procede utilizar la fecha de ocurrencia de la invalidez para efectos de la liquidación de la suma asegurada que contempla el seguro de desgravamen contratado por el reclamante.</w:t>
      </w:r>
    </w:p>
    <w:p w:rsidRPr="006E6272" w:rsidR="006E6272" w:rsidP="006E6272" w:rsidRDefault="006E6272" w14:paraId="35A3D51E" w14:textId="77777777">
      <w:pPr>
        <w:jc w:val="both"/>
        <w:rPr>
          <w:bCs/>
        </w:rPr>
      </w:pPr>
    </w:p>
    <w:p w:rsidRPr="00565F03" w:rsidR="006E6272" w:rsidP="006E6272" w:rsidRDefault="006E6272" w14:paraId="6933AA73" w14:textId="77777777">
      <w:pPr>
        <w:jc w:val="both"/>
        <w:rPr>
          <w:b/>
        </w:rPr>
      </w:pPr>
      <w:r w:rsidRPr="00565F03">
        <w:rPr>
          <w:b/>
        </w:rPr>
        <w:t xml:space="preserve">Atendiendo a lo expresado, este colegiado concluye su apreciación razonada y conjunta al amparo de lo establecido en su Reglamento, por lo que </w:t>
      </w:r>
    </w:p>
    <w:p w:rsidRPr="006E6272" w:rsidR="006E6272" w:rsidP="006E6272" w:rsidRDefault="006E6272" w14:paraId="36E4CDF4" w14:textId="77777777">
      <w:pPr>
        <w:jc w:val="both"/>
        <w:rPr>
          <w:bCs/>
        </w:rPr>
      </w:pPr>
    </w:p>
    <w:p w:rsidRPr="006E6272" w:rsidR="006E6272" w:rsidP="006E6272" w:rsidRDefault="006E6272" w14:paraId="02BDEC66" w14:textId="77777777">
      <w:pPr>
        <w:jc w:val="both"/>
        <w:rPr>
          <w:bCs/>
        </w:rPr>
      </w:pPr>
      <w:r w:rsidRPr="006E6272">
        <w:rPr>
          <w:bCs/>
        </w:rPr>
        <w:t>Resuelve:</w:t>
      </w:r>
    </w:p>
    <w:p w:rsidRPr="006E6272" w:rsidR="006E6272" w:rsidP="006E6272" w:rsidRDefault="006E6272" w14:paraId="4B22C7F7" w14:textId="77777777">
      <w:pPr>
        <w:jc w:val="both"/>
        <w:rPr>
          <w:bCs/>
        </w:rPr>
      </w:pPr>
    </w:p>
    <w:p w:rsidRPr="006E6272" w:rsidR="0062037B" w:rsidP="006E6272" w:rsidRDefault="006E6272" w14:paraId="342E4433" w14:textId="4E0B2680">
      <w:pPr>
        <w:jc w:val="both"/>
      </w:pPr>
      <w:r w:rsidR="006E6272">
        <w:rPr/>
        <w:t xml:space="preserve">Declarar INFUNDADO el reclamo interpuesto por </w:t>
      </w:r>
      <w:r w:rsidR="3ADAE1C9">
        <w:rPr/>
        <w:t>........................................................</w:t>
      </w:r>
      <w:r w:rsidR="006E6272">
        <w:rPr/>
        <w:t xml:space="preserve"> contra </w:t>
      </w:r>
      <w:r w:rsidR="640C1B70">
        <w:rPr/>
        <w:t>................................</w:t>
      </w:r>
      <w:r w:rsidR="006E6272">
        <w:rPr/>
        <w:t>, dejándose a salvo el derecho del reclamante para recurrir a las instancias que considere pertinentes.</w:t>
      </w:r>
    </w:p>
    <w:p w:rsidRPr="006E6272" w:rsidR="001631D6" w:rsidP="00EF6791" w:rsidRDefault="00F15FBA" w14:paraId="30F8D459" w14:textId="5441C6B3">
      <w:pPr>
        <w:jc w:val="right"/>
        <w:outlineLvl w:val="0"/>
        <w:rPr>
          <w:lang w:val="es-PE"/>
        </w:rPr>
      </w:pPr>
      <w:r w:rsidRPr="006E6272">
        <w:rPr>
          <w:lang w:val="es-PE"/>
        </w:rPr>
        <w:t xml:space="preserve">Lima, </w:t>
      </w:r>
      <w:r w:rsidRPr="006E6272" w:rsidR="00981056">
        <w:t xml:space="preserve">03 </w:t>
      </w:r>
      <w:r w:rsidRPr="006E6272">
        <w:rPr>
          <w:lang w:val="es-PE"/>
        </w:rPr>
        <w:t>de</w:t>
      </w:r>
      <w:r w:rsidRPr="006E6272" w:rsidR="001631D6">
        <w:rPr>
          <w:lang w:val="es-PE"/>
        </w:rPr>
        <w:t xml:space="preserve"> </w:t>
      </w:r>
      <w:r w:rsidRPr="006E6272" w:rsidR="00981056">
        <w:rPr>
          <w:lang w:val="es-PE"/>
        </w:rPr>
        <w:t>mayo</w:t>
      </w:r>
      <w:r w:rsidRPr="006E6272" w:rsidR="001631D6">
        <w:rPr>
          <w:lang w:val="es-PE"/>
        </w:rPr>
        <w:t xml:space="preserve"> </w:t>
      </w:r>
      <w:r w:rsidRPr="006E6272">
        <w:rPr>
          <w:lang w:val="es-PE"/>
        </w:rPr>
        <w:t>de 20</w:t>
      </w:r>
      <w:r w:rsidRPr="006E6272" w:rsidR="001631D6">
        <w:rPr>
          <w:lang w:val="es-PE"/>
        </w:rPr>
        <w:t>2</w:t>
      </w:r>
      <w:r w:rsidRPr="006E6272" w:rsidR="00807D21">
        <w:rPr>
          <w:lang w:val="es-PE"/>
        </w:rPr>
        <w:t>3</w:t>
      </w:r>
    </w:p>
    <w:p w:rsidRPr="006E6272" w:rsidR="00F202DC" w:rsidP="001631D6" w:rsidRDefault="00F202DC" w14:paraId="55EA6443" w14:textId="77777777">
      <w:pPr>
        <w:jc w:val="both"/>
      </w:pPr>
    </w:p>
    <w:p w:rsidRPr="006E6272" w:rsidR="001631D6" w:rsidP="001631D6" w:rsidRDefault="001631D6" w14:paraId="54F717D9" w14:textId="77777777">
      <w:pPr>
        <w:jc w:val="both"/>
        <w:rPr>
          <w:b/>
          <w:bCs/>
          <w:i/>
          <w:iCs/>
          <w:lang w:val="es-ES_tradnl"/>
        </w:rPr>
      </w:pPr>
      <w:r w:rsidRPr="006E6272">
        <w:rPr>
          <w:b/>
          <w:bCs/>
          <w:i/>
          <w:iCs/>
          <w:lang w:val="es-ES_tradnl"/>
        </w:rPr>
        <w:t>La Secretaría Técnica certifica que la presente resolución cuenta con el voto de los vocales cuyos nombres figuran en el presente documento.</w:t>
      </w:r>
    </w:p>
    <w:p w:rsidRPr="006E6272" w:rsidR="001631D6" w:rsidP="001631D6" w:rsidRDefault="001631D6" w14:paraId="265ABE8B" w14:textId="77777777">
      <w:pPr>
        <w:jc w:val="both"/>
        <w:rPr>
          <w:b/>
          <w:bCs/>
          <w:i/>
          <w:iCs/>
          <w:lang w:val="es-ES_tradnl"/>
        </w:rPr>
      </w:pPr>
    </w:p>
    <w:p w:rsidRPr="006E6272" w:rsidR="005A0FA4" w:rsidP="001631D6" w:rsidRDefault="005A0FA4" w14:paraId="68E12145" w14:textId="77777777">
      <w:pPr>
        <w:jc w:val="both"/>
        <w:rPr>
          <w:b/>
          <w:bCs/>
          <w:i/>
          <w:iCs/>
          <w:lang w:val="es-ES_tradnl"/>
        </w:rPr>
      </w:pPr>
    </w:p>
    <w:p w:rsidRPr="006E6272" w:rsidR="001631D6" w:rsidP="005A0FA4" w:rsidRDefault="005A0FA4" w14:paraId="024CA4C1" w14:textId="20396E37">
      <w:pPr>
        <w:spacing w:line="360" w:lineRule="auto"/>
        <w:jc w:val="center"/>
        <w:rPr>
          <w:b/>
          <w:bCs/>
        </w:rPr>
      </w:pPr>
      <w:r w:rsidRPr="006E6272">
        <w:rPr>
          <w:b/>
          <w:bCs/>
        </w:rPr>
        <w:t xml:space="preserve">Omar Alfaro Villanueva – </w:t>
      </w:r>
      <w:proofErr w:type="gramStart"/>
      <w:r w:rsidRPr="006E6272">
        <w:rPr>
          <w:b/>
          <w:bCs/>
        </w:rPr>
        <w:t>Presidente</w:t>
      </w:r>
      <w:proofErr w:type="gramEnd"/>
    </w:p>
    <w:p w:rsidRPr="006E6272" w:rsidR="003E6BA6" w:rsidP="003E6BA6" w:rsidRDefault="003E6BA6" w14:paraId="7E9839D4" w14:textId="217F753E">
      <w:pPr>
        <w:spacing w:line="360" w:lineRule="auto"/>
        <w:jc w:val="center"/>
        <w:rPr>
          <w:b/>
          <w:bCs/>
        </w:rPr>
      </w:pPr>
      <w:r w:rsidRPr="006E6272">
        <w:rPr>
          <w:b/>
          <w:bCs/>
        </w:rPr>
        <w:t xml:space="preserve">María Eugenia Valdez Fernández Baca – </w:t>
      </w:r>
      <w:r w:rsidRPr="006E6272" w:rsidR="005A0FA4">
        <w:rPr>
          <w:b/>
          <w:bCs/>
        </w:rPr>
        <w:t>Vocal</w:t>
      </w:r>
    </w:p>
    <w:p w:rsidRPr="006E6272" w:rsidR="001631D6" w:rsidP="001631D6" w:rsidRDefault="001631D6" w14:paraId="515933D0" w14:textId="5FD7ECBB">
      <w:pPr>
        <w:spacing w:line="360" w:lineRule="auto"/>
        <w:jc w:val="center"/>
        <w:rPr>
          <w:b/>
          <w:bCs/>
        </w:rPr>
      </w:pPr>
      <w:r w:rsidRPr="006E6272">
        <w:rPr>
          <w:b/>
          <w:bCs/>
        </w:rPr>
        <w:t xml:space="preserve">Rolando Eyzaguirre </w:t>
      </w:r>
      <w:proofErr w:type="spellStart"/>
      <w:r w:rsidRPr="006E6272">
        <w:rPr>
          <w:b/>
          <w:bCs/>
        </w:rPr>
        <w:t>Maccan</w:t>
      </w:r>
      <w:proofErr w:type="spellEnd"/>
      <w:r w:rsidRPr="006E6272">
        <w:rPr>
          <w:b/>
          <w:bCs/>
        </w:rPr>
        <w:t xml:space="preserve"> – </w:t>
      </w:r>
      <w:r w:rsidRPr="006E6272" w:rsidR="003E6BA6">
        <w:rPr>
          <w:b/>
          <w:bCs/>
        </w:rPr>
        <w:t>Vocal</w:t>
      </w:r>
    </w:p>
    <w:p w:rsidRPr="006E6272" w:rsidR="001631D6" w:rsidP="001631D6" w:rsidRDefault="001631D6" w14:paraId="44059E74" w14:textId="77777777">
      <w:pPr>
        <w:spacing w:line="360" w:lineRule="auto"/>
        <w:jc w:val="center"/>
        <w:rPr>
          <w:lang w:val="es-MX"/>
        </w:rPr>
      </w:pPr>
      <w:r w:rsidRPr="006E6272">
        <w:rPr>
          <w:b/>
          <w:bCs/>
        </w:rPr>
        <w:t>Gonzalo Abad del Busto - Vocal</w:t>
      </w:r>
    </w:p>
    <w:p w:rsidRPr="006E6272" w:rsidR="001631D6" w:rsidP="00F15FBA" w:rsidRDefault="001631D6" w14:paraId="0DA96C46" w14:textId="77777777">
      <w:pPr>
        <w:jc w:val="both"/>
        <w:rPr>
          <w:lang w:val="es-PE"/>
        </w:rPr>
      </w:pPr>
    </w:p>
    <w:p w:rsidRPr="006E6272" w:rsidR="00F15FBA" w:rsidP="00F15FBA" w:rsidRDefault="00F15FBA" w14:paraId="22C77427" w14:textId="77777777"/>
    <w:p w:rsidRPr="002A1509" w:rsidR="00F15FBA" w:rsidP="00F15FBA" w:rsidRDefault="00F15FBA" w14:paraId="58BFC23A" w14:textId="77777777"/>
    <w:p w:rsidRPr="001631D6" w:rsidR="00517989" w:rsidRDefault="00224722"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0610" w:rsidP="005F148C" w:rsidRDefault="00900610" w14:paraId="2E529253" w14:textId="77777777">
      <w:r>
        <w:separator/>
      </w:r>
    </w:p>
  </w:endnote>
  <w:endnote w:type="continuationSeparator" w:id="0">
    <w:p w:rsidR="00900610" w:rsidP="005F148C" w:rsidRDefault="00900610" w14:paraId="75D7347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0610" w:rsidP="005F148C" w:rsidRDefault="00900610" w14:paraId="3C2130D9" w14:textId="77777777">
      <w:r>
        <w:separator/>
      </w:r>
    </w:p>
  </w:footnote>
  <w:footnote w:type="continuationSeparator" w:id="0">
    <w:p w:rsidR="00900610" w:rsidP="005F148C" w:rsidRDefault="00900610" w14:paraId="3CEF0FD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7"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3"/>
  </w:num>
  <w:num w:numId="6" w16cid:durableId="3736259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6"/>
  </w:num>
  <w:num w:numId="9" w16cid:durableId="1509519697">
    <w:abstractNumId w:val="1"/>
  </w:num>
  <w:num w:numId="10" w16cid:durableId="1369447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B085C"/>
    <w:rsid w:val="000C23F0"/>
    <w:rsid w:val="000C3C3C"/>
    <w:rsid w:val="000D2700"/>
    <w:rsid w:val="000F1BDF"/>
    <w:rsid w:val="00103188"/>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70F4"/>
    <w:rsid w:val="00251125"/>
    <w:rsid w:val="00266CCD"/>
    <w:rsid w:val="00281026"/>
    <w:rsid w:val="0029474B"/>
    <w:rsid w:val="002A1509"/>
    <w:rsid w:val="002A2188"/>
    <w:rsid w:val="002B14D5"/>
    <w:rsid w:val="002C30A0"/>
    <w:rsid w:val="002C7082"/>
    <w:rsid w:val="002C7C2B"/>
    <w:rsid w:val="002D1C78"/>
    <w:rsid w:val="002E35A4"/>
    <w:rsid w:val="002E708C"/>
    <w:rsid w:val="002E730D"/>
    <w:rsid w:val="00316A1B"/>
    <w:rsid w:val="0032570B"/>
    <w:rsid w:val="00325974"/>
    <w:rsid w:val="00337458"/>
    <w:rsid w:val="003470DF"/>
    <w:rsid w:val="00377B6C"/>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44D50"/>
    <w:rsid w:val="0055163A"/>
    <w:rsid w:val="00563D50"/>
    <w:rsid w:val="00565F03"/>
    <w:rsid w:val="0058358B"/>
    <w:rsid w:val="005A0FA4"/>
    <w:rsid w:val="005C5922"/>
    <w:rsid w:val="005C7583"/>
    <w:rsid w:val="005D1456"/>
    <w:rsid w:val="005D1638"/>
    <w:rsid w:val="005D2A9F"/>
    <w:rsid w:val="005E53F7"/>
    <w:rsid w:val="005F1349"/>
    <w:rsid w:val="005F148C"/>
    <w:rsid w:val="0062037B"/>
    <w:rsid w:val="00647AEE"/>
    <w:rsid w:val="00651449"/>
    <w:rsid w:val="006603F9"/>
    <w:rsid w:val="0066418F"/>
    <w:rsid w:val="006859F9"/>
    <w:rsid w:val="0069382D"/>
    <w:rsid w:val="00694105"/>
    <w:rsid w:val="006A1077"/>
    <w:rsid w:val="006C39B2"/>
    <w:rsid w:val="006D33B8"/>
    <w:rsid w:val="006E3440"/>
    <w:rsid w:val="006E6272"/>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7C5B"/>
    <w:rsid w:val="00E908BC"/>
    <w:rsid w:val="00E943A4"/>
    <w:rsid w:val="00EB69AF"/>
    <w:rsid w:val="00EC4F40"/>
    <w:rsid w:val="00EE2D5E"/>
    <w:rsid w:val="00EE3D96"/>
    <w:rsid w:val="00EF4FF0"/>
    <w:rsid w:val="00EF55F4"/>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D3A6A"/>
    <w:rsid w:val="00FE53F0"/>
    <w:rsid w:val="00FE7AA7"/>
    <w:rsid w:val="00FF1388"/>
    <w:rsid w:val="00FF2213"/>
    <w:rsid w:val="00FF2485"/>
    <w:rsid w:val="192304F1"/>
    <w:rsid w:val="2868E841"/>
    <w:rsid w:val="3ADAE1C9"/>
    <w:rsid w:val="640C1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02BD8FC-5EB4-496B-B9D8-44E8162EA3B1}"/>
</file>

<file path=customXml/itemProps3.xml><?xml version="1.0" encoding="utf-8"?>
<ds:datastoreItem xmlns:ds="http://schemas.openxmlformats.org/officeDocument/2006/customXml" ds:itemID="{625EA7C1-58FE-4529-98D9-7923B0FECE1E}"/>
</file>

<file path=customXml/itemProps4.xml><?xml version="1.0" encoding="utf-8"?>
<ds:datastoreItem xmlns:ds="http://schemas.openxmlformats.org/officeDocument/2006/customXml" ds:itemID="{DE20A1A9-E114-405C-BCDC-6D776ADF97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187</cp:revision>
  <cp:lastPrinted>2023-05-04T14:40:00Z</cp:lastPrinted>
  <dcterms:created xsi:type="dcterms:W3CDTF">2020-12-18T20:09:00Z</dcterms:created>
  <dcterms:modified xsi:type="dcterms:W3CDTF">2025-05-29T15:33:59Z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