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C19B0" w:rsidR="000341A4" w:rsidP="000341A4" w:rsidRDefault="000341A4" w14:paraId="6752CB7C" w14:textId="77777777">
      <w:pPr>
        <w:pStyle w:val="Puesto"/>
        <w:tabs>
          <w:tab w:val="left" w:pos="2730"/>
          <w:tab w:val="center" w:pos="4419"/>
        </w:tabs>
        <w:outlineLvl w:val="0"/>
        <w:rPr>
          <w:rStyle w:val="Textoennegrita"/>
          <w:b/>
          <w:bCs/>
          <w:lang w:val="es-ES"/>
        </w:rPr>
      </w:pPr>
    </w:p>
    <w:p w:rsidRPr="00BC19B0" w:rsidR="000341A4" w:rsidP="000341A4" w:rsidRDefault="000341A4" w14:paraId="56329F19" w14:textId="77777777">
      <w:pPr>
        <w:pStyle w:val="Puesto"/>
        <w:tabs>
          <w:tab w:val="left" w:pos="2730"/>
          <w:tab w:val="center" w:pos="4419"/>
        </w:tabs>
        <w:outlineLvl w:val="0"/>
        <w:rPr>
          <w:rStyle w:val="Textoennegrita"/>
          <w:b/>
          <w:bCs/>
          <w:lang w:val="es-ES"/>
        </w:rPr>
      </w:pPr>
    </w:p>
    <w:p w:rsidRPr="00BC19B0" w:rsidR="00D645CF" w:rsidP="00AF57F2" w:rsidRDefault="00D00142" w14:paraId="587C9FEE" w14:textId="5B3EFFD7">
      <w:pPr>
        <w:pStyle w:val="Puesto"/>
        <w:tabs>
          <w:tab w:val="left" w:pos="2730"/>
          <w:tab w:val="center" w:pos="4419"/>
        </w:tabs>
        <w:outlineLvl w:val="0"/>
        <w:rPr>
          <w:rStyle w:val="Textoennegrita"/>
          <w:b/>
          <w:bCs/>
          <w:lang w:val="es-ES"/>
        </w:rPr>
      </w:pPr>
      <w:r w:rsidRPr="00BC19B0">
        <w:rPr>
          <w:rStyle w:val="Textoennegrita"/>
          <w:b/>
          <w:bCs/>
          <w:lang w:val="es-ES"/>
        </w:rPr>
        <w:t xml:space="preserve">RESOLUCION </w:t>
      </w:r>
      <w:proofErr w:type="spellStart"/>
      <w:r w:rsidRPr="00BC19B0">
        <w:rPr>
          <w:rStyle w:val="Textoennegrita"/>
          <w:b/>
          <w:bCs/>
          <w:lang w:val="es-ES"/>
        </w:rPr>
        <w:t>N°</w:t>
      </w:r>
      <w:proofErr w:type="spellEnd"/>
      <w:r w:rsidRPr="00BC19B0" w:rsidR="000341A4">
        <w:rPr>
          <w:rStyle w:val="Textoennegrita"/>
          <w:b/>
          <w:bCs/>
          <w:lang w:val="es-ES"/>
        </w:rPr>
        <w:t xml:space="preserve"> </w:t>
      </w:r>
      <w:r w:rsidRPr="00BC19B0" w:rsidR="006C6213">
        <w:rPr>
          <w:rStyle w:val="Textoennegrita"/>
          <w:b/>
          <w:bCs/>
          <w:lang w:val="es-ES"/>
        </w:rPr>
        <w:t>0</w:t>
      </w:r>
      <w:r w:rsidRPr="00BC19B0" w:rsidR="001459A2">
        <w:rPr>
          <w:rStyle w:val="Textoennegrita"/>
          <w:b/>
          <w:bCs/>
          <w:lang w:val="es-ES"/>
        </w:rPr>
        <w:t>8</w:t>
      </w:r>
      <w:r w:rsidRPr="00BC19B0" w:rsidR="00B25FD8">
        <w:rPr>
          <w:rStyle w:val="Textoennegrita"/>
          <w:b/>
          <w:bCs/>
          <w:lang w:val="es-ES"/>
        </w:rPr>
        <w:t>6</w:t>
      </w:r>
      <w:r w:rsidRPr="00BC19B0">
        <w:rPr>
          <w:rStyle w:val="Textoennegrita"/>
          <w:b/>
          <w:bCs/>
          <w:lang w:val="es-ES"/>
        </w:rPr>
        <w:t>/2</w:t>
      </w:r>
      <w:r w:rsidRPr="00BC19B0" w:rsidR="006C6213">
        <w:rPr>
          <w:rStyle w:val="Textoennegrita"/>
          <w:b/>
          <w:bCs/>
          <w:lang w:val="es-ES"/>
        </w:rPr>
        <w:t>3</w:t>
      </w:r>
    </w:p>
    <w:p w:rsidRPr="00BC19B0" w:rsidR="00BC19B0" w:rsidP="00BC19B0" w:rsidRDefault="00BC19B0" w14:paraId="6B9E29FD" w14:textId="77777777">
      <w:pPr>
        <w:rPr>
          <w:rFonts w:ascii="Times New Roman" w:hAnsi="Times New Roman"/>
          <w:b/>
          <w:sz w:val="24"/>
          <w:szCs w:val="24"/>
        </w:rPr>
      </w:pPr>
    </w:p>
    <w:p w:rsidRPr="00BC19B0" w:rsidR="00BC19B0" w:rsidP="00BC19B0" w:rsidRDefault="00BC19B0" w14:paraId="4FF83D5C" w14:textId="0177CA72">
      <w:pPr>
        <w:rPr>
          <w:rFonts w:ascii="Times New Roman" w:hAnsi="Times New Roman" w:eastAsia="Times New Roman"/>
          <w:b/>
          <w:sz w:val="24"/>
          <w:szCs w:val="24"/>
        </w:rPr>
      </w:pPr>
      <w:r w:rsidRPr="00BC19B0">
        <w:rPr>
          <w:rFonts w:ascii="Times New Roman" w:hAnsi="Times New Roman"/>
          <w:b/>
          <w:sz w:val="24"/>
          <w:szCs w:val="24"/>
        </w:rPr>
        <w:t>VISTOS:</w:t>
      </w:r>
    </w:p>
    <w:p w:rsidRPr="00BC19B0" w:rsidR="00BC19B0" w:rsidP="1F1A8026" w:rsidRDefault="00BC19B0" w14:paraId="7BC70269" w14:textId="61117F8F">
      <w:pPr>
        <w:pStyle w:val="paragraph"/>
        <w:spacing w:before="0" w:beforeAutospacing="off" w:after="0" w:afterAutospacing="off"/>
        <w:jc w:val="both"/>
        <w:textAlignment w:val="baseline"/>
      </w:pPr>
      <w:bookmarkStart w:name="OLE_LINK2" w:id="0"/>
      <w:r w:rsidRPr="1F1A8026" w:rsidR="00BC19B0">
        <w:rPr>
          <w:lang w:val="es-PE"/>
        </w:rPr>
        <w:t xml:space="preserve">Que, con fecha 07 de febrero de 2023, </w:t>
      </w:r>
      <w:r w:rsidRPr="1F1A8026" w:rsidR="7E1A01DD">
        <w:rPr>
          <w:b w:val="1"/>
          <w:bCs w:val="1"/>
        </w:rPr>
        <w:t>........................................................</w:t>
      </w:r>
      <w:r w:rsidR="00BC19B0">
        <w:rPr/>
        <w:t xml:space="preserve">  </w:t>
      </w:r>
      <w:r w:rsidR="00BC19B0">
        <w:rPr/>
        <w:t>interpone</w:t>
      </w:r>
      <w:r w:rsidR="00BC19B0">
        <w:rPr/>
        <w:t xml:space="preserve"> </w:t>
      </w:r>
      <w:r w:rsidR="00BC19B0">
        <w:rPr/>
        <w:t xml:space="preserve">reclamación ante esta Defensoría del Asegurado (DEFASEG) contra </w:t>
      </w:r>
      <w:r w:rsidRPr="1F1A8026" w:rsidR="6AF44CDB">
        <w:rPr>
          <w:b w:val="1"/>
          <w:bCs w:val="1"/>
        </w:rPr>
        <w:t>................................</w:t>
      </w:r>
      <w:r w:rsidR="00BC19B0">
        <w:rPr/>
        <w:t>, solicitando se le</w:t>
      </w:r>
      <w:r w:rsidR="00BC19B0">
        <w:rPr/>
        <w:t xml:space="preserve"> otorgue la cobertura del</w:t>
      </w:r>
      <w:r w:rsidRPr="1F1A8026" w:rsidR="00BC19B0">
        <w:rPr>
          <w:b w:val="1"/>
          <w:bCs w:val="1"/>
        </w:rPr>
        <w:t xml:space="preserve"> SEGURO DE PROTECCIÓN DE TARJETA CON PÓLIZA </w:t>
      </w:r>
      <w:r w:rsidRPr="1F1A8026" w:rsidR="00BC19B0">
        <w:rPr>
          <w:b w:val="1"/>
          <w:bCs w:val="1"/>
        </w:rPr>
        <w:t>N°</w:t>
      </w:r>
      <w:r w:rsidRPr="1F1A8026" w:rsidR="00BC19B0">
        <w:rPr>
          <w:b w:val="1"/>
          <w:bCs w:val="1"/>
        </w:rPr>
        <w:t xml:space="preserve"> </w:t>
      </w:r>
      <w:r w:rsidRPr="1F1A8026" w:rsidR="77E2BC6F">
        <w:rPr>
          <w:b w:val="1"/>
          <w:bCs w:val="1"/>
        </w:rPr>
        <w:t>..........................</w:t>
      </w:r>
      <w:r w:rsidRPr="1F1A8026" w:rsidR="00BC19B0">
        <w:rPr>
          <w:b w:val="1"/>
          <w:bCs w:val="1"/>
        </w:rPr>
        <w:t>.</w:t>
      </w:r>
    </w:p>
    <w:bookmarkEnd w:id="0"/>
    <w:p w:rsidR="004B4F66" w:rsidP="00BC19B0" w:rsidRDefault="004B4F66" w14:paraId="5152EBA4" w14:textId="77777777">
      <w:pPr>
        <w:jc w:val="both"/>
        <w:rPr>
          <w:rFonts w:ascii="Times New Roman" w:hAnsi="Times New Roman"/>
          <w:sz w:val="24"/>
          <w:szCs w:val="24"/>
          <w:lang w:val="es-MX"/>
        </w:rPr>
      </w:pPr>
    </w:p>
    <w:p w:rsidRPr="00BC19B0" w:rsidR="00BC19B0" w:rsidP="00BC19B0" w:rsidRDefault="00BC19B0" w14:paraId="5274EE4F" w14:textId="3A25A5B5">
      <w:pPr>
        <w:jc w:val="both"/>
        <w:rPr>
          <w:rFonts w:ascii="Times New Roman" w:hAnsi="Times New Roman" w:eastAsia="Arial Unicode MS"/>
          <w:sz w:val="24"/>
          <w:szCs w:val="24"/>
        </w:rPr>
      </w:pPr>
      <w:r w:rsidRPr="00BC19B0">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BC19B0">
          <w:rPr>
            <w:rStyle w:val="Hipervnculo"/>
            <w:rFonts w:ascii="Times New Roman" w:hAnsi="Times New Roman" w:eastAsia="Arial Unicode MS"/>
            <w:sz w:val="24"/>
            <w:szCs w:val="24"/>
          </w:rPr>
          <w:t>http://www.defaseg.com.pe/reglamento</w:t>
        </w:r>
      </w:hyperlink>
      <w:r w:rsidRPr="00BC19B0">
        <w:rPr>
          <w:rFonts w:ascii="Times New Roman" w:hAnsi="Times New Roman" w:eastAsia="Arial Unicode MS"/>
          <w:sz w:val="24"/>
          <w:szCs w:val="24"/>
        </w:rPr>
        <w:t>);</w:t>
      </w:r>
    </w:p>
    <w:p w:rsidRPr="00BC19B0" w:rsidR="00BC19B0" w:rsidP="00BC19B0" w:rsidRDefault="00BC19B0" w14:paraId="42539B92" w14:textId="77777777">
      <w:pPr>
        <w:tabs>
          <w:tab w:val="num" w:pos="720"/>
        </w:tabs>
        <w:jc w:val="both"/>
        <w:rPr>
          <w:rFonts w:ascii="Times New Roman" w:hAnsi="Times New Roman"/>
          <w:sz w:val="24"/>
          <w:szCs w:val="24"/>
        </w:rPr>
      </w:pPr>
      <w:r w:rsidRPr="00BC19B0">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secretaría técnica;</w:t>
      </w:r>
    </w:p>
    <w:p w:rsidRPr="00BC19B0" w:rsidR="00BC19B0" w:rsidP="00BC19B0" w:rsidRDefault="00BC19B0" w14:paraId="0F95D8C2" w14:textId="392EA8BB">
      <w:pPr>
        <w:jc w:val="both"/>
        <w:rPr>
          <w:rFonts w:ascii="Times New Roman" w:hAnsi="Times New Roman"/>
          <w:sz w:val="24"/>
          <w:szCs w:val="24"/>
          <w:lang w:val="es-ES"/>
        </w:rPr>
      </w:pPr>
      <w:r w:rsidRPr="1F1A8026" w:rsidR="00BC19B0">
        <w:rPr>
          <w:rFonts w:ascii="Times New Roman" w:hAnsi="Times New Roman"/>
          <w:sz w:val="24"/>
          <w:szCs w:val="24"/>
        </w:rPr>
        <w:t xml:space="preserve">Que, con fecha 13 de marzo de 2023 se corrió traslado de la reclamación a </w:t>
      </w:r>
      <w:r w:rsidRPr="1F1A8026" w:rsidR="6AF44CDB">
        <w:rPr>
          <w:rFonts w:ascii="Times New Roman" w:hAnsi="Times New Roman"/>
          <w:sz w:val="24"/>
          <w:szCs w:val="24"/>
        </w:rPr>
        <w:t>................................</w:t>
      </w:r>
      <w:r w:rsidRPr="1F1A8026" w:rsidR="00BC19B0">
        <w:rPr>
          <w:rFonts w:ascii="Times New Roman" w:hAnsi="Times New Roman"/>
          <w:sz w:val="24"/>
          <w:szCs w:val="24"/>
        </w:rPr>
        <w:t xml:space="preserve">, siendo que con fecha 22 de marzo de 2023 la aseguradora absolvió el respectivo trámite, </w:t>
      </w:r>
      <w:r w:rsidRPr="1F1A8026" w:rsidR="00BC19B0">
        <w:rPr>
          <w:rFonts w:ascii="Times New Roman" w:hAnsi="Times New Roman"/>
          <w:sz w:val="24"/>
          <w:szCs w:val="24"/>
        </w:rPr>
        <w:t xml:space="preserve">presentando sus descargos y la documentación correspondiente. </w:t>
      </w:r>
    </w:p>
    <w:p w:rsidRPr="00BC19B0" w:rsidR="00BC19B0" w:rsidP="00BC19B0" w:rsidRDefault="00BC19B0" w14:paraId="351324C6" w14:textId="77777777">
      <w:pPr>
        <w:tabs>
          <w:tab w:val="num" w:pos="720"/>
        </w:tabs>
        <w:jc w:val="both"/>
        <w:rPr>
          <w:rFonts w:ascii="Times New Roman" w:hAnsi="Times New Roman"/>
          <w:sz w:val="24"/>
          <w:szCs w:val="24"/>
        </w:rPr>
      </w:pPr>
      <w:r w:rsidRPr="00BC19B0">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BC19B0">
        <w:rPr>
          <w:rFonts w:ascii="Times New Roman" w:hAnsi="Times New Roman" w:eastAsia="Arial Unicode MS"/>
          <w:sz w:val="24"/>
          <w:szCs w:val="24"/>
        </w:rPr>
        <w:t>de la DEFASEG</w:t>
      </w:r>
      <w:r w:rsidRPr="00BC19B0">
        <w:rPr>
          <w:rFonts w:ascii="Times New Roman" w:hAnsi="Times New Roman"/>
          <w:sz w:val="24"/>
          <w:szCs w:val="24"/>
        </w:rPr>
        <w:t>.</w:t>
      </w:r>
    </w:p>
    <w:p w:rsidRPr="00BC19B0" w:rsidR="00BC19B0" w:rsidP="00BC19B0" w:rsidRDefault="00BC19B0" w14:paraId="72D384CA" w14:textId="3E77585B">
      <w:pPr>
        <w:jc w:val="both"/>
        <w:rPr>
          <w:rStyle w:val="normaltextrun"/>
          <w:rFonts w:ascii="Times New Roman" w:hAnsi="Times New Roman"/>
          <w:sz w:val="24"/>
          <w:szCs w:val="24"/>
        </w:rPr>
      </w:pPr>
      <w:r w:rsidRPr="1F1A8026" w:rsidR="00BC19B0">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1F1A8026" w:rsidR="00BC19B0">
        <w:rPr>
          <w:rFonts w:ascii="Times New Roman" w:hAnsi="Times New Roman"/>
          <w:color w:val="000000" w:themeColor="text1" w:themeTint="FF" w:themeShade="FF"/>
          <w:sz w:val="24"/>
          <w:szCs w:val="24"/>
        </w:rPr>
        <w:t xml:space="preserve">a) </w:t>
      </w:r>
      <w:r w:rsidRPr="1F1A8026" w:rsidR="00BC19B0">
        <w:rPr>
          <w:rStyle w:val="normaltextrun"/>
          <w:rFonts w:ascii="Times New Roman" w:hAnsi="Times New Roman"/>
          <w:sz w:val="24"/>
          <w:szCs w:val="24"/>
        </w:rPr>
        <w:t xml:space="preserve">El sábado 10 de diciembre del 2022 a la 1:15 pm aproximadamente, la señora </w:t>
      </w:r>
      <w:r w:rsidRPr="1F1A8026" w:rsidR="4BA10A05">
        <w:rPr>
          <w:rStyle w:val="normaltextrun"/>
          <w:rFonts w:ascii="Times New Roman" w:hAnsi="Times New Roman"/>
          <w:sz w:val="24"/>
          <w:szCs w:val="24"/>
        </w:rPr>
        <w:t>.................</w:t>
      </w:r>
      <w:r w:rsidRPr="1F1A8026" w:rsidR="00BC19B0">
        <w:rPr>
          <w:rStyle w:val="normaltextrun"/>
          <w:rFonts w:ascii="Times New Roman" w:hAnsi="Times New Roman"/>
          <w:sz w:val="24"/>
          <w:szCs w:val="24"/>
        </w:rPr>
        <w:t xml:space="preserve"> se apersonó a los cajeros del Banco BBVA ubicados en la entrada de la Agencia de la Av. Santiago Antúnez de Mayolo </w:t>
      </w:r>
      <w:r w:rsidRPr="1F1A8026" w:rsidR="00BC19B0">
        <w:rPr>
          <w:rStyle w:val="normaltextrun"/>
          <w:rFonts w:ascii="Times New Roman" w:hAnsi="Times New Roman"/>
          <w:sz w:val="24"/>
          <w:szCs w:val="24"/>
        </w:rPr>
        <w:t>Nº</w:t>
      </w:r>
      <w:r w:rsidRPr="1F1A8026" w:rsidR="00BC19B0">
        <w:rPr>
          <w:rStyle w:val="normaltextrun"/>
          <w:rFonts w:ascii="Times New Roman" w:hAnsi="Times New Roman"/>
          <w:sz w:val="24"/>
          <w:szCs w:val="24"/>
        </w:rPr>
        <w:t xml:space="preserve"> 1402, Los Olivos. Espero varios minutos para utilizar el cajero Nro. 2664. Después que el sujeto se retira del cajero automático, se acercó e ingreso su tarjeta de débito y seguidamente colocó su clave personal. La pantalla del cajero automático le mostró un mensaje de error de su tarjeta de débito, por lo cual procedió a retirar su tarjeta para volver a ingresarla e intentar una segunda vez la transacción. En el momento que se disponía a ingresar por segunda vez mi tarjeta de débito al cajero automático, el sujeto que mencionó, se acercó a su persona de una manera intempestiva y arrebató de su mano su tarjeta de débito, diciéndole textualmente: “lo estas poniendo mal”.  Inmediatamente reaccionó y le reclamó que no le había pedido su ayuda y que le devuelva su tarjeta. Este sujeto procedió a devolverle su tarjeta, y se retiró inmediatamente del cajero. Después de esto, nuevamente intentó hacer el retiro, ingreso nuevamente mi tarjeta de débito, pero el cajero le muestra un mensaje de tarjeta bloqueada. Entonces sospechó que había sido víctima de un ladrón, ese sujeto le devolvió una tarjeta de débito que no era la suya; b) la agencia bancaria ya había cerrado, pero había personal del Banco y Vigilantes dentro de la oficina. Tocaron su esposo y ella la puerta para que les informen sobre el procedimiento para anular mi tarjeta de débito, pero no </w:t>
      </w:r>
      <w:r w:rsidRPr="1F1A8026" w:rsidR="00BC19B0">
        <w:rPr>
          <w:rStyle w:val="normaltextrun"/>
          <w:rFonts w:ascii="Times New Roman" w:hAnsi="Times New Roman"/>
          <w:sz w:val="24"/>
          <w:szCs w:val="24"/>
        </w:rPr>
        <w:t xml:space="preserve">les atendieron. </w:t>
      </w:r>
      <w:r w:rsidRPr="1F1A8026" w:rsidR="00BC19B0">
        <w:rPr>
          <w:rStyle w:val="normaltextrun"/>
          <w:rFonts w:ascii="Times New Roman" w:hAnsi="Times New Roman"/>
          <w:sz w:val="24"/>
          <w:szCs w:val="24"/>
        </w:rPr>
        <w:t xml:space="preserve">En el cajero automático, aparecía un número donde llamar en situaciones como esta; es así </w:t>
      </w:r>
      <w:r w:rsidRPr="1F1A8026" w:rsidR="00BC19B0">
        <w:rPr>
          <w:rStyle w:val="normaltextrun"/>
          <w:rFonts w:ascii="Times New Roman" w:hAnsi="Times New Roman"/>
          <w:sz w:val="24"/>
          <w:szCs w:val="24"/>
        </w:rPr>
        <w:t>que</w:t>
      </w:r>
      <w:r w:rsidRPr="1F1A8026" w:rsidR="00BC19B0">
        <w:rPr>
          <w:rStyle w:val="normaltextrun"/>
          <w:rFonts w:ascii="Times New Roman" w:hAnsi="Times New Roman"/>
          <w:sz w:val="24"/>
          <w:szCs w:val="24"/>
        </w:rPr>
        <w:t xml:space="preserve"> hizo la llamada a través del teléfono que el BBVA pone a disposición al lado de sus cajeros, pero no pudo hacer contacto, optó por bloquear su tarjeta vía telefónica, pero como soy una persona de 71 años, se le dificultó un poco, pero pudo bloquearlo a las 13:59 del mismo día 10 de diciembre 2023.</w:t>
      </w:r>
      <w:r w:rsidRPr="1F1A8026" w:rsidR="00BC19B0">
        <w:rPr>
          <w:rStyle w:val="normaltextrun"/>
          <w:rFonts w:ascii="Times New Roman" w:hAnsi="Times New Roman"/>
          <w:sz w:val="24"/>
          <w:szCs w:val="24"/>
        </w:rPr>
        <w:t xml:space="preserve"> Finalmente, como era sábado en la tarde no pudo realizar la solicitud de una nueva tarjeta de débito; c) el día lunes 15 de diciembre, se apersonó a la Agencia Bancaria en mención, para solicitar una nueva tarjeta de débito y validar sus saldos, es ahí que toma conocimiento de que , terceras personas habían realizado tres (3) transacciones de mi cuenta bancaria #BBVA Soles; d) Por lo que procedió a hacer la denuncia correspondiente ante la Policía Nacional del Perú de Sol de Oro y presentar su reclamo correspondiente al Banco BBVA y la denuncia a la Aseguradora </w:t>
      </w:r>
      <w:r w:rsidRPr="1F1A8026" w:rsidR="206FB95B">
        <w:rPr>
          <w:rStyle w:val="normaltextrun"/>
          <w:rFonts w:ascii="Times New Roman" w:hAnsi="Times New Roman"/>
          <w:sz w:val="24"/>
          <w:szCs w:val="24"/>
        </w:rPr>
        <w:t>.............</w:t>
      </w:r>
      <w:r w:rsidRPr="1F1A8026" w:rsidR="00BC19B0">
        <w:rPr>
          <w:rStyle w:val="normaltextrun"/>
          <w:rFonts w:ascii="Times New Roman" w:hAnsi="Times New Roman"/>
          <w:sz w:val="24"/>
          <w:szCs w:val="24"/>
        </w:rPr>
        <w:t xml:space="preserve">; e) de acuerdo al correo de fecha 20/12/2022,  </w:t>
      </w:r>
      <w:r w:rsidRPr="1F1A8026" w:rsidR="4694915D">
        <w:rPr>
          <w:rStyle w:val="normaltextrun"/>
          <w:rFonts w:ascii="Times New Roman" w:hAnsi="Times New Roman"/>
          <w:sz w:val="24"/>
          <w:szCs w:val="24"/>
        </w:rPr>
        <w:t>...........................</w:t>
      </w:r>
      <w:r w:rsidRPr="1F1A8026" w:rsidR="00BC19B0">
        <w:rPr>
          <w:rStyle w:val="normaltextrun"/>
          <w:rFonts w:ascii="Times New Roman" w:hAnsi="Times New Roman"/>
          <w:sz w:val="24"/>
          <w:szCs w:val="24"/>
        </w:rPr>
        <w:t xml:space="preserve"> me indica que el siniestro denunciado no es materia de cobertura, porque la cobertura del uso indebido de la tarjeta debe ser “únicamente en establecimientos comerciales”. Conclusión con la que discrepa totalmente; f) cuando adquirió el Seguro contra robo de tarjeta de BBVA del </w:t>
      </w:r>
      <w:r w:rsidRPr="1F1A8026" w:rsidR="4694915D">
        <w:rPr>
          <w:rStyle w:val="normaltextrun"/>
          <w:rFonts w:ascii="Times New Roman" w:hAnsi="Times New Roman"/>
          <w:sz w:val="24"/>
          <w:szCs w:val="24"/>
        </w:rPr>
        <w:t>...........................</w:t>
      </w:r>
      <w:r w:rsidRPr="1F1A8026" w:rsidR="00BC19B0">
        <w:rPr>
          <w:rStyle w:val="normaltextrun"/>
          <w:rFonts w:ascii="Times New Roman" w:hAnsi="Times New Roman"/>
          <w:sz w:val="24"/>
          <w:szCs w:val="24"/>
        </w:rPr>
        <w:t xml:space="preserve">, la información que recibí de la asesora en el Banco BBVA, antes de optar por la compra del mencionado Seguro contra Robos de BBVA dista de lo señalado en la carta de rechazo, significa que, cuando me vendieron el seguro me indicaron que cubriría todos los siniestros en caso de robo de mi tarjeta de débito, en ningún momento hicieron esa salvedad “únicamente en establecimientos comerciales”. Inclusive, podría afirmar, que las vendedoras del seguro en el </w:t>
      </w:r>
      <w:r w:rsidRPr="1F1A8026" w:rsidR="00BC19B0">
        <w:rPr>
          <w:rStyle w:val="normaltextrun"/>
          <w:rFonts w:ascii="Times New Roman" w:hAnsi="Times New Roman"/>
          <w:sz w:val="24"/>
          <w:szCs w:val="24"/>
        </w:rPr>
        <w:t>banco,</w:t>
      </w:r>
      <w:r w:rsidRPr="1F1A8026" w:rsidR="00BC19B0">
        <w:rPr>
          <w:rStyle w:val="normaltextrun"/>
          <w:rFonts w:ascii="Times New Roman" w:hAnsi="Times New Roman"/>
          <w:sz w:val="24"/>
          <w:szCs w:val="24"/>
        </w:rPr>
        <w:t xml:space="preserve"> desconocen este detalle; f) como se puede corroborar en la página web de Mi Mundo </w:t>
      </w:r>
      <w:r w:rsidRPr="1F1A8026" w:rsidR="2D7ED2F0">
        <w:rPr>
          <w:rStyle w:val="normaltextrun"/>
          <w:rFonts w:ascii="Times New Roman" w:hAnsi="Times New Roman"/>
          <w:sz w:val="24"/>
          <w:szCs w:val="24"/>
        </w:rPr>
        <w:t>..............</w:t>
      </w:r>
      <w:r w:rsidRPr="1F1A8026" w:rsidR="00BC19B0">
        <w:rPr>
          <w:rStyle w:val="normaltextrun"/>
          <w:rFonts w:ascii="Times New Roman" w:hAnsi="Times New Roman"/>
          <w:sz w:val="24"/>
          <w:szCs w:val="24"/>
        </w:rPr>
        <w:t xml:space="preserve">, de </w:t>
      </w:r>
      <w:r w:rsidRPr="1F1A8026" w:rsidR="26618FC8">
        <w:rPr>
          <w:rStyle w:val="normaltextrun"/>
          <w:rFonts w:ascii="Times New Roman" w:hAnsi="Times New Roman"/>
          <w:sz w:val="24"/>
          <w:szCs w:val="24"/>
        </w:rPr>
        <w:t>.............................</w:t>
      </w:r>
      <w:r w:rsidRPr="1F1A8026" w:rsidR="00BC19B0">
        <w:rPr>
          <w:rStyle w:val="normaltextrun"/>
          <w:rFonts w:ascii="Times New Roman" w:hAnsi="Times New Roman"/>
          <w:sz w:val="24"/>
          <w:szCs w:val="24"/>
        </w:rPr>
        <w:t>, https://personas.</w:t>
      </w:r>
      <w:r w:rsidRPr="1F1A8026" w:rsidR="206FB95B">
        <w:rPr>
          <w:rStyle w:val="normaltextrun"/>
          <w:rFonts w:ascii="Times New Roman" w:hAnsi="Times New Roman"/>
          <w:sz w:val="24"/>
          <w:szCs w:val="24"/>
        </w:rPr>
        <w:t>.............</w:t>
      </w:r>
      <w:r w:rsidRPr="1F1A8026" w:rsidR="00BC19B0">
        <w:rPr>
          <w:rStyle w:val="normaltextrun"/>
          <w:rFonts w:ascii="Times New Roman" w:hAnsi="Times New Roman"/>
          <w:sz w:val="24"/>
          <w:szCs w:val="24"/>
        </w:rPr>
        <w:t>.</w:t>
      </w:r>
      <w:r w:rsidRPr="1F1A8026" w:rsidR="00BC19B0">
        <w:rPr>
          <w:rStyle w:val="normaltextrun"/>
          <w:rFonts w:ascii="Times New Roman" w:hAnsi="Times New Roman"/>
          <w:sz w:val="24"/>
          <w:szCs w:val="24"/>
        </w:rPr>
        <w:t>com</w:t>
      </w:r>
      <w:r w:rsidRPr="1F1A8026" w:rsidR="00BC19B0">
        <w:rPr>
          <w:rStyle w:val="normaltextrun"/>
          <w:rFonts w:ascii="Times New Roman" w:hAnsi="Times New Roman"/>
          <w:sz w:val="24"/>
          <w:szCs w:val="24"/>
        </w:rPr>
        <w:t>/</w:t>
      </w:r>
      <w:r w:rsidRPr="1F1A8026" w:rsidR="00BC19B0">
        <w:rPr>
          <w:rStyle w:val="normaltextrun"/>
          <w:rFonts w:ascii="Times New Roman" w:hAnsi="Times New Roman"/>
          <w:sz w:val="24"/>
          <w:szCs w:val="24"/>
        </w:rPr>
        <w:t>micuenta</w:t>
      </w:r>
      <w:r w:rsidRPr="1F1A8026" w:rsidR="00BC19B0">
        <w:rPr>
          <w:rStyle w:val="normaltextrun"/>
          <w:rFonts w:ascii="Times New Roman" w:hAnsi="Times New Roman"/>
          <w:sz w:val="24"/>
          <w:szCs w:val="24"/>
        </w:rPr>
        <w:t xml:space="preserve">/mis-seguros/detalle-seguros, el detalle de la información que tengo sobre la cobertura de mi seguro Robo Tarjeta </w:t>
      </w:r>
      <w:r w:rsidRPr="1F1A8026" w:rsidR="00BC19B0">
        <w:rPr>
          <w:rStyle w:val="normaltextrun"/>
          <w:rFonts w:ascii="Times New Roman" w:hAnsi="Times New Roman"/>
          <w:sz w:val="24"/>
          <w:szCs w:val="24"/>
        </w:rPr>
        <w:t>BBVA,</w:t>
      </w:r>
      <w:r w:rsidRPr="1F1A8026" w:rsidR="00BC19B0">
        <w:rPr>
          <w:rStyle w:val="normaltextrun"/>
          <w:rFonts w:ascii="Times New Roman" w:hAnsi="Times New Roman"/>
          <w:sz w:val="24"/>
          <w:szCs w:val="24"/>
        </w:rPr>
        <w:t xml:space="preserve"> dista de lo resaltado por </w:t>
      </w:r>
      <w:r w:rsidRPr="1F1A8026" w:rsidR="6AF44CDB">
        <w:rPr>
          <w:rStyle w:val="normaltextrun"/>
          <w:rFonts w:ascii="Times New Roman" w:hAnsi="Times New Roman"/>
          <w:sz w:val="24"/>
          <w:szCs w:val="24"/>
        </w:rPr>
        <w:t>................................</w:t>
      </w:r>
      <w:r w:rsidRPr="1F1A8026" w:rsidR="00BC19B0">
        <w:rPr>
          <w:rStyle w:val="normaltextrun"/>
          <w:rFonts w:ascii="Times New Roman" w:hAnsi="Times New Roman"/>
          <w:sz w:val="24"/>
          <w:szCs w:val="24"/>
        </w:rPr>
        <w:t xml:space="preserve"> en correo de respuesta al siniestro denunciado. En la imagen 2, 3 y 4 podemos ver los </w:t>
      </w:r>
      <w:r w:rsidRPr="1F1A8026" w:rsidR="00BC19B0">
        <w:rPr>
          <w:rStyle w:val="normaltextrun"/>
          <w:rFonts w:ascii="Times New Roman" w:hAnsi="Times New Roman"/>
          <w:sz w:val="24"/>
          <w:szCs w:val="24"/>
        </w:rPr>
        <w:t>prints</w:t>
      </w:r>
      <w:r w:rsidRPr="1F1A8026" w:rsidR="00BC19B0">
        <w:rPr>
          <w:rStyle w:val="normaltextrun"/>
          <w:rFonts w:ascii="Times New Roman" w:hAnsi="Times New Roman"/>
          <w:sz w:val="24"/>
          <w:szCs w:val="24"/>
        </w:rPr>
        <w:t xml:space="preserve"> de la web Mi Mundo </w:t>
      </w:r>
      <w:r w:rsidRPr="1F1A8026" w:rsidR="2D7ED2F0">
        <w:rPr>
          <w:rStyle w:val="normaltextrun"/>
          <w:rFonts w:ascii="Times New Roman" w:hAnsi="Times New Roman"/>
          <w:sz w:val="24"/>
          <w:szCs w:val="24"/>
        </w:rPr>
        <w:t>..............</w:t>
      </w:r>
      <w:r w:rsidRPr="1F1A8026" w:rsidR="00BC19B0">
        <w:rPr>
          <w:rStyle w:val="normaltextrun"/>
          <w:rFonts w:ascii="Times New Roman" w:hAnsi="Times New Roman"/>
          <w:sz w:val="24"/>
          <w:szCs w:val="24"/>
        </w:rPr>
        <w:t xml:space="preserve"> con detalle de la cobertura, donde a la letra dice “Uso indebido de tarjeta; cobertura $10,000”, es decir, no se especifica que “el uso indebido de la tarjeta debe ser únicamente en establecimientos comerciales”, lo cual evidencia que hay una falta de información oportuna, suficiente, veraz, fácilmente accesible, y relevante para tomar una decisión.</w:t>
      </w:r>
    </w:p>
    <w:bookmarkEnd w:id="1"/>
    <w:p w:rsidRPr="00BC19B0" w:rsidR="00BC19B0" w:rsidP="00BC19B0" w:rsidRDefault="00BC19B0" w14:paraId="32DC5E73" w14:textId="00EBB117">
      <w:pPr>
        <w:jc w:val="both"/>
        <w:rPr>
          <w:rStyle w:val="normaltextrun"/>
          <w:rFonts w:ascii="Times New Roman" w:hAnsi="Times New Roman"/>
          <w:sz w:val="24"/>
          <w:szCs w:val="24"/>
        </w:rPr>
      </w:pPr>
      <w:r w:rsidRPr="1F1A8026" w:rsidR="00BC19B0">
        <w:rPr>
          <w:rFonts w:ascii="Times New Roman" w:hAnsi="Times New Roman"/>
          <w:sz w:val="24"/>
          <w:szCs w:val="24"/>
        </w:rPr>
        <w:t xml:space="preserve">Que, por su parte y en resumen la compañía de seguros sostiene que: </w:t>
      </w:r>
      <w:r w:rsidRPr="1F1A8026" w:rsidR="00BC19B0">
        <w:rPr>
          <w:rStyle w:val="normaltextrun"/>
          <w:rFonts w:ascii="Times New Roman" w:hAnsi="Times New Roman"/>
          <w:sz w:val="24"/>
          <w:szCs w:val="24"/>
          <w:lang w:eastAsia="es-MX"/>
        </w:rPr>
        <w:t xml:space="preserve">a) </w:t>
      </w:r>
      <w:r w:rsidRPr="1F1A8026" w:rsidR="00BC19B0">
        <w:rPr>
          <w:rStyle w:val="normaltextrun"/>
          <w:rFonts w:ascii="Times New Roman" w:hAnsi="Times New Roman"/>
          <w:sz w:val="24"/>
          <w:szCs w:val="24"/>
        </w:rPr>
        <w:t>El reclamo interpuesto como consecuencia del siniestro ocurrido el 10 de diciembre del 2022 ha sido rechazado por nuestra compañía, toda vez que se verificó que los hechos descritos no se encuentran dentro de los alcances del seguro contratado; b) adjuntamos la Póliza N°</w:t>
      </w:r>
      <w:r w:rsidRPr="1F1A8026" w:rsidR="77E2BC6F">
        <w:rPr>
          <w:rStyle w:val="normaltextrun"/>
          <w:rFonts w:ascii="Times New Roman" w:hAnsi="Times New Roman"/>
          <w:sz w:val="24"/>
          <w:szCs w:val="24"/>
        </w:rPr>
        <w:t>..........................</w:t>
      </w:r>
      <w:r w:rsidRPr="1F1A8026" w:rsidR="00BC19B0">
        <w:rPr>
          <w:rStyle w:val="normaltextrun"/>
          <w:rFonts w:ascii="Times New Roman" w:hAnsi="Times New Roman"/>
          <w:sz w:val="24"/>
          <w:szCs w:val="24"/>
        </w:rPr>
        <w:t xml:space="preserve">, correspondiente al Seguro Protección de Tarjeta BBVA contratado por la asegurada; c) conforme a lo señalado por la reclamante en su escrito, podemos concluir que la asegurada fue víctima de (i) el cambiazo de su tarjeta de débito; supuesto no </w:t>
      </w:r>
      <w:r w:rsidRPr="1F1A8026" w:rsidR="00BC19B0">
        <w:rPr>
          <w:rStyle w:val="normaltextrun"/>
          <w:rFonts w:ascii="Times New Roman" w:hAnsi="Times New Roman"/>
          <w:sz w:val="24"/>
          <w:szCs w:val="24"/>
        </w:rPr>
        <w:t>coberturado</w:t>
      </w:r>
      <w:r w:rsidRPr="1F1A8026" w:rsidR="00BC19B0">
        <w:rPr>
          <w:rStyle w:val="normaltextrun"/>
          <w:rFonts w:ascii="Times New Roman" w:hAnsi="Times New Roman"/>
          <w:sz w:val="24"/>
          <w:szCs w:val="24"/>
        </w:rPr>
        <w:t xml:space="preserve"> por el seguro contratado; o (</w:t>
      </w:r>
      <w:r w:rsidRPr="1F1A8026" w:rsidR="00BC19B0">
        <w:rPr>
          <w:rStyle w:val="normaltextrun"/>
          <w:rFonts w:ascii="Times New Roman" w:hAnsi="Times New Roman"/>
          <w:sz w:val="24"/>
          <w:szCs w:val="24"/>
        </w:rPr>
        <w:t>ii</w:t>
      </w:r>
      <w:r w:rsidRPr="1F1A8026" w:rsidR="00BC19B0">
        <w:rPr>
          <w:rStyle w:val="normaltextrun"/>
          <w:rFonts w:ascii="Times New Roman" w:hAnsi="Times New Roman"/>
          <w:sz w:val="24"/>
          <w:szCs w:val="24"/>
        </w:rPr>
        <w:t xml:space="preserve">) el hurto de su tarjeta de débito. Sin embargo, no se hicieron consumos en establecimientos comerciales.  Los supuestos señalados no están contemplados en el numeral 10 (referido a las coberturas) de la póliza; d) las operaciones no reconocidas por la asegurada corresponden a dos retiros de dinero (disposición de efectivo) por las sumas de S/3,000.00 y S/500.00; y una transferencia por S/3,500.00; haciendo un total de S/7,000.00 (siete mil con 00/100 soles). Pese a ello, la reclamante alega que se ha realizado el uso indebido de su tarjeta de débito; e) según lo establecido en la póliza, la situación presentada en el caso en particular no calza dentro de los parámetros extendidos por el contrato suscrito. La póliza indica que la </w:t>
      </w:r>
      <w:r w:rsidRPr="1F1A8026" w:rsidR="00BC19B0">
        <w:rPr>
          <w:rStyle w:val="normaltextrun"/>
          <w:rFonts w:ascii="Times New Roman" w:hAnsi="Times New Roman"/>
          <w:sz w:val="24"/>
          <w:szCs w:val="24"/>
        </w:rPr>
        <w:t xml:space="preserve">cobertura de uso indebido se da en aquellos casos en los que la tarjeta asegurada fue robada o hurtada, y se utilizó en establecimientos comerciales. Esta situación no se ha dado en el presente caso. </w:t>
      </w:r>
      <w:r w:rsidRPr="1F1A8026" w:rsidR="00BC19B0">
        <w:rPr>
          <w:rStyle w:val="normaltextrun"/>
          <w:rFonts w:ascii="Times New Roman" w:hAnsi="Times New Roman"/>
          <w:sz w:val="24"/>
          <w:szCs w:val="24"/>
        </w:rPr>
        <w:t>Sin perjuicio de ello, cabe precisar que los hechos descritos por la asegurada no configuran las demás coberturas; f) mediante correo electrónico de fecha 17 de diciembre del 2022, informamos a la asegurada que correspondía el pago a su favor de la suma de S/1,728.99 correspondiente a la cobertura patrimonial por transferencias.</w:t>
      </w:r>
      <w:r w:rsidRPr="1F1A8026" w:rsidR="00BC19B0">
        <w:rPr>
          <w:rStyle w:val="normaltextrun"/>
          <w:rFonts w:ascii="Times New Roman" w:hAnsi="Times New Roman"/>
          <w:sz w:val="24"/>
          <w:szCs w:val="24"/>
        </w:rPr>
        <w:t xml:space="preserve"> No obtuvimos respuesta. </w:t>
      </w:r>
      <w:r w:rsidRPr="1F1A8026" w:rsidR="00BC19B0">
        <w:rPr>
          <w:rStyle w:val="normaltextrun"/>
          <w:rFonts w:ascii="Times New Roman" w:hAnsi="Times New Roman"/>
          <w:sz w:val="24"/>
          <w:szCs w:val="24"/>
        </w:rPr>
        <w:t>Cabe señalar que nuestra posición se mantiene; g) sobre la supuesta falta al principio de transparencia; negamos lo señalado, toda vez que la suscrita no se ha negado a brindar la información necesaria a fin de que la reclamante contrate el seguro.</w:t>
      </w:r>
      <w:r w:rsidRPr="1F1A8026" w:rsidR="00BC19B0">
        <w:rPr>
          <w:rStyle w:val="normaltextrun"/>
          <w:rFonts w:ascii="Times New Roman" w:hAnsi="Times New Roman"/>
          <w:sz w:val="24"/>
          <w:szCs w:val="24"/>
        </w:rPr>
        <w:t xml:space="preserve">  No debe olvidarse que los consumidores deben ser diligentes, lo cual implica que deben revisar sus pólizas a fin de conocer las coberturas, exclusiones, obligaciones, deberes y derechos. </w:t>
      </w:r>
    </w:p>
    <w:p w:rsidRPr="00BC19B0" w:rsidR="00BC19B0" w:rsidP="00BC19B0" w:rsidRDefault="00BC19B0" w14:paraId="2B5A56E9" w14:textId="77777777">
      <w:pPr>
        <w:jc w:val="both"/>
        <w:rPr>
          <w:rFonts w:ascii="Times New Roman" w:hAnsi="Times New Roman"/>
          <w:b/>
          <w:sz w:val="24"/>
          <w:szCs w:val="24"/>
          <w:lang w:val="es-ES" w:eastAsia="es-ES"/>
        </w:rPr>
      </w:pPr>
      <w:r w:rsidRPr="00BC19B0">
        <w:rPr>
          <w:rFonts w:ascii="Times New Roman" w:hAnsi="Times New Roman"/>
          <w:b/>
          <w:sz w:val="24"/>
          <w:szCs w:val="24"/>
        </w:rPr>
        <w:t xml:space="preserve">CONSIDERANDO: </w:t>
      </w:r>
    </w:p>
    <w:p w:rsidRPr="00DB34CC" w:rsidR="00BC19B0" w:rsidP="00BC19B0" w:rsidRDefault="00BC19B0" w14:paraId="744E4B22" w14:textId="77777777">
      <w:pPr>
        <w:jc w:val="both"/>
        <w:rPr>
          <w:rStyle w:val="Textoennegrita"/>
          <w:rFonts w:ascii="Times New Roman" w:hAnsi="Times New Roman"/>
          <w:b w:val="0"/>
          <w:bCs w:val="0"/>
          <w:sz w:val="24"/>
          <w:szCs w:val="24"/>
          <w:lang w:eastAsia="es-ES"/>
        </w:rPr>
      </w:pPr>
      <w:r w:rsidRPr="00BC19B0">
        <w:rPr>
          <w:rFonts w:ascii="Times New Roman" w:hAnsi="Times New Roman"/>
          <w:b/>
          <w:sz w:val="24"/>
          <w:szCs w:val="24"/>
          <w:u w:val="single"/>
        </w:rPr>
        <w:t>PRIMERO</w:t>
      </w:r>
      <w:r w:rsidRPr="00BC19B0">
        <w:rPr>
          <w:rFonts w:ascii="Times New Roman" w:hAnsi="Times New Roman"/>
          <w:sz w:val="24"/>
          <w:szCs w:val="24"/>
        </w:rPr>
        <w:t xml:space="preserve">: Conforme al Reglamento de la Defensoría del Asegurado, </w:t>
      </w:r>
      <w:r w:rsidRPr="00DB34CC">
        <w:rPr>
          <w:rStyle w:val="Textoennegrita"/>
          <w:rFonts w:ascii="Times New Roman" w:hAnsi="Times New Roman"/>
          <w:b w:val="0"/>
          <w:bCs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BC19B0" w:rsidR="00BC19B0" w:rsidP="00BC19B0" w:rsidRDefault="00BC19B0" w14:paraId="35646597" w14:textId="77777777">
      <w:pPr>
        <w:jc w:val="both"/>
        <w:rPr>
          <w:rStyle w:val="Textoennegrita"/>
          <w:rFonts w:ascii="Times New Roman" w:hAnsi="Times New Roman"/>
          <w:b w:val="0"/>
          <w:sz w:val="24"/>
          <w:szCs w:val="24"/>
        </w:rPr>
      </w:pPr>
      <w:r w:rsidRPr="00BC19B0">
        <w:rPr>
          <w:rStyle w:val="Textoennegrita"/>
          <w:rFonts w:ascii="Times New Roman" w:hAnsi="Times New Roman"/>
          <w:sz w:val="24"/>
          <w:szCs w:val="24"/>
          <w:u w:val="single"/>
        </w:rPr>
        <w:t>SEGUNDO</w:t>
      </w:r>
      <w:r w:rsidRPr="00BC19B0">
        <w:rPr>
          <w:rStyle w:val="Textoennegrita"/>
          <w:rFonts w:ascii="Times New Roman" w:hAnsi="Times New Roman"/>
          <w:sz w:val="24"/>
          <w:szCs w:val="24"/>
        </w:rPr>
        <w:t xml:space="preserve">: </w:t>
      </w:r>
      <w:r w:rsidRPr="00BC19B0">
        <w:rPr>
          <w:rFonts w:ascii="Times New Roman" w:hAnsi="Times New Roman"/>
          <w:sz w:val="24"/>
          <w:szCs w:val="24"/>
        </w:rPr>
        <w:t xml:space="preserve">Asimismo, de acuerdo a </w:t>
      </w:r>
      <w:r w:rsidRPr="00DB34CC">
        <w:rPr>
          <w:rStyle w:val="Textoennegrita"/>
          <w:rFonts w:ascii="Times New Roman" w:hAnsi="Times New Roman"/>
          <w:b w:val="0"/>
          <w:bCs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C19B0" w:rsidR="00BC19B0" w:rsidP="00BC19B0" w:rsidRDefault="00BC19B0" w14:paraId="357D8DCA" w14:textId="6F1F17B2">
      <w:pPr>
        <w:jc w:val="both"/>
        <w:rPr>
          <w:rFonts w:ascii="Times New Roman" w:hAnsi="Times New Roman"/>
          <w:sz w:val="24"/>
          <w:szCs w:val="24"/>
        </w:rPr>
      </w:pPr>
      <w:r w:rsidRPr="00BC19B0">
        <w:rPr>
          <w:rStyle w:val="Textoennegrita"/>
          <w:rFonts w:ascii="Times New Roman" w:hAnsi="Times New Roman"/>
          <w:sz w:val="24"/>
          <w:szCs w:val="24"/>
          <w:u w:val="single"/>
        </w:rPr>
        <w:t>TERCERO</w:t>
      </w:r>
      <w:r w:rsidRPr="00BC19B0">
        <w:rPr>
          <w:rStyle w:val="Textoennegrita"/>
          <w:rFonts w:ascii="Times New Roman" w:hAnsi="Times New Roman"/>
          <w:sz w:val="24"/>
          <w:szCs w:val="24"/>
        </w:rPr>
        <w:t>:</w:t>
      </w:r>
      <w:r w:rsidRPr="00BC19B0">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DB34CC" w:rsidR="00BC19B0" w:rsidP="00BC19B0" w:rsidRDefault="00BC19B0" w14:paraId="4026A0FF" w14:textId="03643109">
      <w:pPr>
        <w:jc w:val="both"/>
        <w:rPr>
          <w:rStyle w:val="Textoennegrita"/>
          <w:rFonts w:ascii="Times New Roman" w:hAnsi="Times New Roman"/>
          <w:b w:val="0"/>
          <w:bCs w:val="0"/>
          <w:sz w:val="24"/>
          <w:szCs w:val="24"/>
        </w:rPr>
      </w:pPr>
      <w:r w:rsidRPr="00BC19B0">
        <w:rPr>
          <w:rFonts w:ascii="Times New Roman" w:hAnsi="Times New Roman"/>
          <w:b/>
          <w:sz w:val="24"/>
          <w:szCs w:val="24"/>
          <w:u w:val="single"/>
        </w:rPr>
        <w:t>CUARTO</w:t>
      </w:r>
      <w:r w:rsidRPr="00BC19B0">
        <w:rPr>
          <w:rFonts w:ascii="Times New Roman" w:hAnsi="Times New Roman"/>
          <w:b/>
          <w:sz w:val="24"/>
          <w:szCs w:val="24"/>
        </w:rPr>
        <w:t>:</w:t>
      </w:r>
      <w:r w:rsidRPr="00BC19B0">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DB34CC" w:rsidR="00BC19B0" w:rsidP="00BC19B0" w:rsidRDefault="00BC19B0" w14:paraId="53C766C2" w14:textId="017BD3ED">
      <w:pPr>
        <w:jc w:val="both"/>
        <w:rPr>
          <w:rFonts w:ascii="Times New Roman" w:hAnsi="Times New Roman"/>
          <w:sz w:val="24"/>
          <w:szCs w:val="24"/>
        </w:rPr>
      </w:pPr>
      <w:r w:rsidRPr="00BC19B0">
        <w:rPr>
          <w:rStyle w:val="Textoennegrita"/>
          <w:rFonts w:ascii="Times New Roman" w:hAnsi="Times New Roman"/>
          <w:sz w:val="24"/>
          <w:szCs w:val="24"/>
          <w:u w:val="single"/>
        </w:rPr>
        <w:t>QUINTO</w:t>
      </w:r>
      <w:r w:rsidRPr="00BC19B0">
        <w:rPr>
          <w:rStyle w:val="Textoennegrita"/>
          <w:rFonts w:ascii="Times New Roman" w:hAnsi="Times New Roman"/>
          <w:sz w:val="24"/>
          <w:szCs w:val="24"/>
        </w:rPr>
        <w:t xml:space="preserve">: </w:t>
      </w:r>
      <w:r w:rsidRPr="00DB34CC">
        <w:rPr>
          <w:rStyle w:val="Textoennegrita"/>
          <w:rFonts w:ascii="Times New Roman" w:hAnsi="Times New Roman"/>
          <w:b w:val="0"/>
          <w:bCs w:val="0"/>
          <w:sz w:val="24"/>
          <w:szCs w:val="24"/>
        </w:rPr>
        <w:t>En materia procesal</w:t>
      </w:r>
      <w:r w:rsidRPr="00BC19B0">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BC19B0" w:rsidR="00BC19B0" w:rsidP="00BC19B0" w:rsidRDefault="00BC19B0" w14:paraId="23BE05EE" w14:textId="3C139837">
      <w:pPr>
        <w:jc w:val="both"/>
        <w:rPr>
          <w:rFonts w:ascii="Times New Roman" w:hAnsi="Times New Roman"/>
          <w:sz w:val="24"/>
          <w:szCs w:val="24"/>
        </w:rPr>
      </w:pPr>
      <w:r w:rsidRPr="1F1A8026" w:rsidR="00BC19B0">
        <w:rPr>
          <w:rFonts w:ascii="Times New Roman" w:hAnsi="Times New Roman"/>
          <w:b w:val="1"/>
          <w:bCs w:val="1"/>
          <w:sz w:val="24"/>
          <w:szCs w:val="24"/>
          <w:u w:val="single"/>
        </w:rPr>
        <w:t>SEXTO</w:t>
      </w:r>
      <w:r w:rsidRPr="1F1A8026" w:rsidR="00BC19B0">
        <w:rPr>
          <w:rFonts w:ascii="Times New Roman" w:hAnsi="Times New Roman"/>
          <w:b w:val="1"/>
          <w:bCs w:val="1"/>
          <w:sz w:val="24"/>
          <w:szCs w:val="24"/>
        </w:rPr>
        <w:t>:</w:t>
      </w:r>
      <w:r w:rsidRPr="1F1A8026" w:rsidR="00BC19B0">
        <w:rPr>
          <w:rFonts w:ascii="Times New Roman" w:hAnsi="Times New Roman"/>
          <w:sz w:val="24"/>
          <w:szCs w:val="24"/>
        </w:rPr>
        <w:t xml:space="preserve"> </w:t>
      </w:r>
      <w:r w:rsidRPr="1F1A8026" w:rsidR="00BC19B0">
        <w:rPr>
          <w:rFonts w:ascii="Times New Roman" w:hAnsi="Times New Roman"/>
          <w:sz w:val="24"/>
          <w:szCs w:val="24"/>
        </w:rPr>
        <w:t>De acuerdo a</w:t>
      </w:r>
      <w:r w:rsidRPr="1F1A8026" w:rsidR="00BC19B0">
        <w:rPr>
          <w:rFonts w:ascii="Times New Roman" w:hAnsi="Times New Roman"/>
          <w:sz w:val="24"/>
          <w:szCs w:val="24"/>
        </w:rPr>
        <w:t xml:space="preserve"> los términos contenidos en el rechazo, la reclamación y en la respectiva absolución, la cuestión controvertida radica en determinar si el importe cubierto por </w:t>
      </w:r>
      <w:r w:rsidRPr="1F1A8026" w:rsidR="6AF44CDB">
        <w:rPr>
          <w:rFonts w:ascii="Times New Roman" w:hAnsi="Times New Roman"/>
          <w:sz w:val="24"/>
          <w:szCs w:val="24"/>
        </w:rPr>
        <w:t>................................</w:t>
      </w:r>
      <w:r w:rsidRPr="1F1A8026" w:rsidR="00BC19B0">
        <w:rPr>
          <w:rFonts w:ascii="Times New Roman" w:hAnsi="Times New Roman"/>
          <w:sz w:val="24"/>
          <w:szCs w:val="24"/>
        </w:rPr>
        <w:t xml:space="preserve"> -como pago indemnizatorio por la ocurrencia del siniestro- se ajusta o no al contrato de seguro correspondiente:</w:t>
      </w:r>
    </w:p>
    <w:p w:rsidRPr="00BC19B0" w:rsidR="00BC19B0" w:rsidP="00BC19B0" w:rsidRDefault="00BC19B0" w14:paraId="4BF6530D" w14:textId="77777777">
      <w:pPr>
        <w:pStyle w:val="NormalWeb"/>
        <w:shd w:val="clear" w:color="auto" w:fill="FFFFFF"/>
        <w:spacing w:line="276" w:lineRule="atLeast"/>
        <w:ind w:left="1146"/>
        <w:jc w:val="both"/>
        <w:rPr>
          <w:i/>
          <w:iCs/>
          <w:color w:val="000000"/>
          <w:lang w:val="es-PE" w:eastAsia="es-PE"/>
        </w:rPr>
      </w:pPr>
      <w:r w:rsidRPr="00BC19B0">
        <w:rPr>
          <w:i/>
          <w:iCs/>
          <w:color w:val="000000"/>
          <w:bdr w:val="none" w:color="auto" w:sz="0" w:space="0" w:frame="1"/>
          <w:lang w:val="es-PE"/>
        </w:rPr>
        <w:t>“</w:t>
      </w:r>
      <w:r w:rsidRPr="00BC19B0">
        <w:rPr>
          <w:i/>
          <w:iCs/>
          <w:color w:val="000000"/>
          <w:bdr w:val="none" w:color="auto" w:sz="0" w:space="0" w:frame="1"/>
        </w:rPr>
        <w:t xml:space="preserve">Sobre el particular y </w:t>
      </w:r>
      <w:proofErr w:type="gramStart"/>
      <w:r w:rsidRPr="00BC19B0">
        <w:rPr>
          <w:i/>
          <w:iCs/>
          <w:color w:val="000000"/>
          <w:bdr w:val="none" w:color="auto" w:sz="0" w:space="0" w:frame="1"/>
        </w:rPr>
        <w:t>de acuerdo al</w:t>
      </w:r>
      <w:proofErr w:type="gramEnd"/>
      <w:r w:rsidRPr="00BC19B0">
        <w:rPr>
          <w:i/>
          <w:iCs/>
          <w:color w:val="000000"/>
          <w:bdr w:val="none" w:color="auto" w:sz="0" w:space="0" w:frame="1"/>
        </w:rPr>
        <w:t> siniestro ocurrido el día 10 de diciembre de 2022, luego del análisis y evaluación de la documentación remitida, le comunicamos que, bajo los términos y condiciones de la póliza de seguros, el siniestro mencionado no es materia de cobertura, debido a que, según su reclamo, la tarjeta afectada fue utilizada indebidamente para retiros de dinero en efectivo en el cajero automático y </w:t>
      </w:r>
      <w:r w:rsidRPr="00BC19B0">
        <w:rPr>
          <w:rStyle w:val="marks3ogn0b1a"/>
          <w:i/>
          <w:iCs/>
          <w:color w:val="000000"/>
          <w:bdr w:val="none" w:color="auto" w:sz="0" w:space="0" w:frame="1"/>
        </w:rPr>
        <w:t>Transferencia</w:t>
      </w:r>
      <w:r w:rsidRPr="00BC19B0">
        <w:rPr>
          <w:rStyle w:val="xmarkkbprpkzqk"/>
          <w:rFonts w:eastAsia="Calibri"/>
          <w:i/>
          <w:iCs/>
          <w:color w:val="000000"/>
          <w:bdr w:val="none" w:color="auto" w:sz="0" w:space="0" w:frame="1"/>
        </w:rPr>
        <w:t>s</w:t>
      </w:r>
      <w:r w:rsidRPr="00BC19B0">
        <w:rPr>
          <w:i/>
          <w:iCs/>
          <w:color w:val="000000"/>
          <w:bdr w:val="none" w:color="auto" w:sz="0" w:space="0" w:frame="1"/>
        </w:rPr>
        <w:t xml:space="preserve">. Es importe resaltar que, la cobertura de uso indebido aplica cuando terceras personas realizan </w:t>
      </w:r>
      <w:r w:rsidRPr="00BC19B0">
        <w:rPr>
          <w:rStyle w:val="xxxmarkh01u8ayij"/>
          <w:i/>
          <w:iCs/>
          <w:color w:val="000000"/>
          <w:bdr w:val="none" w:color="auto" w:sz="0" w:space="0" w:frame="1"/>
        </w:rPr>
        <w:t>compras</w:t>
      </w:r>
      <w:r w:rsidRPr="00BC19B0">
        <w:rPr>
          <w:i/>
          <w:iCs/>
          <w:color w:val="000000"/>
          <w:bdr w:val="none" w:color="auto" w:sz="0" w:space="0" w:frame="1"/>
        </w:rPr>
        <w:t xml:space="preserve"> en </w:t>
      </w:r>
      <w:r w:rsidRPr="00BC19B0">
        <w:rPr>
          <w:rStyle w:val="xxxxxxxxxxmarkaof8ahzo5"/>
          <w:i/>
          <w:iCs/>
          <w:color w:val="000000"/>
          <w:bdr w:val="none" w:color="auto" w:sz="0" w:space="0" w:frame="1"/>
        </w:rPr>
        <w:t>establecimiento</w:t>
      </w:r>
      <w:r w:rsidRPr="00BC19B0">
        <w:rPr>
          <w:i/>
          <w:iCs/>
          <w:color w:val="000000"/>
          <w:bdr w:val="none" w:color="auto" w:sz="0" w:space="0" w:frame="1"/>
        </w:rPr>
        <w:t xml:space="preserve">s </w:t>
      </w:r>
      <w:r w:rsidRPr="00BC19B0">
        <w:rPr>
          <w:rStyle w:val="xxmark6jcw3mqs4"/>
          <w:i/>
          <w:iCs/>
          <w:color w:val="000000"/>
          <w:bdr w:val="none" w:color="auto" w:sz="0" w:space="0" w:frame="1"/>
        </w:rPr>
        <w:t>comercial</w:t>
      </w:r>
      <w:r w:rsidRPr="00BC19B0">
        <w:rPr>
          <w:rStyle w:val="xxxxxxxxmarki8nkmy4zf"/>
          <w:rFonts w:eastAsia="Calibri"/>
          <w:i/>
          <w:iCs/>
          <w:color w:val="000000"/>
          <w:bdr w:val="none" w:color="auto" w:sz="0" w:space="0" w:frame="1"/>
        </w:rPr>
        <w:t>es</w:t>
      </w:r>
      <w:r w:rsidRPr="00BC19B0">
        <w:rPr>
          <w:i/>
          <w:iCs/>
          <w:color w:val="000000"/>
          <w:bdr w:val="none" w:color="auto" w:sz="0" w:space="0" w:frame="1"/>
        </w:rPr>
        <w:t>, condición establecida en la póliza para acceder a la cobertura del seguro, que a la letra dice:</w:t>
      </w:r>
      <w:r w:rsidRPr="00BC19B0">
        <w:rPr>
          <w:i/>
          <w:iCs/>
          <w:color w:val="000000"/>
        </w:rPr>
        <w:t> </w:t>
      </w:r>
    </w:p>
    <w:p w:rsidRPr="00BC19B0" w:rsidR="00BC19B0" w:rsidP="00BC19B0" w:rsidRDefault="00BC19B0" w14:paraId="43DD0086" w14:textId="77777777">
      <w:pPr>
        <w:pStyle w:val="NormalWeb"/>
        <w:shd w:val="clear" w:color="auto" w:fill="FFFFFF"/>
        <w:spacing w:line="276" w:lineRule="atLeast"/>
        <w:ind w:left="1572"/>
        <w:jc w:val="both"/>
        <w:rPr>
          <w:i/>
          <w:iCs/>
          <w:color w:val="000000"/>
        </w:rPr>
      </w:pPr>
      <w:r w:rsidRPr="00BC19B0">
        <w:rPr>
          <w:b/>
          <w:bCs/>
          <w:i/>
          <w:iCs/>
          <w:color w:val="000000"/>
          <w:bdr w:val="none" w:color="auto" w:sz="0" w:space="0" w:frame="1"/>
        </w:rPr>
        <w:t xml:space="preserve">Uso Indebido: Si es </w:t>
      </w:r>
      <w:proofErr w:type="gramStart"/>
      <w:r w:rsidRPr="00BC19B0">
        <w:rPr>
          <w:b/>
          <w:bCs/>
          <w:i/>
          <w:iCs/>
          <w:color w:val="000000"/>
          <w:bdr w:val="none" w:color="auto" w:sz="0" w:space="0" w:frame="1"/>
        </w:rPr>
        <w:t>que</w:t>
      </w:r>
      <w:proofErr w:type="gramEnd"/>
      <w:r w:rsidRPr="00BC19B0">
        <w:rPr>
          <w:b/>
          <w:bCs/>
          <w:i/>
          <w:iCs/>
          <w:color w:val="000000"/>
          <w:bdr w:val="none" w:color="auto" w:sz="0" w:space="0" w:frame="1"/>
        </w:rPr>
        <w:t xml:space="preserve"> por el robo, hurto de la tarjeta asegurada, sea de crédito y/o débito, personas terceras hacen </w:t>
      </w:r>
      <w:r w:rsidRPr="00BC19B0">
        <w:rPr>
          <w:b/>
          <w:bCs/>
          <w:i/>
          <w:iCs/>
          <w:color w:val="000000"/>
          <w:u w:val="single"/>
          <w:bdr w:val="none" w:color="auto" w:sz="0" w:space="0" w:frame="1"/>
        </w:rPr>
        <w:t xml:space="preserve">uso indebido de la misma únicamente en </w:t>
      </w:r>
      <w:r w:rsidRPr="00BC19B0">
        <w:rPr>
          <w:rStyle w:val="xxxxxxxxxxmarkaof8ahzo5"/>
          <w:b/>
          <w:bCs/>
          <w:i/>
          <w:iCs/>
          <w:color w:val="000000"/>
          <w:u w:val="single"/>
          <w:bdr w:val="none" w:color="auto" w:sz="0" w:space="0" w:frame="1"/>
        </w:rPr>
        <w:t>establecimiento</w:t>
      </w:r>
      <w:r w:rsidRPr="00BC19B0">
        <w:rPr>
          <w:b/>
          <w:bCs/>
          <w:i/>
          <w:iCs/>
          <w:color w:val="000000"/>
          <w:u w:val="single"/>
          <w:bdr w:val="none" w:color="auto" w:sz="0" w:space="0" w:frame="1"/>
        </w:rPr>
        <w:t xml:space="preserve">s </w:t>
      </w:r>
      <w:r w:rsidRPr="00BC19B0">
        <w:rPr>
          <w:rStyle w:val="xxmark6jcw3mqs4"/>
          <w:b/>
          <w:bCs/>
          <w:i/>
          <w:iCs/>
          <w:color w:val="000000"/>
          <w:u w:val="single"/>
          <w:bdr w:val="none" w:color="auto" w:sz="0" w:space="0" w:frame="1"/>
        </w:rPr>
        <w:t>comercial</w:t>
      </w:r>
      <w:r w:rsidRPr="00BC19B0">
        <w:rPr>
          <w:rStyle w:val="xxxxxxxxmarki8nkmy4zf"/>
          <w:rFonts w:eastAsia="Calibri"/>
          <w:b/>
          <w:bCs/>
          <w:i/>
          <w:iCs/>
          <w:color w:val="000000"/>
          <w:u w:val="single"/>
          <w:bdr w:val="none" w:color="auto" w:sz="0" w:space="0" w:frame="1"/>
        </w:rPr>
        <w:t>es</w:t>
      </w:r>
      <w:r w:rsidRPr="00BC19B0">
        <w:rPr>
          <w:b/>
          <w:bCs/>
          <w:i/>
          <w:iCs/>
          <w:color w:val="000000"/>
          <w:bdr w:val="none" w:color="auto" w:sz="0" w:space="0" w:frame="1"/>
        </w:rPr>
        <w:t>.</w:t>
      </w:r>
      <w:r w:rsidRPr="00BC19B0">
        <w:rPr>
          <w:i/>
          <w:iCs/>
          <w:color w:val="000000"/>
        </w:rPr>
        <w:t> </w:t>
      </w:r>
    </w:p>
    <w:p w:rsidRPr="00BC19B0" w:rsidR="00BC19B0" w:rsidP="00BC19B0" w:rsidRDefault="00BC19B0" w14:paraId="1069F69D" w14:textId="77777777">
      <w:pPr>
        <w:pStyle w:val="NormalWeb"/>
        <w:shd w:val="clear" w:color="auto" w:fill="FFFFFF"/>
        <w:spacing w:line="276" w:lineRule="atLeast"/>
        <w:ind w:left="1146"/>
        <w:jc w:val="both"/>
        <w:rPr>
          <w:i/>
          <w:iCs/>
          <w:color w:val="000000"/>
        </w:rPr>
      </w:pPr>
      <w:r w:rsidRPr="00BC19B0">
        <w:rPr>
          <w:i/>
          <w:iCs/>
          <w:color w:val="000000"/>
          <w:bdr w:val="none" w:color="auto" w:sz="0" w:space="0" w:frame="1"/>
        </w:rPr>
        <w:t xml:space="preserve">Por lo tanto, considerando que la situación expuesta solo estamos considerando solo la </w:t>
      </w:r>
      <w:r w:rsidRPr="00BC19B0">
        <w:rPr>
          <w:rStyle w:val="marks3ogn0b1a"/>
          <w:i/>
          <w:iCs/>
          <w:color w:val="000000"/>
          <w:bdr w:val="none" w:color="auto" w:sz="0" w:space="0" w:frame="1"/>
        </w:rPr>
        <w:t>transferencia</w:t>
      </w:r>
      <w:r w:rsidRPr="00BC19B0">
        <w:rPr>
          <w:i/>
          <w:iCs/>
          <w:color w:val="000000"/>
          <w:bdr w:val="none" w:color="auto" w:sz="0" w:space="0" w:frame="1"/>
        </w:rPr>
        <w:t>, misma que está amparada por la suma de S/. 1728.99 mismos que será abonado a su cuenta bancaria (…)”</w:t>
      </w:r>
    </w:p>
    <w:p w:rsidRPr="00BC19B0" w:rsidR="00BC19B0" w:rsidP="00BC19B0" w:rsidRDefault="00BC19B0" w14:paraId="0208B07F" w14:textId="76A172A2">
      <w:pPr>
        <w:jc w:val="both"/>
        <w:rPr>
          <w:rFonts w:ascii="Times New Roman" w:hAnsi="Times New Roman"/>
          <w:sz w:val="24"/>
          <w:szCs w:val="24"/>
        </w:rPr>
      </w:pPr>
      <w:r w:rsidRPr="1F1A8026" w:rsidR="00BC19B0">
        <w:rPr>
          <w:rFonts w:ascii="Times New Roman" w:hAnsi="Times New Roman"/>
          <w:b w:val="1"/>
          <w:bCs w:val="1"/>
          <w:sz w:val="24"/>
          <w:szCs w:val="24"/>
          <w:u w:val="single"/>
        </w:rPr>
        <w:t>SÉPTIMO:</w:t>
      </w:r>
      <w:r w:rsidRPr="1F1A8026" w:rsidR="00BC19B0">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1F1A8026" w:rsidR="6AF44CDB">
        <w:rPr>
          <w:rFonts w:ascii="Times New Roman" w:hAnsi="Times New Roman"/>
          <w:sz w:val="24"/>
          <w:szCs w:val="24"/>
        </w:rPr>
        <w:t>................................</w:t>
      </w:r>
      <w:r w:rsidRPr="1F1A8026" w:rsidR="00BC19B0">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1F1A8026" w:rsidR="6AF44CDB">
        <w:rPr>
          <w:rFonts w:ascii="Times New Roman" w:hAnsi="Times New Roman"/>
          <w:sz w:val="24"/>
          <w:szCs w:val="24"/>
        </w:rPr>
        <w:t>................................</w:t>
      </w:r>
      <w:r w:rsidRPr="1F1A8026" w:rsidR="00BC19B0">
        <w:rPr>
          <w:rFonts w:ascii="Times New Roman" w:hAnsi="Times New Roman"/>
          <w:sz w:val="24"/>
          <w:szCs w:val="24"/>
        </w:rPr>
        <w:t>, independientemente que la póliza se haya contratado a través de la señalada empresa financiera.</w:t>
      </w:r>
    </w:p>
    <w:p w:rsidRPr="00BC19B0" w:rsidR="00BC19B0" w:rsidP="00BC19B0" w:rsidRDefault="00BC19B0" w14:paraId="7CC26821" w14:textId="679E943E">
      <w:pPr>
        <w:jc w:val="both"/>
        <w:rPr>
          <w:rFonts w:ascii="Times New Roman" w:hAnsi="Times New Roman"/>
          <w:sz w:val="24"/>
          <w:szCs w:val="24"/>
        </w:rPr>
      </w:pPr>
      <w:r w:rsidRPr="00BC19B0">
        <w:rPr>
          <w:rFonts w:ascii="Times New Roman" w:hAnsi="Times New Roman"/>
          <w:b/>
          <w:sz w:val="24"/>
          <w:szCs w:val="24"/>
          <w:u w:val="single"/>
        </w:rPr>
        <w:t>OCTAVO</w:t>
      </w:r>
      <w:r w:rsidRPr="00BC19B0">
        <w:rPr>
          <w:rFonts w:ascii="Times New Roman" w:hAnsi="Times New Roman"/>
          <w:b/>
          <w:sz w:val="24"/>
          <w:szCs w:val="24"/>
        </w:rPr>
        <w:t>:</w:t>
      </w:r>
      <w:r w:rsidRPr="00BC19B0">
        <w:rPr>
          <w:rFonts w:ascii="Times New Roman" w:hAnsi="Times New Roman"/>
          <w:sz w:val="24"/>
          <w:szCs w:val="24"/>
        </w:rPr>
        <w:t xml:space="preserve"> En autos obra copia de la solicitud - certificado del Seguro de Protección de Tarjeta BBVA, presentada por la reclamante, documento que aparece firmado por la reclamante.</w:t>
      </w:r>
    </w:p>
    <w:p w:rsidRPr="00BC19B0" w:rsidR="00BC19B0" w:rsidP="00B2780B" w:rsidRDefault="00BC19B0" w14:paraId="2F43EC4A" w14:textId="38568B38">
      <w:pPr>
        <w:tabs>
          <w:tab w:val="left" w:pos="2160"/>
        </w:tabs>
        <w:jc w:val="both"/>
        <w:rPr>
          <w:rFonts w:ascii="Times New Roman" w:hAnsi="Times New Roman"/>
          <w:sz w:val="24"/>
          <w:szCs w:val="24"/>
        </w:rPr>
      </w:pPr>
      <w:r w:rsidRPr="00BC19B0">
        <w:rPr>
          <w:rFonts w:ascii="Times New Roman" w:hAnsi="Times New Roman"/>
          <w:sz w:val="24"/>
          <w:szCs w:val="24"/>
        </w:rPr>
        <w:t>Resulta evidente que la suscripción del indicado cargo de recepción del certificado de seguro acredita que la reclamante recibió un certificado de seguro correspondiente a la versión V10 de junio de 2020, el cual contenía 14 páginas.</w:t>
      </w:r>
    </w:p>
    <w:p w:rsidRPr="00B2780B" w:rsidR="00BC19B0" w:rsidP="00BC19B0" w:rsidRDefault="00BC19B0" w14:paraId="53228860" w14:textId="75E3BB3B">
      <w:pPr>
        <w:jc w:val="both"/>
        <w:rPr>
          <w:rFonts w:ascii="Times New Roman" w:hAnsi="Times New Roman"/>
          <w:sz w:val="24"/>
          <w:szCs w:val="24"/>
          <w:lang w:val="es-ES"/>
        </w:rPr>
      </w:pPr>
      <w:r w:rsidRPr="00BC19B0">
        <w:rPr>
          <w:rFonts w:ascii="Times New Roman" w:hAnsi="Times New Roman"/>
          <w:sz w:val="24"/>
          <w:szCs w:val="24"/>
        </w:rPr>
        <w:t>Así, se aprecia que a la asegurada se le informó sobre las coberturas contratadas y los alcances del respectivo seguro que celebró, y en especial que los términos bajo los cuales se cubren los riesgos asegurados</w:t>
      </w:r>
      <w:r w:rsidRPr="00BC19B0">
        <w:rPr>
          <w:rFonts w:ascii="Times New Roman" w:hAnsi="Times New Roman"/>
          <w:sz w:val="24"/>
          <w:szCs w:val="24"/>
          <w:lang w:val="es-MX"/>
        </w:rPr>
        <w:t>, por lo que la aseguradora está legitimada a oponer los términos de cobertura contratados.</w:t>
      </w:r>
    </w:p>
    <w:p w:rsidRPr="00BC19B0" w:rsidR="00BC19B0" w:rsidP="00BC19B0" w:rsidRDefault="00BC19B0" w14:paraId="3A62FEB3" w14:textId="0509D57E">
      <w:pPr>
        <w:jc w:val="both"/>
        <w:rPr>
          <w:rFonts w:ascii="Times New Roman" w:hAnsi="Times New Roman"/>
          <w:sz w:val="24"/>
          <w:szCs w:val="24"/>
        </w:rPr>
      </w:pPr>
      <w:r w:rsidRPr="00BC19B0">
        <w:rPr>
          <w:rFonts w:ascii="Times New Roman" w:hAnsi="Times New Roman"/>
          <w:sz w:val="24"/>
          <w:szCs w:val="24"/>
        </w:rPr>
        <w:t>Al respecto, se detallan las siguientes coberturas contratadas:</w:t>
      </w:r>
    </w:p>
    <w:p w:rsidRPr="00BC19B0" w:rsidR="00BC19B0" w:rsidP="00BC19B0" w:rsidRDefault="00BC19B0" w14:paraId="02D1DC3E" w14:textId="77777777">
      <w:pPr>
        <w:pStyle w:val="Prrafodelista"/>
        <w:numPr>
          <w:ilvl w:val="0"/>
          <w:numId w:val="3"/>
        </w:numPr>
        <w:autoSpaceDE/>
        <w:autoSpaceDN/>
        <w:adjustRightInd/>
        <w:ind w:right="0"/>
        <w:contextualSpacing/>
        <w:rPr>
          <w:rFonts w:ascii="Times New Roman" w:hAnsi="Times New Roman" w:cs="Times New Roman"/>
          <w:b/>
          <w:bCs/>
        </w:rPr>
      </w:pPr>
      <w:r w:rsidRPr="00BC19B0">
        <w:rPr>
          <w:rFonts w:ascii="Times New Roman" w:hAnsi="Times New Roman" w:cs="Times New Roman"/>
          <w:b/>
          <w:bCs/>
        </w:rPr>
        <w:lastRenderedPageBreak/>
        <w:t xml:space="preserve">Uso Indebido: Si es </w:t>
      </w:r>
      <w:proofErr w:type="gramStart"/>
      <w:r w:rsidRPr="00BC19B0">
        <w:rPr>
          <w:rFonts w:ascii="Times New Roman" w:hAnsi="Times New Roman" w:cs="Times New Roman"/>
          <w:b/>
          <w:bCs/>
        </w:rPr>
        <w:t>que</w:t>
      </w:r>
      <w:proofErr w:type="gramEnd"/>
      <w:r w:rsidRPr="00BC19B0">
        <w:rPr>
          <w:rFonts w:ascii="Times New Roman" w:hAnsi="Times New Roman" w:cs="Times New Roman"/>
          <w:b/>
          <w:bCs/>
        </w:rPr>
        <w:t xml:space="preserve"> por el robo, hurto de la tarjeta asegurada, sea de crédito y/o débito, personas terceras hacen uso indebido de la misma únicamente en establecimientos comerciales.</w:t>
      </w:r>
    </w:p>
    <w:p w:rsidRPr="00BC19B0" w:rsidR="00BC19B0" w:rsidP="00BC19B0" w:rsidRDefault="00BC19B0" w14:paraId="47FAE760" w14:textId="77777777">
      <w:pPr>
        <w:pStyle w:val="Prrafodelista"/>
        <w:numPr>
          <w:ilvl w:val="0"/>
          <w:numId w:val="3"/>
        </w:numPr>
        <w:autoSpaceDE/>
        <w:autoSpaceDN/>
        <w:adjustRightInd/>
        <w:ind w:right="0"/>
        <w:contextualSpacing/>
        <w:rPr>
          <w:rFonts w:ascii="Times New Roman" w:hAnsi="Times New Roman" w:cs="Times New Roman"/>
        </w:rPr>
      </w:pPr>
      <w:r w:rsidRPr="00BC19B0">
        <w:rPr>
          <w:rFonts w:ascii="Times New Roman" w:hAnsi="Times New Roman" w:cs="Times New Roman"/>
        </w:rPr>
        <w:t>Uso Forzado: Si como consecuencia del secuestro del Asegurado, se produce el uso forzado de la(s) tarjeta(s) de crédito y/o débito en un cajero automático.</w:t>
      </w:r>
    </w:p>
    <w:p w:rsidRPr="00BC19B0" w:rsidR="00BC19B0" w:rsidP="00BC19B0" w:rsidRDefault="00BC19B0" w14:paraId="7F8B3832" w14:textId="77777777">
      <w:pPr>
        <w:pStyle w:val="Prrafodelista"/>
        <w:numPr>
          <w:ilvl w:val="0"/>
          <w:numId w:val="3"/>
        </w:numPr>
        <w:autoSpaceDE/>
        <w:autoSpaceDN/>
        <w:adjustRightInd/>
        <w:ind w:right="0"/>
        <w:contextualSpacing/>
        <w:rPr>
          <w:rFonts w:ascii="Times New Roman" w:hAnsi="Times New Roman" w:cs="Times New Roman"/>
        </w:rPr>
      </w:pPr>
      <w:r w:rsidRPr="00BC19B0">
        <w:rPr>
          <w:rFonts w:ascii="Times New Roman" w:hAnsi="Times New Roman" w:cs="Times New Roman"/>
        </w:rPr>
        <w:t>Robo: Si al Asegurado le roban el dinero que ha retirado voluntariamente de cajeros únicamente del BBVA con tarjetas de crédito y/o débito del BBVA dentro de un radio de 200 metros del cajero.</w:t>
      </w:r>
    </w:p>
    <w:p w:rsidRPr="00BC19B0" w:rsidR="00BC19B0" w:rsidP="00BC19B0" w:rsidRDefault="00BC19B0" w14:paraId="1AF7E3B5" w14:textId="77777777">
      <w:pPr>
        <w:pStyle w:val="Prrafodelista"/>
        <w:numPr>
          <w:ilvl w:val="0"/>
          <w:numId w:val="3"/>
        </w:numPr>
        <w:autoSpaceDE/>
        <w:autoSpaceDN/>
        <w:adjustRightInd/>
        <w:ind w:right="0"/>
        <w:contextualSpacing/>
        <w:rPr>
          <w:rFonts w:ascii="Times New Roman" w:hAnsi="Times New Roman" w:cs="Times New Roman"/>
        </w:rPr>
      </w:pPr>
      <w:r w:rsidRPr="00BC19B0">
        <w:rPr>
          <w:rFonts w:ascii="Times New Roman" w:hAnsi="Times New Roman" w:cs="Times New Roman"/>
        </w:rPr>
        <w:t>Uso Indebido por Compra fraudulenta vía internet (medios digitales) Cubre el monto que representen las compras fraudulentas con la tarjeta de crédito y/o débito BBVA sin la autorización y conocimiento del Titular, realizadas hasta 60 días antes de la fecha de bloqueo de la tarjeta involucrada.</w:t>
      </w:r>
    </w:p>
    <w:p w:rsidRPr="00BC19B0" w:rsidR="00BC19B0" w:rsidP="00BC19B0" w:rsidRDefault="00BC19B0" w14:paraId="32E74EE0" w14:textId="77777777">
      <w:pPr>
        <w:pStyle w:val="Prrafodelista"/>
        <w:numPr>
          <w:ilvl w:val="0"/>
          <w:numId w:val="3"/>
        </w:numPr>
        <w:autoSpaceDE/>
        <w:autoSpaceDN/>
        <w:adjustRightInd/>
        <w:ind w:right="0"/>
        <w:contextualSpacing/>
        <w:rPr>
          <w:rFonts w:ascii="Times New Roman" w:hAnsi="Times New Roman" w:cs="Times New Roman"/>
        </w:rPr>
      </w:pPr>
      <w:r w:rsidRPr="00BC19B0">
        <w:rPr>
          <w:rFonts w:ascii="Times New Roman" w:hAnsi="Times New Roman" w:cs="Times New Roman"/>
        </w:rPr>
        <w:t>Beneficio gratuito: Operaciones realizadas como consecuencia de la clonación o adulteración de la tarjeta de crédito y/o débito sin conocimiento del titular, realizadas hasta 60 días antes de la fecha de bloqueo de la tarjeta involucrada. Cubre en el Perú y en el extranjero.</w:t>
      </w:r>
    </w:p>
    <w:p w:rsidRPr="00BC19B0" w:rsidR="00BC19B0" w:rsidP="00BC19B0" w:rsidRDefault="00BC19B0" w14:paraId="6EC9C316" w14:textId="77777777">
      <w:pPr>
        <w:pStyle w:val="Prrafodelista"/>
        <w:numPr>
          <w:ilvl w:val="0"/>
          <w:numId w:val="3"/>
        </w:numPr>
        <w:autoSpaceDE/>
        <w:autoSpaceDN/>
        <w:adjustRightInd/>
        <w:ind w:right="0"/>
        <w:contextualSpacing/>
        <w:rPr>
          <w:rFonts w:ascii="Times New Roman" w:hAnsi="Times New Roman" w:cs="Times New Roman"/>
        </w:rPr>
      </w:pPr>
      <w:r w:rsidRPr="00BC19B0">
        <w:rPr>
          <w:rFonts w:ascii="Times New Roman" w:hAnsi="Times New Roman" w:cs="Times New Roman"/>
        </w:rPr>
        <w:t>Muerte accidental o Invalidez Total y Permanente (ITP) por accidente a consecuencia del robo y/o secuestro con la finalidad de sustraerle o forzar el uso de sus tarjetas de crédito y/o débito (…).</w:t>
      </w:r>
    </w:p>
    <w:p w:rsidRPr="00BC19B0" w:rsidR="00BC19B0" w:rsidP="00BC19B0" w:rsidRDefault="00BC19B0" w14:paraId="4D4E096B" w14:textId="77777777">
      <w:pPr>
        <w:pStyle w:val="Prrafodelista"/>
        <w:numPr>
          <w:ilvl w:val="0"/>
          <w:numId w:val="3"/>
        </w:numPr>
        <w:autoSpaceDE/>
        <w:autoSpaceDN/>
        <w:adjustRightInd/>
        <w:ind w:right="0"/>
        <w:contextualSpacing/>
        <w:rPr>
          <w:rFonts w:ascii="Times New Roman" w:hAnsi="Times New Roman" w:cs="Times New Roman"/>
        </w:rPr>
      </w:pPr>
      <w:r w:rsidRPr="00BC19B0">
        <w:rPr>
          <w:rFonts w:ascii="Times New Roman" w:hAnsi="Times New Roman" w:cs="Times New Roman"/>
        </w:rPr>
        <w:t>Reembolso de Gastos de hospitalización a consecuencia del robo y/o secuestro con la finalidad de apropiarse o realizar un uso indebido de las tarjetas de crédito y/o débito del asegurado (…).</w:t>
      </w:r>
    </w:p>
    <w:p w:rsidRPr="00BC19B0" w:rsidR="00BC19B0" w:rsidP="00BC19B0" w:rsidRDefault="00BC19B0" w14:paraId="45CC3366" w14:textId="77777777">
      <w:pPr>
        <w:pStyle w:val="Prrafodelista"/>
        <w:numPr>
          <w:ilvl w:val="0"/>
          <w:numId w:val="3"/>
        </w:numPr>
        <w:autoSpaceDE/>
        <w:autoSpaceDN/>
        <w:adjustRightInd/>
        <w:ind w:right="0"/>
        <w:contextualSpacing/>
        <w:rPr>
          <w:rFonts w:ascii="Times New Roman" w:hAnsi="Times New Roman" w:cs="Times New Roman"/>
        </w:rPr>
      </w:pPr>
      <w:r w:rsidRPr="00BC19B0">
        <w:rPr>
          <w:rFonts w:ascii="Times New Roman" w:hAnsi="Times New Roman" w:cs="Times New Roman"/>
        </w:rPr>
        <w:t>Reembolso de Gastos para la obtención de duplicado de documentos personales (DNI, brevete, pasaporte, carne de extranjería), gastos de reposición de llaves y chapas como consecuencia del robo y/o asalto y/o secuestro con la finalidad de sustraerle sus tarjetas de crédito y/o débito. Aplica para siniestros ocurridos dentro del Perú.</w:t>
      </w:r>
    </w:p>
    <w:p w:rsidR="00BC19B0" w:rsidP="00BC19B0" w:rsidRDefault="00BC19B0" w14:paraId="3E239FB7" w14:textId="040C7BCC">
      <w:pPr>
        <w:pStyle w:val="Prrafodelista"/>
        <w:numPr>
          <w:ilvl w:val="0"/>
          <w:numId w:val="3"/>
        </w:numPr>
        <w:autoSpaceDE/>
        <w:autoSpaceDN/>
        <w:adjustRightInd/>
        <w:ind w:right="0"/>
        <w:contextualSpacing/>
        <w:rPr>
          <w:rFonts w:ascii="Times New Roman" w:hAnsi="Times New Roman" w:cs="Times New Roman"/>
          <w:b/>
          <w:bCs/>
        </w:rPr>
      </w:pPr>
      <w:r w:rsidRPr="00BC19B0">
        <w:rPr>
          <w:rFonts w:ascii="Times New Roman" w:hAnsi="Times New Roman" w:cs="Times New Roman"/>
          <w:b/>
          <w:bCs/>
        </w:rPr>
        <w:t>Cobertura Patrimonial por Transferencias: Cubre el dinero propiedad del asegurado que sea transferido desde su Cuenta Corriente y/o de Ahorros, mediante el uso indebido por parte de terceros de claves y/o contraseñas as cuales el asegurado NO ha autorizado a realizar transferencias dentro o fuera del Perú.</w:t>
      </w:r>
    </w:p>
    <w:p w:rsidRPr="00B2780B" w:rsidR="00B2780B" w:rsidP="00B2780B" w:rsidRDefault="00B2780B" w14:paraId="100E0C28" w14:textId="77777777">
      <w:pPr>
        <w:pStyle w:val="Prrafodelista"/>
        <w:autoSpaceDE/>
        <w:autoSpaceDN/>
        <w:adjustRightInd/>
        <w:ind w:left="720" w:right="0" w:firstLine="0"/>
        <w:contextualSpacing/>
        <w:rPr>
          <w:rFonts w:ascii="Times New Roman" w:hAnsi="Times New Roman" w:cs="Times New Roman"/>
          <w:b/>
          <w:bCs/>
        </w:rPr>
      </w:pPr>
    </w:p>
    <w:p w:rsidRPr="00BC19B0" w:rsidR="00BC19B0" w:rsidP="00BC19B0" w:rsidRDefault="00BC19B0" w14:paraId="2BBE31D9" w14:textId="469BEC8D">
      <w:pPr>
        <w:jc w:val="both"/>
        <w:rPr>
          <w:rFonts w:ascii="Times New Roman" w:hAnsi="Times New Roman"/>
          <w:sz w:val="24"/>
          <w:szCs w:val="24"/>
          <w:lang w:val="es-MX"/>
        </w:rPr>
      </w:pPr>
      <w:r w:rsidRPr="1F1A8026" w:rsidR="00BC19B0">
        <w:rPr>
          <w:rFonts w:ascii="Times New Roman" w:hAnsi="Times New Roman"/>
          <w:sz w:val="24"/>
          <w:szCs w:val="24"/>
        </w:rPr>
        <w:t xml:space="preserve">Es importante </w:t>
      </w:r>
      <w:r w:rsidRPr="1F1A8026" w:rsidR="00BC19B0">
        <w:rPr>
          <w:rFonts w:ascii="Times New Roman" w:hAnsi="Times New Roman"/>
          <w:sz w:val="24"/>
          <w:szCs w:val="24"/>
          <w:lang w:val="es-MX"/>
        </w:rPr>
        <w:t>precisar que las operaciones indebidas son tres: (i) dos retiros de dinero del cajero por la suma total de S/. 3,500.00 (Tres Mil Quinientos con 00/100 Soles) y (</w:t>
      </w:r>
      <w:r w:rsidRPr="1F1A8026" w:rsidR="00BC19B0">
        <w:rPr>
          <w:rFonts w:ascii="Times New Roman" w:hAnsi="Times New Roman"/>
          <w:sz w:val="24"/>
          <w:szCs w:val="24"/>
          <w:lang w:val="es-MX"/>
        </w:rPr>
        <w:t>ii</w:t>
      </w:r>
      <w:r w:rsidRPr="1F1A8026" w:rsidR="00BC19B0">
        <w:rPr>
          <w:rFonts w:ascii="Times New Roman" w:hAnsi="Times New Roman"/>
          <w:sz w:val="24"/>
          <w:szCs w:val="24"/>
          <w:lang w:val="es-MX"/>
        </w:rPr>
        <w:t>) una transferencia a terceros por la suma de S/ 3,500.00 (Tres Mil Quinientos con 00/100 Soles), conforme se advierte del estado de cuenta presentado:</w:t>
      </w:r>
    </w:p>
    <w:p w:rsidR="1F1A8026" w:rsidP="1F1A8026" w:rsidRDefault="1F1A8026" w14:paraId="26926650" w14:textId="4A0EC889">
      <w:pPr>
        <w:jc w:val="both"/>
        <w:rPr>
          <w:rFonts w:ascii="Times New Roman" w:hAnsi="Times New Roman"/>
          <w:sz w:val="24"/>
          <w:szCs w:val="24"/>
          <w:lang w:val="es-MX"/>
        </w:rPr>
      </w:pPr>
    </w:p>
    <w:p w:rsidRPr="00BC19B0" w:rsidR="00BC19B0" w:rsidP="00BC19B0" w:rsidRDefault="00B2780B" w14:paraId="3A8B25FA" w14:textId="26ADE6A9">
      <w:pPr>
        <w:jc w:val="both"/>
      </w:pPr>
      <w:r w:rsidR="7A1DC28C">
        <w:rPr/>
        <w:t>...................................................................................................................................</w:t>
      </w:r>
    </w:p>
    <w:p w:rsidR="1F1A8026" w:rsidP="1F1A8026" w:rsidRDefault="1F1A8026" w14:paraId="753A2D42" w14:textId="16EFCBEA">
      <w:pPr>
        <w:jc w:val="both"/>
      </w:pPr>
    </w:p>
    <w:p w:rsidR="00411C9C" w:rsidP="00BC19B0" w:rsidRDefault="00BC19B0" w14:paraId="30FBDDB8" w14:textId="1F4E59C1">
      <w:pPr>
        <w:jc w:val="both"/>
        <w:rPr>
          <w:rFonts w:ascii="Times New Roman" w:hAnsi="Times New Roman"/>
          <w:noProof/>
          <w:sz w:val="24"/>
          <w:szCs w:val="24"/>
        </w:rPr>
      </w:pPr>
      <w:r w:rsidRPr="1F1A8026" w:rsidR="00BC19B0">
        <w:rPr>
          <w:rFonts w:ascii="Times New Roman" w:hAnsi="Times New Roman"/>
          <w:noProof/>
          <w:sz w:val="24"/>
          <w:szCs w:val="24"/>
        </w:rPr>
        <w:t xml:space="preserve">La señora </w:t>
      </w:r>
      <w:r w:rsidRPr="1F1A8026" w:rsidR="4BA10A05">
        <w:rPr>
          <w:rFonts w:ascii="Times New Roman" w:hAnsi="Times New Roman"/>
          <w:noProof/>
          <w:sz w:val="24"/>
          <w:szCs w:val="24"/>
        </w:rPr>
        <w:t>.................</w:t>
      </w:r>
      <w:r w:rsidRPr="1F1A8026" w:rsidR="00BC19B0">
        <w:rPr>
          <w:rFonts w:ascii="Times New Roman" w:hAnsi="Times New Roman"/>
          <w:noProof/>
          <w:sz w:val="24"/>
          <w:szCs w:val="24"/>
        </w:rPr>
        <w:t>, tal y como narra en su reclamo, un sujeto le devolvió una tarjeta que no era lasuya, es decir, se la cambiaron por otra y como consecuencia de ello le realizaron tres operciones que reconoce.</w:t>
      </w:r>
    </w:p>
    <w:p w:rsidRPr="00411C9C" w:rsidR="00BC19B0" w:rsidP="00BC19B0" w:rsidRDefault="00BC19B0" w14:paraId="20D1D65A" w14:textId="3AF7015B">
      <w:pPr>
        <w:jc w:val="both"/>
        <w:rPr>
          <w:rFonts w:ascii="Times New Roman" w:hAnsi="Times New Roman"/>
          <w:noProof/>
          <w:sz w:val="24"/>
          <w:szCs w:val="24"/>
          <w:lang w:val="es-ES"/>
        </w:rPr>
      </w:pPr>
      <w:r w:rsidRPr="00BC19B0">
        <w:rPr>
          <w:rFonts w:ascii="Times New Roman" w:hAnsi="Times New Roman"/>
          <w:noProof/>
          <w:sz w:val="24"/>
          <w:szCs w:val="24"/>
        </w:rPr>
        <w:t xml:space="preserve">En primer lugar, respecto a los dos retiros de dinero del cajero por la suma total de </w:t>
      </w:r>
      <w:r w:rsidRPr="00BC19B0">
        <w:rPr>
          <w:rFonts w:ascii="Times New Roman" w:hAnsi="Times New Roman"/>
          <w:sz w:val="24"/>
          <w:szCs w:val="24"/>
          <w:lang w:val="es-MX"/>
        </w:rPr>
        <w:t>S/. 3,500.00 (Tres Mil Quinientos con 00/100 Soles)</w:t>
      </w:r>
      <w:r w:rsidRPr="00BC19B0">
        <w:rPr>
          <w:rFonts w:ascii="Times New Roman" w:hAnsi="Times New Roman"/>
          <w:noProof/>
          <w:sz w:val="24"/>
          <w:szCs w:val="24"/>
        </w:rPr>
        <w:t>, se debe tener presente lo siguiente:</w:t>
      </w:r>
    </w:p>
    <w:p w:rsidRPr="00BC19B0" w:rsidR="00BC19B0" w:rsidP="00BC19B0" w:rsidRDefault="00BC19B0" w14:paraId="2D19004E" w14:textId="77777777">
      <w:pPr>
        <w:pStyle w:val="Prrafodelista"/>
        <w:numPr>
          <w:ilvl w:val="0"/>
          <w:numId w:val="4"/>
        </w:numPr>
        <w:autoSpaceDE/>
        <w:autoSpaceDN/>
        <w:adjustRightInd/>
        <w:ind w:right="0"/>
        <w:contextualSpacing/>
        <w:rPr>
          <w:rFonts w:ascii="Times New Roman" w:hAnsi="Times New Roman" w:cs="Times New Roman"/>
        </w:rPr>
      </w:pPr>
      <w:r w:rsidRPr="00BC19B0">
        <w:rPr>
          <w:rFonts w:ascii="Times New Roman" w:hAnsi="Times New Roman" w:cs="Times New Roman"/>
          <w:lang w:val="es-MX"/>
        </w:rPr>
        <w:t xml:space="preserve"> De la descripción de la cobertura contratada “Uso Indebido”, </w:t>
      </w:r>
      <w:r w:rsidRPr="00BC19B0">
        <w:rPr>
          <w:rFonts w:ascii="Times New Roman" w:hAnsi="Times New Roman" w:cs="Times New Roman"/>
        </w:rPr>
        <w:t xml:space="preserve">la póliza sólo asegura ante el robo y/o hurto de la tarjeta asegurada haciendo uso de </w:t>
      </w:r>
      <w:proofErr w:type="gramStart"/>
      <w:r w:rsidRPr="00BC19B0">
        <w:rPr>
          <w:rFonts w:ascii="Times New Roman" w:hAnsi="Times New Roman" w:cs="Times New Roman"/>
        </w:rPr>
        <w:t>la misma</w:t>
      </w:r>
      <w:proofErr w:type="gramEnd"/>
      <w:r w:rsidRPr="00BC19B0">
        <w:rPr>
          <w:rFonts w:ascii="Times New Roman" w:hAnsi="Times New Roman" w:cs="Times New Roman"/>
        </w:rPr>
        <w:t xml:space="preserve"> en establecimientos comerciales. Por tanto, no forma parte de las coberturas de dicho seguro el “cambiazo” ni el uso indebido de la tarjeta en cajeros automáticos (supuesto 1).</w:t>
      </w:r>
    </w:p>
    <w:p w:rsidRPr="00BC19B0" w:rsidR="00BC19B0" w:rsidP="00BC19B0" w:rsidRDefault="00BC19B0" w14:paraId="332D805C" w14:textId="77777777">
      <w:pPr>
        <w:pStyle w:val="Prrafodelista"/>
        <w:ind w:left="1080"/>
        <w:rPr>
          <w:rFonts w:ascii="Times New Roman" w:hAnsi="Times New Roman" w:cs="Times New Roman"/>
        </w:rPr>
      </w:pPr>
    </w:p>
    <w:p w:rsidRPr="00BC19B0" w:rsidR="00BC19B0" w:rsidP="00BC19B0" w:rsidRDefault="002A3D68" w14:paraId="73A222F5" w14:textId="5922302C">
      <w:pPr>
        <w:pStyle w:val="Prrafodelista"/>
        <w:ind w:left="1080"/>
        <w:rPr>
          <w:rFonts w:ascii="Times New Roman" w:hAnsi="Times New Roman" w:cs="Times New Roman"/>
        </w:rPr>
      </w:pPr>
      <w:r>
        <w:rPr>
          <w:rFonts w:ascii="Times New Roman" w:hAnsi="Times New Roman" w:cs="Times New Roman"/>
        </w:rPr>
        <w:t xml:space="preserve">      </w:t>
      </w:r>
      <w:r w:rsidRPr="00BC19B0" w:rsidR="00BC19B0">
        <w:rPr>
          <w:rFonts w:ascii="Times New Roman" w:hAnsi="Times New Roman" w:cs="Times New Roman"/>
        </w:rPr>
        <w:t>Al respecto, el denominado “cambiazo” es cuando al titular de la tarjeta le cambian la misma, sin que lo advierta; ese hecho puede ser voluntario o involuntario.  En el caso concreto, el “cambiazo” proviene de un acto involuntario de entrega de la tarjeta, en tanto el delincuente cambió su tarjeta sin que la asegurada se percatara en ese momento del hecho, recibiendo una tarjeta que ya no era la suya.</w:t>
      </w:r>
    </w:p>
    <w:p w:rsidRPr="00BC19B0" w:rsidR="00BC19B0" w:rsidP="00BC19B0" w:rsidRDefault="00BC19B0" w14:paraId="2E241388" w14:textId="77777777">
      <w:pPr>
        <w:pStyle w:val="Prrafodelista"/>
        <w:ind w:left="1080"/>
        <w:rPr>
          <w:rFonts w:ascii="Times New Roman" w:hAnsi="Times New Roman" w:cs="Times New Roman"/>
        </w:rPr>
      </w:pPr>
    </w:p>
    <w:p w:rsidRPr="00BC19B0" w:rsidR="00BC19B0" w:rsidP="00BC19B0" w:rsidRDefault="003464EA" w14:paraId="390E0C11" w14:textId="52274FAF">
      <w:pPr>
        <w:pStyle w:val="Prrafodelista"/>
        <w:ind w:left="1080"/>
        <w:rPr>
          <w:rFonts w:ascii="Times New Roman" w:hAnsi="Times New Roman" w:cs="Times New Roman"/>
          <w:lang w:val="es-ES"/>
        </w:rPr>
      </w:pPr>
      <w:r>
        <w:rPr>
          <w:rFonts w:ascii="Times New Roman" w:hAnsi="Times New Roman" w:cs="Times New Roman"/>
        </w:rPr>
        <w:t xml:space="preserve">      </w:t>
      </w:r>
      <w:r w:rsidRPr="00BC19B0" w:rsidR="00BC19B0">
        <w:rPr>
          <w:rFonts w:ascii="Times New Roman" w:hAnsi="Times New Roman" w:cs="Times New Roman"/>
        </w:rPr>
        <w:t>No se está ante un robo porque el robo corresponde a una apropiación con violencia, y tampoco se está ante un hurto porque la asegurada permitió que el estafador cogiera su tarjeta bajo la excusa de una falsa ayuda.</w:t>
      </w:r>
    </w:p>
    <w:p w:rsidRPr="00BC19B0" w:rsidR="00BC19B0" w:rsidP="00BC19B0" w:rsidRDefault="00BC19B0" w14:paraId="6AF1C2D6" w14:textId="77777777">
      <w:pPr>
        <w:pStyle w:val="Prrafodelista"/>
        <w:ind w:left="1080"/>
        <w:rPr>
          <w:rFonts w:ascii="Times New Roman" w:hAnsi="Times New Roman" w:cs="Times New Roman"/>
        </w:rPr>
      </w:pPr>
    </w:p>
    <w:p w:rsidRPr="00BC19B0" w:rsidR="00BC19B0" w:rsidP="00BC19B0" w:rsidRDefault="00BC19B0" w14:paraId="57CC83B4" w14:textId="77777777">
      <w:pPr>
        <w:pStyle w:val="Prrafodelista"/>
        <w:numPr>
          <w:ilvl w:val="0"/>
          <w:numId w:val="4"/>
        </w:numPr>
        <w:autoSpaceDE/>
        <w:autoSpaceDN/>
        <w:adjustRightInd/>
        <w:ind w:right="0"/>
        <w:contextualSpacing/>
        <w:rPr>
          <w:rFonts w:ascii="Times New Roman" w:hAnsi="Times New Roman" w:cs="Times New Roman"/>
          <w:lang w:val="es-ES"/>
        </w:rPr>
      </w:pPr>
      <w:r w:rsidRPr="00BC19B0">
        <w:rPr>
          <w:rFonts w:ascii="Times New Roman" w:hAnsi="Times New Roman" w:cs="Times New Roman"/>
          <w:noProof/>
        </w:rPr>
        <w:t>Tampoco se produjo un uso forzado de la tarjeta, en la medida que el asegurada no fue secuestrado y obligada a retirar directamente dinero del cajero automático (supuesto 2) , ni se sustrajo dinero tras retirarlo del cajero (supuesto 3); así como tampoco estamos ante compras fraudulentas vía internet (supuesto 4), en tanto las operaciones no reconocidas son retiros de dinero.</w:t>
      </w:r>
    </w:p>
    <w:p w:rsidRPr="00BC19B0" w:rsidR="00BC19B0" w:rsidP="00BC19B0" w:rsidRDefault="00BC19B0" w14:paraId="5BE562E3" w14:textId="77777777">
      <w:pPr>
        <w:pStyle w:val="Prrafodelista"/>
        <w:rPr>
          <w:rFonts w:ascii="Times New Roman" w:hAnsi="Times New Roman" w:cs="Times New Roman"/>
        </w:rPr>
      </w:pPr>
    </w:p>
    <w:p w:rsidRPr="00BC19B0" w:rsidR="00BC19B0" w:rsidP="00BC19B0" w:rsidRDefault="00BC19B0" w14:paraId="0A0F77C8" w14:textId="77777777">
      <w:pPr>
        <w:pStyle w:val="Prrafodelista"/>
        <w:numPr>
          <w:ilvl w:val="0"/>
          <w:numId w:val="4"/>
        </w:numPr>
        <w:autoSpaceDE/>
        <w:autoSpaceDN/>
        <w:adjustRightInd/>
        <w:ind w:right="0"/>
        <w:contextualSpacing/>
        <w:rPr>
          <w:rFonts w:ascii="Times New Roman" w:hAnsi="Times New Roman" w:cs="Times New Roman"/>
        </w:rPr>
      </w:pPr>
      <w:r w:rsidRPr="00BC19B0">
        <w:rPr>
          <w:rFonts w:ascii="Times New Roman" w:hAnsi="Times New Roman" w:cs="Times New Roman"/>
        </w:rPr>
        <w:t xml:space="preserve">Asimismo, </w:t>
      </w:r>
      <w:proofErr w:type="gramStart"/>
      <w:r w:rsidRPr="00BC19B0">
        <w:rPr>
          <w:rFonts w:ascii="Times New Roman" w:hAnsi="Times New Roman" w:cs="Times New Roman"/>
        </w:rPr>
        <w:t>en relación a</w:t>
      </w:r>
      <w:proofErr w:type="gramEnd"/>
      <w:r w:rsidRPr="00BC19B0">
        <w:rPr>
          <w:rFonts w:ascii="Times New Roman" w:hAnsi="Times New Roman" w:cs="Times New Roman"/>
        </w:rPr>
        <w:t xml:space="preserve"> la cobertura de Beneficio Gratuito, se debe tener presente que, conforme a lo declarado por la asegurado, sufrió el “cambiazo” de su tarjeta, </w:t>
      </w:r>
      <w:r w:rsidRPr="00BC19B0">
        <w:rPr>
          <w:rFonts w:ascii="Times New Roman" w:hAnsi="Times New Roman" w:cs="Times New Roman"/>
        </w:rPr>
        <w:lastRenderedPageBreak/>
        <w:t>es decir, le cambiaron el plástico por otro. Por lo tanto, no podemos hablar de una clonación y/o adulteración de la tarjeta (supuesto 5).</w:t>
      </w:r>
    </w:p>
    <w:p w:rsidRPr="00BC19B0" w:rsidR="00BC19B0" w:rsidP="00BC19B0" w:rsidRDefault="00BC19B0" w14:paraId="0E72FAEB" w14:textId="77777777">
      <w:pPr>
        <w:pStyle w:val="Prrafodelista"/>
        <w:rPr>
          <w:rFonts w:ascii="Times New Roman" w:hAnsi="Times New Roman" w:cs="Times New Roman"/>
        </w:rPr>
      </w:pPr>
    </w:p>
    <w:p w:rsidR="00BC19B0" w:rsidP="00BC19B0" w:rsidRDefault="00BC19B0" w14:paraId="57AB53B4" w14:textId="2C832403">
      <w:pPr>
        <w:pStyle w:val="Prrafodelista"/>
        <w:numPr>
          <w:ilvl w:val="0"/>
          <w:numId w:val="4"/>
        </w:numPr>
        <w:autoSpaceDE/>
        <w:autoSpaceDN/>
        <w:adjustRightInd/>
        <w:ind w:right="0"/>
        <w:contextualSpacing/>
        <w:rPr>
          <w:rFonts w:ascii="Times New Roman" w:hAnsi="Times New Roman" w:cs="Times New Roman"/>
        </w:rPr>
      </w:pPr>
      <w:r w:rsidRPr="00BC19B0">
        <w:rPr>
          <w:rFonts w:ascii="Times New Roman" w:hAnsi="Times New Roman" w:cs="Times New Roman"/>
        </w:rPr>
        <w:t>Finalmente, dichos consumos no encajarían en</w:t>
      </w:r>
      <w:r w:rsidRPr="00BC19B0">
        <w:rPr>
          <w:rFonts w:ascii="Times New Roman" w:hAnsi="Times New Roman" w:cs="Times New Roman"/>
          <w:noProof/>
        </w:rPr>
        <w:t xml:space="preserve"> los supuestos 6, 7, 8 y 9 que contempla la póliza. </w:t>
      </w:r>
    </w:p>
    <w:p w:rsidRPr="00411C9C" w:rsidR="00411C9C" w:rsidP="00411C9C" w:rsidRDefault="00411C9C" w14:paraId="041B52B6" w14:textId="77777777">
      <w:pPr>
        <w:contextualSpacing/>
        <w:rPr>
          <w:rFonts w:ascii="Times New Roman" w:hAnsi="Times New Roman"/>
        </w:rPr>
      </w:pPr>
    </w:p>
    <w:p w:rsidRPr="00BC19B0" w:rsidR="00BC19B0" w:rsidP="00BC19B0" w:rsidRDefault="00BC19B0" w14:paraId="2242A8BE" w14:textId="098591D7">
      <w:pPr>
        <w:jc w:val="both"/>
        <w:rPr>
          <w:rFonts w:ascii="Times New Roman" w:hAnsi="Times New Roman"/>
          <w:noProof/>
          <w:sz w:val="24"/>
          <w:szCs w:val="24"/>
        </w:rPr>
      </w:pPr>
      <w:r w:rsidRPr="00BC19B0">
        <w:rPr>
          <w:rFonts w:ascii="Times New Roman" w:hAnsi="Times New Roman"/>
          <w:noProof/>
          <w:sz w:val="24"/>
          <w:szCs w:val="24"/>
        </w:rPr>
        <w:t>En segundo lugar, respecto a la transferencia por el importe de S/. 3,500.00 (Tres Mil Quinientos con 00/100 Soles), se debe analizar la Cobertura Patrimonial por Transferencias (supuesto 9), en la cual se señala lo siguiente:</w:t>
      </w:r>
    </w:p>
    <w:p w:rsidRPr="00BC19B0" w:rsidR="00BC19B0" w:rsidP="00BC19B0" w:rsidRDefault="00BC19B0" w14:paraId="725050AB" w14:textId="77777777">
      <w:pPr>
        <w:ind w:left="720"/>
        <w:jc w:val="both"/>
        <w:rPr>
          <w:rFonts w:ascii="Times New Roman" w:hAnsi="Times New Roman"/>
          <w:i/>
          <w:iCs/>
          <w:sz w:val="24"/>
          <w:szCs w:val="24"/>
        </w:rPr>
      </w:pPr>
      <w:r w:rsidRPr="00BC19B0">
        <w:rPr>
          <w:rFonts w:ascii="Times New Roman" w:hAnsi="Times New Roman"/>
          <w:b/>
          <w:bCs/>
          <w:i/>
          <w:iCs/>
          <w:sz w:val="24"/>
          <w:szCs w:val="24"/>
        </w:rPr>
        <w:t>“Cobertura Patrimonial por Transferencias</w:t>
      </w:r>
      <w:r w:rsidRPr="00BC19B0">
        <w:rPr>
          <w:rFonts w:ascii="Times New Roman" w:hAnsi="Times New Roman"/>
          <w:i/>
          <w:iCs/>
          <w:sz w:val="24"/>
          <w:szCs w:val="24"/>
        </w:rPr>
        <w:t>:</w:t>
      </w:r>
    </w:p>
    <w:p w:rsidRPr="00BC19B0" w:rsidR="00BC19B0" w:rsidP="00411C9C" w:rsidRDefault="00BC19B0" w14:paraId="707BCC69" w14:textId="2C0ED08B">
      <w:pPr>
        <w:ind w:left="720"/>
        <w:jc w:val="both"/>
        <w:rPr>
          <w:rFonts w:ascii="Times New Roman" w:hAnsi="Times New Roman"/>
          <w:i/>
          <w:iCs/>
          <w:sz w:val="24"/>
          <w:szCs w:val="24"/>
        </w:rPr>
      </w:pPr>
      <w:r w:rsidRPr="00BC19B0">
        <w:rPr>
          <w:rFonts w:ascii="Times New Roman" w:hAnsi="Times New Roman"/>
          <w:i/>
          <w:iCs/>
          <w:sz w:val="24"/>
          <w:szCs w:val="24"/>
        </w:rPr>
        <w:t xml:space="preserve">Cubre el dinero propiedad del asegurado que sea transferido desde su Cuenta Corriente y/o de Ahorros, mediante el uso indebido por parte de terceros de claves y/o contraseñas las cuales el asegurado NO ha autorizado a realizar transferencias dentro o fuera del Perú. </w:t>
      </w:r>
    </w:p>
    <w:p w:rsidRPr="00BC19B0" w:rsidR="00BC19B0" w:rsidP="00BC19B0" w:rsidRDefault="00BC19B0" w14:paraId="585DCE15" w14:textId="77777777">
      <w:pPr>
        <w:ind w:left="720"/>
        <w:jc w:val="both"/>
        <w:rPr>
          <w:rFonts w:ascii="Times New Roman" w:hAnsi="Times New Roman"/>
          <w:i/>
          <w:iCs/>
          <w:sz w:val="24"/>
          <w:szCs w:val="24"/>
        </w:rPr>
      </w:pPr>
      <w:r w:rsidRPr="00BC19B0">
        <w:rPr>
          <w:rFonts w:ascii="Times New Roman" w:hAnsi="Times New Roman"/>
          <w:i/>
          <w:iCs/>
          <w:sz w:val="24"/>
          <w:szCs w:val="24"/>
        </w:rPr>
        <w:t>US$450 al año, máx. 2 eventos (…)”.</w:t>
      </w:r>
    </w:p>
    <w:p w:rsidRPr="00BC19B0" w:rsidR="00BC19B0" w:rsidP="1F1A8026" w:rsidRDefault="00BC19B0" w14:paraId="23FB347A" w14:textId="26EFCA24">
      <w:pPr>
        <w:tabs>
          <w:tab w:val="left" w:leader="none" w:pos="2160"/>
        </w:tabs>
        <w:jc w:val="both"/>
        <w:rPr>
          <w:rStyle w:val="Textoennegrita"/>
          <w:rFonts w:ascii="Times New Roman" w:hAnsi="Times New Roman"/>
          <w:b w:val="0"/>
          <w:bCs w:val="0"/>
          <w:sz w:val="24"/>
          <w:szCs w:val="24"/>
          <w:lang w:val="es-ES"/>
        </w:rPr>
      </w:pPr>
      <w:r w:rsidRPr="00BC19B0" w:rsidR="00BC19B0">
        <w:rPr>
          <w:rStyle w:val="Textoennegrita"/>
          <w:rFonts w:ascii="Times New Roman" w:hAnsi="Times New Roman"/>
          <w:b w:val="0"/>
          <w:bCs w:val="0"/>
          <w:sz w:val="24"/>
          <w:szCs w:val="24"/>
        </w:rPr>
        <w:t xml:space="preserve">Así, ante la ocurrencia de un siniestro por transferencia, </w:t>
      </w:r>
      <w:r w:rsidRPr="00BC19B0" w:rsidR="6AF44CDB">
        <w:rPr>
          <w:rStyle w:val="Textoennegrita"/>
          <w:rFonts w:ascii="Times New Roman" w:hAnsi="Times New Roman"/>
          <w:b w:val="0"/>
          <w:bCs w:val="0"/>
          <w:sz w:val="24"/>
          <w:szCs w:val="24"/>
        </w:rPr>
        <w:t xml:space="preserve">................................</w:t>
      </w:r>
      <w:r w:rsidRPr="00BC19B0" w:rsidR="00BC19B0">
        <w:rPr>
          <w:rStyle w:val="Textoennegrita"/>
          <w:rFonts w:ascii="Times New Roman" w:hAnsi="Times New Roman"/>
          <w:b w:val="0"/>
          <w:bCs w:val="0"/>
          <w:sz w:val="24"/>
          <w:szCs w:val="24"/>
        </w:rPr>
        <w:t xml:space="preserve"> sólo está obligada a indemnizar hasta la suma de US$ 450.00 por evento, siendo sólo indemnizables dos eventos por año.</w:t>
      </w:r>
      <w:r w:rsidRPr="00BC19B0" w:rsidR="00BC19B0">
        <w:rPr>
          <w:rStyle w:val="Textoennegrita"/>
          <w:rFonts w:ascii="Times New Roman" w:hAnsi="Times New Roman"/>
          <w:b w:val="0"/>
          <w:bCs w:val="0"/>
          <w:sz w:val="24"/>
          <w:szCs w:val="24"/>
        </w:rPr>
        <w:t xml:space="preserve"> En consecuencia, cualquier diferencia no está cubierta, porque el riesgo aceptado por la aseguradora sólo se extiende hasta el señalado importe máximo por evento. Así, respecto al consumo por transferencia, la Compañía informó que otorga la cobertura de acuerdo con los términos y condiciones del contrato por la suma de </w:t>
      </w:r>
      <w:r w:rsidRPr="00BC19B0" w:rsidR="00BC19B0">
        <w:rPr>
          <w:rFonts w:ascii="Times New Roman" w:hAnsi="Times New Roman"/>
          <w:color w:val="000000"/>
          <w:sz w:val="24"/>
          <w:szCs w:val="24"/>
          <w:bdr w:val="none" w:color="auto" w:sz="0" w:space="0" w:frame="1"/>
        </w:rPr>
        <w:t>S/. 1728.99</w:t>
      </w:r>
      <w:r w:rsidRPr="00BC19B0" w:rsidR="00BC19B0">
        <w:rPr>
          <w:rFonts w:ascii="Times New Roman" w:hAnsi="Times New Roman"/>
          <w:b w:val="1"/>
          <w:bCs w:val="1"/>
          <w:color w:val="000000"/>
          <w:sz w:val="24"/>
          <w:szCs w:val="24"/>
          <w:bdr w:val="none" w:color="auto" w:sz="0" w:space="0" w:frame="1"/>
        </w:rPr>
        <w:t xml:space="preserve"> </w:t>
      </w:r>
      <w:r w:rsidRPr="00BC19B0" w:rsidR="00BC19B0">
        <w:rPr>
          <w:rStyle w:val="Textoennegrita"/>
          <w:rFonts w:ascii="Times New Roman" w:hAnsi="Times New Roman"/>
          <w:b w:val="0"/>
          <w:bCs w:val="0"/>
          <w:sz w:val="24"/>
          <w:szCs w:val="24"/>
        </w:rPr>
        <w:t>(Mil Setecientos Veintiocho con 99/100 Soles).</w:t>
      </w:r>
    </w:p>
    <w:p w:rsidRPr="00BC19B0" w:rsidR="00BC19B0" w:rsidP="00BC19B0" w:rsidRDefault="00BC19B0" w14:paraId="11231D37" w14:textId="77777777">
      <w:pPr>
        <w:jc w:val="both"/>
        <w:rPr>
          <w:rFonts w:ascii="Times New Roman" w:hAnsi="Times New Roman"/>
          <w:sz w:val="24"/>
          <w:szCs w:val="24"/>
        </w:rPr>
      </w:pPr>
      <w:r w:rsidRPr="00BC19B0">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w:t>
      </w:r>
      <w:proofErr w:type="gramStart"/>
      <w:r w:rsidRPr="00BC19B0">
        <w:rPr>
          <w:rFonts w:ascii="Times New Roman" w:hAnsi="Times New Roman"/>
          <w:sz w:val="24"/>
          <w:szCs w:val="24"/>
        </w:rPr>
        <w:t>en razón del</w:t>
      </w:r>
      <w:proofErr w:type="gramEnd"/>
      <w:r w:rsidRPr="00BC19B0">
        <w:rPr>
          <w:rFonts w:ascii="Times New Roman" w:hAnsi="Times New Roman"/>
          <w:sz w:val="24"/>
          <w:szCs w:val="24"/>
        </w:rPr>
        <w:t xml:space="preserve"> cual se estructuró el equilibrio contractual. </w:t>
      </w:r>
    </w:p>
    <w:p w:rsidRPr="00BC19B0" w:rsidR="00BC19B0" w:rsidP="00BC19B0" w:rsidRDefault="00BC19B0" w14:paraId="11B42998" w14:textId="77777777">
      <w:pPr>
        <w:jc w:val="both"/>
        <w:rPr>
          <w:rFonts w:ascii="Times New Roman" w:hAnsi="Times New Roman"/>
          <w:sz w:val="24"/>
          <w:szCs w:val="24"/>
        </w:rPr>
      </w:pPr>
      <w:r w:rsidRPr="00BC19B0">
        <w:rPr>
          <w:rFonts w:ascii="Times New Roman" w:hAnsi="Times New Roman"/>
          <w:sz w:val="24"/>
          <w:szCs w:val="24"/>
        </w:rPr>
        <w:t xml:space="preserve">Al respecto, es aplicable lo sancionado en la sétima regla interpretativa contenida en el artículo IV de la Ley Nro. 29946 – Ley del Contrato de Seguro: </w:t>
      </w:r>
      <w:r w:rsidRPr="00BC19B0">
        <w:rPr>
          <w:rFonts w:ascii="Times New Roman" w:hAnsi="Times New Roman"/>
          <w:b/>
          <w:bCs/>
          <w:i/>
          <w:iCs/>
          <w:sz w:val="24"/>
          <w:szCs w:val="24"/>
        </w:rPr>
        <w:t>“La cobertura,</w:t>
      </w:r>
      <w:r w:rsidRPr="00BC19B0">
        <w:rPr>
          <w:rFonts w:ascii="Times New Roman" w:hAnsi="Times New Roman"/>
          <w:i/>
          <w:iCs/>
          <w:sz w:val="24"/>
          <w:szCs w:val="24"/>
        </w:rPr>
        <w:t xml:space="preserve"> exclusiones </w:t>
      </w:r>
      <w:r w:rsidRPr="00BC19B0">
        <w:rPr>
          <w:rFonts w:ascii="Times New Roman" w:hAnsi="Times New Roman"/>
          <w:b/>
          <w:bCs/>
          <w:i/>
          <w:iCs/>
          <w:sz w:val="24"/>
          <w:szCs w:val="24"/>
        </w:rPr>
        <w:t xml:space="preserve">y, en general, la extensión del riesgo, </w:t>
      </w:r>
      <w:r w:rsidRPr="00BC19B0">
        <w:rPr>
          <w:rFonts w:ascii="Times New Roman" w:hAnsi="Times New Roman"/>
          <w:i/>
          <w:iCs/>
          <w:sz w:val="24"/>
          <w:szCs w:val="24"/>
        </w:rPr>
        <w:t xml:space="preserve">así como los derechos de los beneficiarios, previstos en el contrato de seguro, </w:t>
      </w:r>
      <w:r w:rsidRPr="00BC19B0">
        <w:rPr>
          <w:rFonts w:ascii="Times New Roman" w:hAnsi="Times New Roman"/>
          <w:b/>
          <w:bCs/>
          <w:i/>
          <w:iCs/>
          <w:sz w:val="24"/>
          <w:szCs w:val="24"/>
        </w:rPr>
        <w:t xml:space="preserve">deben interpretarse literalmente” </w:t>
      </w:r>
      <w:r w:rsidRPr="00BC19B0">
        <w:rPr>
          <w:rFonts w:ascii="Times New Roman" w:hAnsi="Times New Roman"/>
          <w:sz w:val="24"/>
          <w:szCs w:val="24"/>
        </w:rPr>
        <w:t>(lo destacado es nuestro); y, en este sentido, carece de sustento pretender que la aseguradora deba otorgar cobertura a riesgos y sumas que no han sido aceptados.</w:t>
      </w:r>
    </w:p>
    <w:p w:rsidRPr="00BC19B0" w:rsidR="00BC19B0" w:rsidP="00BC19B0" w:rsidRDefault="00BC19B0" w14:paraId="39F44BF1" w14:textId="77777777">
      <w:pPr>
        <w:jc w:val="both"/>
        <w:rPr>
          <w:rStyle w:val="Textoennegrita"/>
          <w:rFonts w:ascii="Times New Roman" w:hAnsi="Times New Roman"/>
          <w:b w:val="0"/>
          <w:bCs w:val="0"/>
          <w:noProof/>
          <w:sz w:val="24"/>
          <w:szCs w:val="24"/>
        </w:rPr>
      </w:pPr>
      <w:r w:rsidRPr="00BC19B0">
        <w:rPr>
          <w:rFonts w:ascii="Times New Roman" w:hAnsi="Times New Roman"/>
          <w:noProof/>
          <w:sz w:val="24"/>
          <w:szCs w:val="24"/>
        </w:rPr>
        <w:t xml:space="preserve">Que, no </w:t>
      </w:r>
      <w:r w:rsidRPr="00BC19B0">
        <w:rPr>
          <w:rStyle w:val="Textoennegrita"/>
          <w:rFonts w:ascii="Times New Roman" w:hAnsi="Times New Roman"/>
          <w:b w:val="0"/>
          <w:bCs w:val="0"/>
          <w:sz w:val="24"/>
          <w:szCs w:val="24"/>
        </w:rPr>
        <w:t xml:space="preserve">se desconoce que se hayan realizado operaciones no autorizadas (dos retiros de dinero previo cambiazo de la tarjeta de débito), lo que sucede es que dicho supuesto no se encuentra como un riesgo </w:t>
      </w:r>
      <w:proofErr w:type="spellStart"/>
      <w:r w:rsidRPr="00BC19B0">
        <w:rPr>
          <w:rStyle w:val="Textoennegrita"/>
          <w:rFonts w:ascii="Times New Roman" w:hAnsi="Times New Roman"/>
          <w:b w:val="0"/>
          <w:bCs w:val="0"/>
          <w:sz w:val="24"/>
          <w:szCs w:val="24"/>
        </w:rPr>
        <w:t>coberturado</w:t>
      </w:r>
      <w:proofErr w:type="spellEnd"/>
      <w:r w:rsidRPr="00BC19B0">
        <w:rPr>
          <w:rStyle w:val="Textoennegrita"/>
          <w:rFonts w:ascii="Times New Roman" w:hAnsi="Times New Roman"/>
          <w:b w:val="0"/>
          <w:bCs w:val="0"/>
          <w:sz w:val="24"/>
          <w:szCs w:val="24"/>
        </w:rPr>
        <w:t xml:space="preserve"> en la póliza contrada. Asimismo, deviene en infundada cualquier reclamación por la diferencia respecto a la Cobertura Patrimonial por Transferencia.</w:t>
      </w:r>
    </w:p>
    <w:p w:rsidRPr="00BC19B0" w:rsidR="00BC19B0" w:rsidP="00BC19B0" w:rsidRDefault="00BC19B0" w14:paraId="10927974" w14:textId="77777777">
      <w:pPr>
        <w:tabs>
          <w:tab w:val="left" w:pos="2386"/>
        </w:tabs>
        <w:jc w:val="both"/>
        <w:outlineLvl w:val="0"/>
        <w:rPr>
          <w:rFonts w:ascii="Times New Roman" w:hAnsi="Times New Roman"/>
          <w:b/>
          <w:sz w:val="24"/>
          <w:szCs w:val="24"/>
        </w:rPr>
      </w:pPr>
      <w:r w:rsidRPr="00BC19B0">
        <w:rPr>
          <w:rFonts w:ascii="Times New Roman" w:hAnsi="Times New Roman"/>
          <w:b/>
          <w:sz w:val="24"/>
          <w:szCs w:val="24"/>
        </w:rPr>
        <w:t xml:space="preserve">ATENDIENDO A LO EXPRESADO, ESTE ÓRGANO RESOLUTIVO UNIPERSONAL CONCLUYE SU APRECIACIÓN RAZONADA Y CONJUNTA AL </w:t>
      </w:r>
      <w:r w:rsidRPr="00BC19B0">
        <w:rPr>
          <w:rFonts w:ascii="Times New Roman" w:hAnsi="Times New Roman"/>
          <w:b/>
          <w:sz w:val="24"/>
          <w:szCs w:val="24"/>
        </w:rPr>
        <w:lastRenderedPageBreak/>
        <w:t>AMPARO DE LO ESTABLECIDO EN EL REGLAMENTO DE LA DEFASEG, POR LO QUE:</w:t>
      </w:r>
    </w:p>
    <w:p w:rsidRPr="004B4F66" w:rsidR="00BC19B0" w:rsidP="00BC19B0" w:rsidRDefault="00BC19B0" w14:paraId="38CA47BF" w14:textId="5D86F37B">
      <w:pPr>
        <w:jc w:val="both"/>
        <w:rPr>
          <w:rFonts w:ascii="Times New Roman" w:hAnsi="Times New Roman"/>
          <w:b/>
          <w:sz w:val="24"/>
          <w:szCs w:val="24"/>
        </w:rPr>
      </w:pPr>
      <w:r w:rsidRPr="00BC19B0">
        <w:rPr>
          <w:rFonts w:ascii="Times New Roman" w:hAnsi="Times New Roman"/>
          <w:b/>
          <w:sz w:val="24"/>
          <w:szCs w:val="24"/>
        </w:rPr>
        <w:t>RESUELVE:</w:t>
      </w:r>
    </w:p>
    <w:p w:rsidRPr="00BC19B0" w:rsidR="00BC19B0" w:rsidP="1F1A8026" w:rsidRDefault="00BC19B0" w14:paraId="432F31B8" w14:textId="51196F77">
      <w:pPr>
        <w:pStyle w:val="paragraph"/>
        <w:spacing w:before="0" w:beforeAutospacing="off" w:after="0" w:afterAutospacing="off"/>
        <w:jc w:val="both"/>
        <w:textAlignment w:val="baseline"/>
      </w:pPr>
      <w:r w:rsidR="00BC19B0">
        <w:rPr/>
        <w:t>Declarar</w:t>
      </w:r>
      <w:r w:rsidRPr="1F1A8026" w:rsidR="00BC19B0">
        <w:rPr>
          <w:b w:val="1"/>
          <w:bCs w:val="1"/>
        </w:rPr>
        <w:t xml:space="preserve"> INFUNDADA </w:t>
      </w:r>
      <w:r w:rsidR="00BC19B0">
        <w:rPr/>
        <w:t>la reclamación</w:t>
      </w:r>
      <w:r w:rsidRPr="1F1A8026" w:rsidR="00BC19B0">
        <w:rPr>
          <w:b w:val="1"/>
          <w:bCs w:val="1"/>
        </w:rPr>
        <w:t xml:space="preserve"> </w:t>
      </w:r>
      <w:r w:rsidR="00BC19B0">
        <w:rPr/>
        <w:t>interpuesta por</w:t>
      </w:r>
      <w:r w:rsidRPr="1F1A8026" w:rsidR="00BC19B0">
        <w:rPr>
          <w:b w:val="1"/>
          <w:bCs w:val="1"/>
        </w:rPr>
        <w:t xml:space="preserve"> </w:t>
      </w:r>
      <w:r w:rsidRPr="1F1A8026" w:rsidR="7E1A01DD">
        <w:rPr>
          <w:b w:val="1"/>
          <w:bCs w:val="1"/>
        </w:rPr>
        <w:t>........................................................</w:t>
      </w:r>
      <w:r w:rsidR="00BC19B0">
        <w:rPr/>
        <w:t xml:space="preserve">   </w:t>
      </w:r>
      <w:r w:rsidR="00BC19B0">
        <w:rPr/>
        <w:t xml:space="preserve">contra </w:t>
      </w:r>
      <w:r w:rsidRPr="1F1A8026" w:rsidR="6AF44CDB">
        <w:rPr>
          <w:b w:val="1"/>
          <w:bCs w:val="1"/>
        </w:rPr>
        <w:t>................................</w:t>
      </w:r>
      <w:r w:rsidRPr="1F1A8026" w:rsidR="00BC19B0">
        <w:rPr>
          <w:b w:val="1"/>
          <w:bCs w:val="1"/>
        </w:rPr>
        <w:t xml:space="preserve"> </w:t>
      </w:r>
      <w:r w:rsidR="00BC19B0">
        <w:rPr/>
        <w:t>correspondiente al</w:t>
      </w:r>
      <w:r w:rsidRPr="1F1A8026" w:rsidR="00BC19B0">
        <w:rPr>
          <w:b w:val="1"/>
          <w:bCs w:val="1"/>
        </w:rPr>
        <w:t xml:space="preserve"> SEGURO DE PROTECCIÓN DE TARJETA CON PÓLIZA </w:t>
      </w:r>
      <w:r w:rsidRPr="1F1A8026" w:rsidR="00BC19B0">
        <w:rPr>
          <w:b w:val="1"/>
          <w:bCs w:val="1"/>
        </w:rPr>
        <w:t>N°</w:t>
      </w:r>
      <w:r w:rsidRPr="1F1A8026" w:rsidR="00BC19B0">
        <w:rPr>
          <w:b w:val="1"/>
          <w:bCs w:val="1"/>
        </w:rPr>
        <w:t xml:space="preserve"> </w:t>
      </w:r>
      <w:r w:rsidRPr="1F1A8026" w:rsidR="77E2BC6F">
        <w:rPr>
          <w:b w:val="1"/>
          <w:bCs w:val="1"/>
        </w:rPr>
        <w:t>..........................</w:t>
      </w:r>
      <w:r w:rsidRPr="1F1A8026" w:rsidR="00BC19B0">
        <w:rPr>
          <w:b w:val="1"/>
          <w:bCs w:val="1"/>
        </w:rPr>
        <w:t>.</w:t>
      </w:r>
    </w:p>
    <w:p w:rsidRPr="00BC19B0" w:rsidR="00FE0AE9" w:rsidP="00A96C6E" w:rsidRDefault="00D00142" w14:paraId="22FB6411" w14:textId="4EE68A79">
      <w:pPr>
        <w:jc w:val="right"/>
        <w:rPr>
          <w:rFonts w:ascii="Times New Roman" w:hAnsi="Times New Roman"/>
          <w:sz w:val="24"/>
          <w:szCs w:val="24"/>
        </w:rPr>
      </w:pPr>
      <w:r w:rsidRPr="00BC19B0">
        <w:rPr>
          <w:rFonts w:ascii="Times New Roman" w:hAnsi="Times New Roman"/>
          <w:sz w:val="24"/>
          <w:szCs w:val="24"/>
        </w:rPr>
        <w:t>Lima,</w:t>
      </w:r>
      <w:r w:rsidRPr="00BC19B0" w:rsidR="0034229F">
        <w:rPr>
          <w:rFonts w:ascii="Times New Roman" w:hAnsi="Times New Roman"/>
          <w:sz w:val="24"/>
          <w:szCs w:val="24"/>
        </w:rPr>
        <w:t xml:space="preserve"> </w:t>
      </w:r>
      <w:r w:rsidRPr="00BC19B0" w:rsidR="00CE6144">
        <w:rPr>
          <w:rFonts w:ascii="Times New Roman" w:hAnsi="Times New Roman"/>
          <w:sz w:val="24"/>
          <w:szCs w:val="24"/>
        </w:rPr>
        <w:t>1</w:t>
      </w:r>
      <w:r w:rsidRPr="00BC19B0" w:rsidR="006C63EC">
        <w:rPr>
          <w:rFonts w:ascii="Times New Roman" w:hAnsi="Times New Roman"/>
          <w:sz w:val="24"/>
          <w:szCs w:val="24"/>
        </w:rPr>
        <w:t>9</w:t>
      </w:r>
      <w:r w:rsidRPr="00BC19B0" w:rsidR="00CE6144">
        <w:rPr>
          <w:rFonts w:ascii="Times New Roman" w:hAnsi="Times New Roman"/>
          <w:sz w:val="24"/>
          <w:szCs w:val="24"/>
        </w:rPr>
        <w:t xml:space="preserve"> </w:t>
      </w:r>
      <w:r w:rsidRPr="00BC19B0">
        <w:rPr>
          <w:rFonts w:ascii="Times New Roman" w:hAnsi="Times New Roman"/>
          <w:sz w:val="24"/>
          <w:szCs w:val="24"/>
        </w:rPr>
        <w:t>de</w:t>
      </w:r>
      <w:r w:rsidRPr="00BC19B0" w:rsidR="00EF70E2">
        <w:rPr>
          <w:rFonts w:ascii="Times New Roman" w:hAnsi="Times New Roman"/>
          <w:sz w:val="24"/>
          <w:szCs w:val="24"/>
        </w:rPr>
        <w:t xml:space="preserve"> </w:t>
      </w:r>
      <w:r w:rsidRPr="00BC19B0" w:rsidR="00CE6144">
        <w:rPr>
          <w:rFonts w:ascii="Times New Roman" w:hAnsi="Times New Roman"/>
          <w:sz w:val="24"/>
          <w:szCs w:val="24"/>
        </w:rPr>
        <w:t>mayo</w:t>
      </w:r>
      <w:r w:rsidRPr="00BC19B0">
        <w:rPr>
          <w:rFonts w:ascii="Times New Roman" w:hAnsi="Times New Roman"/>
          <w:sz w:val="24"/>
          <w:szCs w:val="24"/>
        </w:rPr>
        <w:t xml:space="preserve"> de 202</w:t>
      </w:r>
      <w:r w:rsidRPr="00BC19B0" w:rsidR="006C6213">
        <w:rPr>
          <w:rFonts w:ascii="Times New Roman" w:hAnsi="Times New Roman"/>
          <w:sz w:val="24"/>
          <w:szCs w:val="24"/>
        </w:rPr>
        <w:t>3</w:t>
      </w:r>
    </w:p>
    <w:p w:rsidRPr="00BC19B0" w:rsidR="00D066E9" w:rsidP="00401FF7" w:rsidRDefault="00487E42" w14:paraId="07DA551C" w14:textId="2F682B5B">
      <w:pPr>
        <w:jc w:val="both"/>
        <w:rPr>
          <w:rFonts w:ascii="Times New Roman" w:hAnsi="Times New Roman"/>
          <w:b/>
          <w:bCs/>
          <w:i/>
          <w:iCs/>
          <w:sz w:val="24"/>
          <w:szCs w:val="24"/>
        </w:rPr>
      </w:pPr>
      <w:r w:rsidRPr="00BC19B0">
        <w:rPr>
          <w:rFonts w:ascii="Times New Roman" w:hAnsi="Times New Roman"/>
          <w:b/>
          <w:bCs/>
          <w:i/>
          <w:iCs/>
          <w:sz w:val="24"/>
          <w:szCs w:val="24"/>
        </w:rPr>
        <w:t xml:space="preserve">La </w:t>
      </w:r>
      <w:proofErr w:type="gramStart"/>
      <w:r w:rsidRPr="00BC19B0">
        <w:rPr>
          <w:rFonts w:ascii="Times New Roman" w:hAnsi="Times New Roman"/>
          <w:b/>
          <w:bCs/>
          <w:i/>
          <w:iCs/>
          <w:sz w:val="24"/>
          <w:szCs w:val="24"/>
        </w:rPr>
        <w:t>Secretaria Técnica</w:t>
      </w:r>
      <w:proofErr w:type="gramEnd"/>
      <w:r w:rsidRPr="00BC19B0">
        <w:rPr>
          <w:rFonts w:ascii="Times New Roman" w:hAnsi="Times New Roman"/>
          <w:b/>
          <w:bCs/>
          <w:i/>
          <w:iCs/>
          <w:sz w:val="24"/>
          <w:szCs w:val="24"/>
        </w:rPr>
        <w:t>, como Órgano Resolutivo Unipersonal, emite la presente resolución.</w:t>
      </w:r>
    </w:p>
    <w:p w:rsidRPr="00BC19B0" w:rsidR="00487E42" w:rsidP="002D07BA" w:rsidRDefault="00487E42" w14:paraId="2D80A377" w14:textId="0DAFEFD0">
      <w:pPr>
        <w:spacing w:line="360" w:lineRule="auto"/>
        <w:jc w:val="center"/>
        <w:rPr>
          <w:rFonts w:ascii="Times New Roman" w:hAnsi="Times New Roman"/>
          <w:b/>
          <w:bCs/>
          <w:sz w:val="24"/>
          <w:szCs w:val="24"/>
        </w:rPr>
      </w:pPr>
      <w:r w:rsidRPr="00BC19B0">
        <w:rPr>
          <w:rFonts w:ascii="Times New Roman" w:hAnsi="Times New Roman"/>
          <w:b/>
          <w:bCs/>
          <w:sz w:val="24"/>
          <w:szCs w:val="24"/>
        </w:rPr>
        <w:t xml:space="preserve">Alicia Martín López – </w:t>
      </w:r>
      <w:proofErr w:type="gramStart"/>
      <w:r w:rsidRPr="00BC19B0">
        <w:rPr>
          <w:rFonts w:ascii="Times New Roman" w:hAnsi="Times New Roman"/>
          <w:b/>
          <w:bCs/>
          <w:sz w:val="24"/>
          <w:szCs w:val="24"/>
        </w:rPr>
        <w:t>Secretar</w:t>
      </w:r>
      <w:r w:rsidRPr="00BC19B0" w:rsidR="003179C7">
        <w:rPr>
          <w:rFonts w:ascii="Times New Roman" w:hAnsi="Times New Roman"/>
          <w:b/>
          <w:bCs/>
          <w:sz w:val="24"/>
          <w:szCs w:val="24"/>
        </w:rPr>
        <w:t>i</w:t>
      </w:r>
      <w:r w:rsidRPr="00BC19B0">
        <w:rPr>
          <w:rFonts w:ascii="Times New Roman" w:hAnsi="Times New Roman"/>
          <w:b/>
          <w:bCs/>
          <w:sz w:val="24"/>
          <w:szCs w:val="24"/>
        </w:rPr>
        <w:t>a Técnica</w:t>
      </w:r>
      <w:proofErr w:type="gramEnd"/>
    </w:p>
    <w:p w:rsidRPr="00BC19B0" w:rsidR="000341A4" w:rsidP="00D00142" w:rsidRDefault="000341A4" w14:paraId="78842804" w14:textId="77777777">
      <w:pPr>
        <w:jc w:val="right"/>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0"/>
      <w:footerReference w:type="default" r:id="rId11"/>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C5A9C" w:rsidP="00722F1A" w:rsidRDefault="008C5A9C" w14:paraId="541E30AA" w14:textId="77777777">
      <w:pPr>
        <w:spacing w:after="0" w:line="240" w:lineRule="auto"/>
      </w:pPr>
      <w:r>
        <w:separator/>
      </w:r>
    </w:p>
  </w:endnote>
  <w:endnote w:type="continuationSeparator" w:id="0">
    <w:p w:rsidR="008C5A9C" w:rsidP="00722F1A" w:rsidRDefault="008C5A9C" w14:paraId="4FB8FCE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EndPr>
      <w:rPr>
        <w:rFonts w:ascii="Times New Roman" w:hAnsi="Times New Roman"/>
        <w:sz w:val="18"/>
        <w:szCs w:val="18"/>
      </w:rPr>
    </w:sdtEndPr>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C5A9C" w:rsidP="00722F1A" w:rsidRDefault="008C5A9C" w14:paraId="62495F31" w14:textId="77777777">
      <w:pPr>
        <w:spacing w:after="0" w:line="240" w:lineRule="auto"/>
      </w:pPr>
      <w:r>
        <w:separator/>
      </w:r>
    </w:p>
  </w:footnote>
  <w:footnote w:type="continuationSeparator" w:id="0">
    <w:p w:rsidR="008C5A9C" w:rsidP="00722F1A" w:rsidRDefault="008C5A9C" w14:paraId="2CCF979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4"/>
  </w:num>
  <w:num w:numId="7" w16cid:durableId="1973601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10A11"/>
    <w:rsid w:val="000303B6"/>
    <w:rsid w:val="000329BA"/>
    <w:rsid w:val="000341A4"/>
    <w:rsid w:val="00056E10"/>
    <w:rsid w:val="00075BED"/>
    <w:rsid w:val="00082464"/>
    <w:rsid w:val="0008641C"/>
    <w:rsid w:val="0008736D"/>
    <w:rsid w:val="000943A4"/>
    <w:rsid w:val="00096D11"/>
    <w:rsid w:val="000B29AE"/>
    <w:rsid w:val="000F52F7"/>
    <w:rsid w:val="00123B3A"/>
    <w:rsid w:val="00136C86"/>
    <w:rsid w:val="001459A2"/>
    <w:rsid w:val="001700F1"/>
    <w:rsid w:val="00173308"/>
    <w:rsid w:val="00180E23"/>
    <w:rsid w:val="00181367"/>
    <w:rsid w:val="00185516"/>
    <w:rsid w:val="00190DC3"/>
    <w:rsid w:val="00194FAA"/>
    <w:rsid w:val="0019552A"/>
    <w:rsid w:val="001A6119"/>
    <w:rsid w:val="001C0012"/>
    <w:rsid w:val="001C026D"/>
    <w:rsid w:val="001C0599"/>
    <w:rsid w:val="001C23FC"/>
    <w:rsid w:val="001D71B9"/>
    <w:rsid w:val="001E272B"/>
    <w:rsid w:val="001F5220"/>
    <w:rsid w:val="00206222"/>
    <w:rsid w:val="00223964"/>
    <w:rsid w:val="002562BF"/>
    <w:rsid w:val="0027093C"/>
    <w:rsid w:val="00270EB5"/>
    <w:rsid w:val="002748B9"/>
    <w:rsid w:val="002774DB"/>
    <w:rsid w:val="002832FD"/>
    <w:rsid w:val="002A3D68"/>
    <w:rsid w:val="002B7B44"/>
    <w:rsid w:val="002C32EB"/>
    <w:rsid w:val="002C7BAD"/>
    <w:rsid w:val="002D07BA"/>
    <w:rsid w:val="002F2037"/>
    <w:rsid w:val="00315252"/>
    <w:rsid w:val="00316305"/>
    <w:rsid w:val="003179C7"/>
    <w:rsid w:val="00320005"/>
    <w:rsid w:val="00341107"/>
    <w:rsid w:val="0034229F"/>
    <w:rsid w:val="003464EA"/>
    <w:rsid w:val="00350613"/>
    <w:rsid w:val="003538AD"/>
    <w:rsid w:val="0036173C"/>
    <w:rsid w:val="00365916"/>
    <w:rsid w:val="00377CD0"/>
    <w:rsid w:val="003943CE"/>
    <w:rsid w:val="003957A8"/>
    <w:rsid w:val="00397B7E"/>
    <w:rsid w:val="003B3018"/>
    <w:rsid w:val="003B6C85"/>
    <w:rsid w:val="003C08D0"/>
    <w:rsid w:val="003C4B02"/>
    <w:rsid w:val="003D0B19"/>
    <w:rsid w:val="003D1117"/>
    <w:rsid w:val="003E2DA9"/>
    <w:rsid w:val="003E3E64"/>
    <w:rsid w:val="003F21BF"/>
    <w:rsid w:val="00401FF7"/>
    <w:rsid w:val="00407368"/>
    <w:rsid w:val="00407A18"/>
    <w:rsid w:val="00411C9C"/>
    <w:rsid w:val="004205D2"/>
    <w:rsid w:val="00426947"/>
    <w:rsid w:val="00427834"/>
    <w:rsid w:val="00430735"/>
    <w:rsid w:val="0045636B"/>
    <w:rsid w:val="00464821"/>
    <w:rsid w:val="00466D00"/>
    <w:rsid w:val="00486E3D"/>
    <w:rsid w:val="00487E42"/>
    <w:rsid w:val="004A54D1"/>
    <w:rsid w:val="004B23B9"/>
    <w:rsid w:val="004B4F66"/>
    <w:rsid w:val="004B7F72"/>
    <w:rsid w:val="004C0B81"/>
    <w:rsid w:val="004D32FA"/>
    <w:rsid w:val="004E09C5"/>
    <w:rsid w:val="004E2A3F"/>
    <w:rsid w:val="004F0094"/>
    <w:rsid w:val="004F1A61"/>
    <w:rsid w:val="004F3EBD"/>
    <w:rsid w:val="004F5873"/>
    <w:rsid w:val="00541D87"/>
    <w:rsid w:val="00546D29"/>
    <w:rsid w:val="00551EAD"/>
    <w:rsid w:val="0055560E"/>
    <w:rsid w:val="00555FDE"/>
    <w:rsid w:val="00570097"/>
    <w:rsid w:val="005745B9"/>
    <w:rsid w:val="00584164"/>
    <w:rsid w:val="005A5404"/>
    <w:rsid w:val="005A6F5E"/>
    <w:rsid w:val="005B7527"/>
    <w:rsid w:val="005D470E"/>
    <w:rsid w:val="005E455C"/>
    <w:rsid w:val="005E6AC3"/>
    <w:rsid w:val="005F659E"/>
    <w:rsid w:val="00605B3E"/>
    <w:rsid w:val="00611030"/>
    <w:rsid w:val="00611D0F"/>
    <w:rsid w:val="00624915"/>
    <w:rsid w:val="00624E89"/>
    <w:rsid w:val="00633243"/>
    <w:rsid w:val="00636287"/>
    <w:rsid w:val="00651DB4"/>
    <w:rsid w:val="00664D34"/>
    <w:rsid w:val="006677FB"/>
    <w:rsid w:val="00697054"/>
    <w:rsid w:val="00697E41"/>
    <w:rsid w:val="006A7C2B"/>
    <w:rsid w:val="006B4512"/>
    <w:rsid w:val="006C2590"/>
    <w:rsid w:val="006C6213"/>
    <w:rsid w:val="006C63EC"/>
    <w:rsid w:val="006D2330"/>
    <w:rsid w:val="006F001C"/>
    <w:rsid w:val="0071399D"/>
    <w:rsid w:val="0071585D"/>
    <w:rsid w:val="00722F1A"/>
    <w:rsid w:val="00734A73"/>
    <w:rsid w:val="00740529"/>
    <w:rsid w:val="00741BD2"/>
    <w:rsid w:val="00741FAE"/>
    <w:rsid w:val="00747942"/>
    <w:rsid w:val="00766307"/>
    <w:rsid w:val="00770984"/>
    <w:rsid w:val="00773552"/>
    <w:rsid w:val="00786219"/>
    <w:rsid w:val="00790DF4"/>
    <w:rsid w:val="007A4A6D"/>
    <w:rsid w:val="007B4101"/>
    <w:rsid w:val="007B48E1"/>
    <w:rsid w:val="007C1D34"/>
    <w:rsid w:val="007C2EAB"/>
    <w:rsid w:val="007D442E"/>
    <w:rsid w:val="007E38B7"/>
    <w:rsid w:val="00801C5F"/>
    <w:rsid w:val="008050AA"/>
    <w:rsid w:val="0081637E"/>
    <w:rsid w:val="00831CCC"/>
    <w:rsid w:val="008371AD"/>
    <w:rsid w:val="00837965"/>
    <w:rsid w:val="00842964"/>
    <w:rsid w:val="00861E9C"/>
    <w:rsid w:val="0086588F"/>
    <w:rsid w:val="0086654A"/>
    <w:rsid w:val="00880966"/>
    <w:rsid w:val="008815C6"/>
    <w:rsid w:val="0089374D"/>
    <w:rsid w:val="008B38C9"/>
    <w:rsid w:val="008B410F"/>
    <w:rsid w:val="008B6DC7"/>
    <w:rsid w:val="008B79F4"/>
    <w:rsid w:val="008C0D17"/>
    <w:rsid w:val="008C18AA"/>
    <w:rsid w:val="008C2EF4"/>
    <w:rsid w:val="008C5A9C"/>
    <w:rsid w:val="008C6600"/>
    <w:rsid w:val="008D51EF"/>
    <w:rsid w:val="008D7125"/>
    <w:rsid w:val="008D77C2"/>
    <w:rsid w:val="008E32C6"/>
    <w:rsid w:val="008E5819"/>
    <w:rsid w:val="008E7D37"/>
    <w:rsid w:val="008F29CC"/>
    <w:rsid w:val="008F52DF"/>
    <w:rsid w:val="008F73B7"/>
    <w:rsid w:val="009013AD"/>
    <w:rsid w:val="00905717"/>
    <w:rsid w:val="009217F9"/>
    <w:rsid w:val="009278EB"/>
    <w:rsid w:val="00950713"/>
    <w:rsid w:val="00954297"/>
    <w:rsid w:val="00960CAD"/>
    <w:rsid w:val="009651D2"/>
    <w:rsid w:val="00971A3E"/>
    <w:rsid w:val="00981677"/>
    <w:rsid w:val="009853CB"/>
    <w:rsid w:val="0098563E"/>
    <w:rsid w:val="009A375C"/>
    <w:rsid w:val="009A3B8F"/>
    <w:rsid w:val="009A5B86"/>
    <w:rsid w:val="009B1C6E"/>
    <w:rsid w:val="009B2153"/>
    <w:rsid w:val="009B58C9"/>
    <w:rsid w:val="009C5E18"/>
    <w:rsid w:val="009E202C"/>
    <w:rsid w:val="009E3317"/>
    <w:rsid w:val="009E5B55"/>
    <w:rsid w:val="009F232F"/>
    <w:rsid w:val="00A102E1"/>
    <w:rsid w:val="00A1356B"/>
    <w:rsid w:val="00A17B8F"/>
    <w:rsid w:val="00A209BF"/>
    <w:rsid w:val="00A2495F"/>
    <w:rsid w:val="00A265AA"/>
    <w:rsid w:val="00A27C06"/>
    <w:rsid w:val="00A30166"/>
    <w:rsid w:val="00A32C5D"/>
    <w:rsid w:val="00A368F4"/>
    <w:rsid w:val="00A405FD"/>
    <w:rsid w:val="00A40FB5"/>
    <w:rsid w:val="00A47E1A"/>
    <w:rsid w:val="00A603C9"/>
    <w:rsid w:val="00A60D4F"/>
    <w:rsid w:val="00A635B3"/>
    <w:rsid w:val="00A65D3C"/>
    <w:rsid w:val="00A719CD"/>
    <w:rsid w:val="00A7791B"/>
    <w:rsid w:val="00A81C37"/>
    <w:rsid w:val="00A858BA"/>
    <w:rsid w:val="00A876AE"/>
    <w:rsid w:val="00A96C6E"/>
    <w:rsid w:val="00AA2571"/>
    <w:rsid w:val="00AB4A3C"/>
    <w:rsid w:val="00AB7740"/>
    <w:rsid w:val="00AC1B51"/>
    <w:rsid w:val="00AC65B1"/>
    <w:rsid w:val="00AC7A61"/>
    <w:rsid w:val="00AD56AF"/>
    <w:rsid w:val="00AD5D04"/>
    <w:rsid w:val="00AD7E43"/>
    <w:rsid w:val="00AF57F2"/>
    <w:rsid w:val="00B0138B"/>
    <w:rsid w:val="00B130DD"/>
    <w:rsid w:val="00B154BD"/>
    <w:rsid w:val="00B21365"/>
    <w:rsid w:val="00B21849"/>
    <w:rsid w:val="00B25FD8"/>
    <w:rsid w:val="00B2612A"/>
    <w:rsid w:val="00B2780B"/>
    <w:rsid w:val="00B328D9"/>
    <w:rsid w:val="00B33B03"/>
    <w:rsid w:val="00B41080"/>
    <w:rsid w:val="00B42CC1"/>
    <w:rsid w:val="00B431F7"/>
    <w:rsid w:val="00B570FD"/>
    <w:rsid w:val="00B67BB6"/>
    <w:rsid w:val="00B75D55"/>
    <w:rsid w:val="00B8618B"/>
    <w:rsid w:val="00B863AB"/>
    <w:rsid w:val="00B962BF"/>
    <w:rsid w:val="00BC0F09"/>
    <w:rsid w:val="00BC19B0"/>
    <w:rsid w:val="00BC69EF"/>
    <w:rsid w:val="00BD52E3"/>
    <w:rsid w:val="00BD5530"/>
    <w:rsid w:val="00C06FF7"/>
    <w:rsid w:val="00C15254"/>
    <w:rsid w:val="00C2198B"/>
    <w:rsid w:val="00C22A8E"/>
    <w:rsid w:val="00C36917"/>
    <w:rsid w:val="00C45618"/>
    <w:rsid w:val="00C5028F"/>
    <w:rsid w:val="00C56F86"/>
    <w:rsid w:val="00C613E6"/>
    <w:rsid w:val="00C66D8C"/>
    <w:rsid w:val="00C80567"/>
    <w:rsid w:val="00C87F2C"/>
    <w:rsid w:val="00C910DC"/>
    <w:rsid w:val="00CA32FC"/>
    <w:rsid w:val="00CB39D7"/>
    <w:rsid w:val="00CD5B43"/>
    <w:rsid w:val="00CD6A37"/>
    <w:rsid w:val="00CE6144"/>
    <w:rsid w:val="00CF40F1"/>
    <w:rsid w:val="00D00142"/>
    <w:rsid w:val="00D052E2"/>
    <w:rsid w:val="00D05BAE"/>
    <w:rsid w:val="00D066E9"/>
    <w:rsid w:val="00D1360F"/>
    <w:rsid w:val="00D1380F"/>
    <w:rsid w:val="00D159E5"/>
    <w:rsid w:val="00D242C0"/>
    <w:rsid w:val="00D362DC"/>
    <w:rsid w:val="00D4002D"/>
    <w:rsid w:val="00D450B5"/>
    <w:rsid w:val="00D52D69"/>
    <w:rsid w:val="00D63CFD"/>
    <w:rsid w:val="00D645CF"/>
    <w:rsid w:val="00D77FFB"/>
    <w:rsid w:val="00D80CF0"/>
    <w:rsid w:val="00D81343"/>
    <w:rsid w:val="00D90081"/>
    <w:rsid w:val="00D90777"/>
    <w:rsid w:val="00DA1D06"/>
    <w:rsid w:val="00DA2B69"/>
    <w:rsid w:val="00DA2FE2"/>
    <w:rsid w:val="00DB34CC"/>
    <w:rsid w:val="00DC749B"/>
    <w:rsid w:val="00DD1CBB"/>
    <w:rsid w:val="00DE2304"/>
    <w:rsid w:val="00DF1090"/>
    <w:rsid w:val="00DF1CB2"/>
    <w:rsid w:val="00DF3088"/>
    <w:rsid w:val="00DF644C"/>
    <w:rsid w:val="00E14172"/>
    <w:rsid w:val="00E17B81"/>
    <w:rsid w:val="00E6025B"/>
    <w:rsid w:val="00E63DD9"/>
    <w:rsid w:val="00E67DCC"/>
    <w:rsid w:val="00E8336B"/>
    <w:rsid w:val="00E92970"/>
    <w:rsid w:val="00E941E1"/>
    <w:rsid w:val="00EA48E7"/>
    <w:rsid w:val="00EA6298"/>
    <w:rsid w:val="00EB2C0D"/>
    <w:rsid w:val="00EB6E1A"/>
    <w:rsid w:val="00EC0BCA"/>
    <w:rsid w:val="00EF70E2"/>
    <w:rsid w:val="00F03223"/>
    <w:rsid w:val="00F06494"/>
    <w:rsid w:val="00F104DE"/>
    <w:rsid w:val="00F1467F"/>
    <w:rsid w:val="00F14E12"/>
    <w:rsid w:val="00F26229"/>
    <w:rsid w:val="00F374B2"/>
    <w:rsid w:val="00F52ADB"/>
    <w:rsid w:val="00F66108"/>
    <w:rsid w:val="00F778E2"/>
    <w:rsid w:val="00F8639B"/>
    <w:rsid w:val="00F95A46"/>
    <w:rsid w:val="00FB4AA4"/>
    <w:rsid w:val="00FC7596"/>
    <w:rsid w:val="00FE0AE9"/>
    <w:rsid w:val="00FE4A2F"/>
    <w:rsid w:val="00FE5CEA"/>
    <w:rsid w:val="00FE6BAE"/>
    <w:rsid w:val="00FF2E3D"/>
    <w:rsid w:val="1F1A8026"/>
    <w:rsid w:val="206FB95B"/>
    <w:rsid w:val="26618FC8"/>
    <w:rsid w:val="2D7ED2F0"/>
    <w:rsid w:val="4694915D"/>
    <w:rsid w:val="4BA10A05"/>
    <w:rsid w:val="5604F824"/>
    <w:rsid w:val="648A92BB"/>
    <w:rsid w:val="66CCE96F"/>
    <w:rsid w:val="6AF44CDB"/>
    <w:rsid w:val="7631FADD"/>
    <w:rsid w:val="773200BA"/>
    <w:rsid w:val="77E2BC6F"/>
    <w:rsid w:val="7A1DC28C"/>
    <w:rsid w:val="7E1A01D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uiPriority w:val="99"/>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uiPriority w:val="99"/>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04E3FFA8-9A51-40A4-9347-23137D2DD43D}"/>
</file>

<file path=customXml/itemProps3.xml><?xml version="1.0" encoding="utf-8"?>
<ds:datastoreItem xmlns:ds="http://schemas.openxmlformats.org/officeDocument/2006/customXml" ds:itemID="{93C5FFA0-99C5-4B71-81BD-FA4983D55C88}"/>
</file>

<file path=customXml/itemProps4.xml><?xml version="1.0" encoding="utf-8"?>
<ds:datastoreItem xmlns:ds="http://schemas.openxmlformats.org/officeDocument/2006/customXml" ds:itemID="{95C60DD5-BF8E-4C61-872C-832EA56842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299</cp:revision>
  <cp:lastPrinted>2023-04-28T20:03:00Z</cp:lastPrinted>
  <dcterms:created xsi:type="dcterms:W3CDTF">2022-12-22T22:59:00Z</dcterms:created>
  <dcterms:modified xsi:type="dcterms:W3CDTF">2025-06-03T19:15:57Z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