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41556" w:rsidR="007A1D6A" w:rsidP="000D4627" w:rsidRDefault="00F15FBA" w14:paraId="2EB47530" w14:textId="5E338673">
      <w:pPr>
        <w:pStyle w:val="Ttulo"/>
        <w:outlineLvl w:val="0"/>
        <w:rPr>
          <w:lang w:val="es-PE"/>
        </w:rPr>
      </w:pPr>
      <w:r w:rsidRPr="00D41556">
        <w:rPr>
          <w:lang w:val="es-PE"/>
        </w:rPr>
        <w:t xml:space="preserve">RESOLUCIÓN </w:t>
      </w:r>
      <w:proofErr w:type="spellStart"/>
      <w:r w:rsidRPr="00D41556">
        <w:rPr>
          <w:lang w:val="es-PE"/>
        </w:rPr>
        <w:t>N</w:t>
      </w:r>
      <w:r w:rsidRPr="00D41556" w:rsidR="001631D6">
        <w:rPr>
          <w:lang w:val="es-PE"/>
        </w:rPr>
        <w:t>°</w:t>
      </w:r>
      <w:proofErr w:type="spellEnd"/>
      <w:r w:rsidRPr="00D41556" w:rsidR="001631D6">
        <w:rPr>
          <w:lang w:val="es-PE"/>
        </w:rPr>
        <w:t xml:space="preserve"> </w:t>
      </w:r>
      <w:r w:rsidRPr="00D41556" w:rsidR="005A778E">
        <w:rPr>
          <w:lang w:val="es-PE"/>
        </w:rPr>
        <w:t>1</w:t>
      </w:r>
      <w:r w:rsidRPr="00D41556" w:rsidR="00B96DD8">
        <w:rPr>
          <w:lang w:val="es-PE"/>
        </w:rPr>
        <w:t>1</w:t>
      </w:r>
      <w:r w:rsidRPr="00D41556" w:rsidR="00BE23A8">
        <w:rPr>
          <w:lang w:val="es-PE"/>
        </w:rPr>
        <w:t>7</w:t>
      </w:r>
      <w:r w:rsidRPr="00D41556" w:rsidR="001631D6">
        <w:rPr>
          <w:lang w:val="es-PE"/>
        </w:rPr>
        <w:t>/2</w:t>
      </w:r>
      <w:r w:rsidRPr="00D41556" w:rsidR="00BD063F">
        <w:rPr>
          <w:lang w:val="es-PE"/>
        </w:rPr>
        <w:t>3</w:t>
      </w:r>
    </w:p>
    <w:p w:rsidRPr="00D41556" w:rsidR="00D41556" w:rsidP="00D41556" w:rsidRDefault="00D41556" w14:paraId="33C0E211" w14:textId="77777777">
      <w:pPr>
        <w:jc w:val="both"/>
      </w:pPr>
      <w:r w:rsidRPr="00D41556">
        <w:rPr>
          <w:rStyle w:val="Textoennegrita"/>
        </w:rPr>
        <w:t>VISTOS:</w:t>
      </w:r>
    </w:p>
    <w:p w:rsidRPr="00D41556" w:rsidR="00D41556" w:rsidP="00D41556" w:rsidRDefault="00D41556" w14:paraId="09AD888F" w14:textId="77777777">
      <w:pPr>
        <w:jc w:val="both"/>
        <w:rPr>
          <w:lang w:val="es-PE"/>
        </w:rPr>
      </w:pPr>
    </w:p>
    <w:p w:rsidRPr="00D41556" w:rsidR="00D41556" w:rsidP="00D41556" w:rsidRDefault="00D41556" w14:paraId="615C9C61" w14:textId="3B1BA4BA">
      <w:pPr>
        <w:jc w:val="both"/>
        <w:rPr>
          <w:lang w:val="es-PE"/>
        </w:rPr>
      </w:pPr>
      <w:r w:rsidRPr="0D879AD3" w:rsidR="00D41556">
        <w:rPr>
          <w:lang w:val="es-PE"/>
        </w:rPr>
        <w:t xml:space="preserve">Que, </w:t>
      </w:r>
      <w:r w:rsidRPr="0D879AD3" w:rsidR="6E027044">
        <w:rPr>
          <w:b w:val="1"/>
          <w:bCs w:val="1"/>
          <w:lang w:val="es-PE"/>
        </w:rPr>
        <w:t>..................................................................................................</w:t>
      </w:r>
      <w:r w:rsidRPr="0D879AD3" w:rsidR="00D41556">
        <w:rPr>
          <w:lang w:val="es-PE"/>
        </w:rPr>
        <w:t xml:space="preserve"> (en adelante, el reclamante) interpone reclamación ante esta Defensoría del Asegurado (DEFASEG), solicitando que </w:t>
      </w:r>
      <w:r w:rsidRPr="0D879AD3" w:rsidR="75AC049B">
        <w:rPr>
          <w:b w:val="1"/>
          <w:bCs w:val="1"/>
        </w:rPr>
        <w:t>....................................................................</w:t>
      </w:r>
      <w:r w:rsidRPr="0D879AD3" w:rsidR="00D41556">
        <w:rPr>
          <w:b w:val="1"/>
          <w:bCs w:val="1"/>
        </w:rPr>
        <w:t>.,</w:t>
      </w:r>
      <w:r w:rsidRPr="0D879AD3" w:rsidR="00D41556">
        <w:rPr>
          <w:b w:val="1"/>
          <w:bCs w:val="1"/>
          <w:lang w:val="es-PE"/>
        </w:rPr>
        <w:t xml:space="preserve"> </w:t>
      </w:r>
      <w:r w:rsidRPr="0D879AD3" w:rsidR="00D41556">
        <w:rPr>
          <w:lang w:val="es-PE"/>
        </w:rPr>
        <w:t>(en adelante, la aseguradora)</w:t>
      </w:r>
      <w:r w:rsidRPr="0D879AD3" w:rsidR="00D41556">
        <w:rPr>
          <w:b w:val="1"/>
          <w:bCs w:val="1"/>
          <w:lang w:val="es-PE"/>
        </w:rPr>
        <w:t xml:space="preserve"> </w:t>
      </w:r>
      <w:r w:rsidRPr="0D879AD3" w:rsidR="00D41556">
        <w:rPr>
          <w:lang w:val="es-PE"/>
        </w:rPr>
        <w:t xml:space="preserve">otorgue cobertura del Seguro Vehicular Póliza </w:t>
      </w:r>
      <w:r w:rsidRPr="0D879AD3" w:rsidR="00D41556">
        <w:rPr>
          <w:lang w:val="es-PE"/>
        </w:rPr>
        <w:t>N°</w:t>
      </w:r>
      <w:r w:rsidRPr="0D879AD3" w:rsidR="00D41556">
        <w:rPr>
          <w:lang w:val="es-PE"/>
        </w:rPr>
        <w:t xml:space="preserve"> </w:t>
      </w:r>
      <w:r w:rsidRPr="0D879AD3" w:rsidR="39184A52">
        <w:rPr>
          <w:lang w:val="es-PE"/>
        </w:rPr>
        <w:t>.....................</w:t>
      </w:r>
      <w:r w:rsidRPr="0D879AD3" w:rsidR="00D41556">
        <w:rPr>
          <w:lang w:val="es-PE"/>
        </w:rPr>
        <w:t xml:space="preserve"> (en adelante, la póliza) en vista del siniestro ocurrido el pasado 01 de agosto de 2022.</w:t>
      </w:r>
    </w:p>
    <w:p w:rsidRPr="00D41556" w:rsidR="00D41556" w:rsidP="00D41556" w:rsidRDefault="00D41556" w14:paraId="38E82B8D" w14:textId="77777777">
      <w:pPr>
        <w:jc w:val="both"/>
        <w:rPr>
          <w:lang w:val="es-PE"/>
        </w:rPr>
      </w:pPr>
    </w:p>
    <w:p w:rsidRPr="00D41556" w:rsidR="00D41556" w:rsidP="00D41556" w:rsidRDefault="00D41556" w14:paraId="3DDB92CB" w14:textId="77777777">
      <w:pPr>
        <w:jc w:val="both"/>
        <w:rPr>
          <w:rFonts w:eastAsia="Arial Unicode MS"/>
          <w:lang w:val="es-PE"/>
        </w:rPr>
      </w:pPr>
      <w:r w:rsidRPr="00D41556">
        <w:rPr>
          <w:rFonts w:eastAsia="Arial Unicode MS"/>
          <w:lang w:val="es-PE"/>
        </w:rPr>
        <w:t>Que, la señalada reclamación cumple con los requisitos de materia, cuantía y oportunidad establecidos en el Reglamento de la DEFASEG (http://www.defaseg.com.pe/reglamento);</w:t>
      </w:r>
    </w:p>
    <w:p w:rsidRPr="00D41556" w:rsidR="00D41556" w:rsidP="00D41556" w:rsidRDefault="00D41556" w14:paraId="2B9B5608" w14:textId="77777777">
      <w:pPr>
        <w:tabs>
          <w:tab w:val="left" w:pos="2160"/>
        </w:tabs>
        <w:jc w:val="both"/>
        <w:rPr>
          <w:lang w:val="es-PE"/>
        </w:rPr>
      </w:pPr>
    </w:p>
    <w:p w:rsidRPr="00D41556" w:rsidR="00D41556" w:rsidP="00D41556" w:rsidRDefault="00D41556" w14:paraId="0140340C" w14:textId="77777777">
      <w:pPr>
        <w:tabs>
          <w:tab w:val="num" w:pos="720"/>
        </w:tabs>
        <w:jc w:val="both"/>
        <w:rPr>
          <w:lang w:val="es-PE"/>
        </w:rPr>
      </w:pPr>
      <w:r w:rsidRPr="00D41556">
        <w:rPr>
          <w:lang w:val="es-PE"/>
        </w:rPr>
        <w:t>Que, habiéndosele corrido traslado de la respectiva reclamación y, en atención a la prórroga solicitada, la aseguradora presentó sus respectivos descargos;</w:t>
      </w:r>
    </w:p>
    <w:p w:rsidRPr="00D41556" w:rsidR="00D41556" w:rsidP="00D41556" w:rsidRDefault="00D41556" w14:paraId="17195A3F" w14:textId="77777777">
      <w:pPr>
        <w:tabs>
          <w:tab w:val="num" w:pos="720"/>
        </w:tabs>
        <w:jc w:val="both"/>
        <w:rPr>
          <w:lang w:val="es-PE"/>
        </w:rPr>
      </w:pPr>
    </w:p>
    <w:p w:rsidRPr="00D41556" w:rsidR="00D41556" w:rsidP="00D41556" w:rsidRDefault="00D41556" w14:paraId="42A7EAF8" w14:textId="77777777">
      <w:pPr>
        <w:tabs>
          <w:tab w:val="num" w:pos="720"/>
        </w:tabs>
        <w:jc w:val="both"/>
        <w:rPr>
          <w:lang w:val="es-PE"/>
        </w:rPr>
      </w:pPr>
      <w:r w:rsidRPr="00D41556">
        <w:rPr>
          <w:lang w:val="es-PE"/>
        </w:rPr>
        <w:t>Que, el 27 de febrero de 2023 se realizó la audiencia virtual de vista con la concurrencia de ambas partes, quienes tuvieron oportunidad de exponer sus respectivas posiciones tratándose de la materia reclamada, absolviendo las diversas preguntas que les fueron formuladas.</w:t>
      </w:r>
    </w:p>
    <w:p w:rsidRPr="00D41556" w:rsidR="00D41556" w:rsidP="00D41556" w:rsidRDefault="00D41556" w14:paraId="3EEE0765" w14:textId="77777777">
      <w:pPr>
        <w:tabs>
          <w:tab w:val="num" w:pos="720"/>
        </w:tabs>
        <w:jc w:val="both"/>
        <w:rPr>
          <w:lang w:val="es-PE"/>
        </w:rPr>
      </w:pPr>
    </w:p>
    <w:p w:rsidRPr="00D41556" w:rsidR="00D41556" w:rsidP="00D41556" w:rsidRDefault="00D41556" w14:paraId="4C9E8103" w14:textId="77777777">
      <w:pPr>
        <w:jc w:val="both"/>
        <w:rPr>
          <w:lang w:val="es-PE"/>
        </w:rPr>
      </w:pPr>
      <w:r w:rsidRPr="00D41556">
        <w:t xml:space="preserve">Que, en síntesis, el reclamante manifiesta lo siguiente: a) </w:t>
      </w:r>
      <w:r w:rsidRPr="00D41556">
        <w:rPr>
          <w:lang w:val="es-PE"/>
        </w:rPr>
        <w:t>el vehículo siniestrado es del año 2013 y costó USD 118,000.00. La depreciación aplicada al vehículo, considerando una tasa de depreciación del 10% desde el año 2013, generaría un valor de USD 45,715.61; b) la aseguradora aceptó, como suma asegurada, el monto de USD 30,000.00. Dicho monto no ha sido observado por los inspectores técnicos de la aseguradora. Dicha póliza -incluso- ha sido renovada desde el 31 de agosto de 2022 hasta el 31 de agosto de 2023, con una suma asegurada de USD 27,000.00; c) la aseguradora considera erróneamente que el valor asegurado está definido en la póliza como el valor comercial, más un 10%. Sin embargo, esto no figura en la póliza, habiendo basado su liquidación en una cotización ilegible de un vehículo del año 2015, que no tiene las mismas características que el siniestrado; d) el valor asignado al vehículo en el contrato de garantía mobiliaria de Scotiabank suscrito en el año 2013 es de USD 45,715.61. La reclamante está dispuesta a aceptar este valor para la liquidación.</w:t>
      </w:r>
    </w:p>
    <w:p w:rsidRPr="00D41556" w:rsidR="00D41556" w:rsidP="00D41556" w:rsidRDefault="00D41556" w14:paraId="77C82954" w14:textId="77777777">
      <w:pPr>
        <w:jc w:val="both"/>
        <w:rPr>
          <w:lang w:val="es-PE"/>
        </w:rPr>
      </w:pPr>
    </w:p>
    <w:p w:rsidRPr="00D41556" w:rsidR="00D41556" w:rsidP="00D41556" w:rsidRDefault="00D41556" w14:paraId="54E6622B" w14:textId="77777777">
      <w:pPr>
        <w:autoSpaceDE w:val="0"/>
        <w:autoSpaceDN w:val="0"/>
        <w:adjustRightInd w:val="0"/>
        <w:jc w:val="both"/>
      </w:pPr>
      <w:r w:rsidRPr="00D41556">
        <w:t xml:space="preserve">Que, por su parte, la aseguradora sustenta su posición resumidamente en lo siguiente: a) </w:t>
      </w:r>
      <w:r w:rsidRPr="00D41556">
        <w:rPr>
          <w:lang w:val="es-PE"/>
        </w:rPr>
        <w:t xml:space="preserve">en la póliza se define Valor Comercial como “Valor de mercado de un vehículo de la misma marca, año, modelo y estado de conservación que el vehículo asegurado en el mercado peruano en la fecha del siniestro, esta valoración es según la lista referencial de precios de vehículos emitida por la Asociación Peruana de Empresas de Seguros (APESEG), revistas y/o empresas especializadas en el tema”, por lo que no es correcta la afirmación de que no exista tal definición en la póliza; b) hizo llegar una cotización de un vehículo del año 2015 con un precio de USD 72,000.00, lo que demostraría que aplicándole la depreciación de 10% por año, el valor de la unidad del 2014 ascendería a USD 64,800.00 según lo indicado por el representante de la marca. De ello, llega a la conclusión de que se encuentran en una situación de Infraseguro, por haber un déficit entra la suma asegurada frente al valor asegurable; </w:t>
      </w:r>
    </w:p>
    <w:p w:rsidRPr="00D41556" w:rsidR="00D41556" w:rsidP="00D41556" w:rsidRDefault="00D41556" w14:paraId="2550DFC4" w14:textId="77777777">
      <w:pPr>
        <w:autoSpaceDE w:val="0"/>
        <w:autoSpaceDN w:val="0"/>
        <w:adjustRightInd w:val="0"/>
        <w:jc w:val="both"/>
      </w:pPr>
    </w:p>
    <w:p w:rsidRPr="00D41556" w:rsidR="00D41556" w:rsidP="00D41556" w:rsidRDefault="00D41556" w14:paraId="2AA53B5F" w14:textId="77777777">
      <w:pPr>
        <w:autoSpaceDE w:val="0"/>
        <w:autoSpaceDN w:val="0"/>
        <w:adjustRightInd w:val="0"/>
        <w:jc w:val="both"/>
      </w:pPr>
      <w:r w:rsidRPr="00D41556">
        <w:lastRenderedPageBreak/>
        <w:t>Que, mediante comunicación del 06 de marzo de 2023, el reclamante cumple con adjuntar la cadena de correos cruzada entre la aseguradora y su representante, así como la propuesta de liquidación de siniestro que pretende aportar;</w:t>
      </w:r>
    </w:p>
    <w:p w:rsidRPr="00D41556" w:rsidR="00D41556" w:rsidP="00D41556" w:rsidRDefault="00D41556" w14:paraId="1FE364D6" w14:textId="77777777">
      <w:pPr>
        <w:autoSpaceDE w:val="0"/>
        <w:autoSpaceDN w:val="0"/>
        <w:adjustRightInd w:val="0"/>
        <w:jc w:val="both"/>
        <w:rPr>
          <w:highlight w:val="yellow"/>
        </w:rPr>
      </w:pPr>
    </w:p>
    <w:p w:rsidRPr="00D41556" w:rsidR="00D41556" w:rsidP="00D41556" w:rsidRDefault="00D41556" w14:paraId="71A0177E" w14:textId="38F8538E">
      <w:pPr>
        <w:autoSpaceDE w:val="0"/>
        <w:autoSpaceDN w:val="0"/>
        <w:adjustRightInd w:val="0"/>
        <w:jc w:val="both"/>
        <w:rPr>
          <w:lang w:val="es-PE"/>
        </w:rPr>
      </w:pPr>
      <w:r w:rsidR="00D41556">
        <w:rPr/>
        <w:t xml:space="preserve">Que, mediante comunicación del 21 de marzo de 2023, la reclamante adjuntó la Carta Notarial </w:t>
      </w:r>
      <w:r w:rsidR="67460535">
        <w:rPr/>
        <w:t>...........................</w:t>
      </w:r>
      <w:r w:rsidR="00D41556">
        <w:rPr/>
        <w:t xml:space="preserve"> remitida a la aseguradora el 19 de octubre de 2022 y agregó, en resumen, lo siguiente: una de las variables que debe tenerse presente para fijar el valor comercial de un vehículo es el daño sufrido a lo largo del tiempo y como este afecta su rendimiento, por lo que adjunta información adicional que considera que tiene que tomarse en cuenta;</w:t>
      </w:r>
    </w:p>
    <w:p w:rsidR="00D41556" w:rsidP="00D41556" w:rsidRDefault="00D41556" w14:paraId="038B89C3" w14:textId="77777777">
      <w:pPr>
        <w:jc w:val="both"/>
      </w:pPr>
    </w:p>
    <w:p w:rsidRPr="00D41556" w:rsidR="00D41556" w:rsidP="00D41556" w:rsidRDefault="00D41556" w14:paraId="3F5124E7" w14:textId="24E1BFE5">
      <w:pPr>
        <w:jc w:val="both"/>
      </w:pPr>
      <w:r w:rsidRPr="00D41556">
        <w:rPr>
          <w:rStyle w:val="Textoennegrita"/>
        </w:rPr>
        <w:t>CONSIDERANDO:</w:t>
      </w:r>
    </w:p>
    <w:p w:rsidRPr="00D41556" w:rsidR="00D41556" w:rsidP="00D41556" w:rsidRDefault="00D41556" w14:paraId="27017DD2" w14:textId="77777777">
      <w:pPr>
        <w:jc w:val="both"/>
      </w:pPr>
      <w:r w:rsidRPr="00D41556">
        <w:t> </w:t>
      </w:r>
    </w:p>
    <w:p w:rsidRPr="00D41556" w:rsidR="00D41556" w:rsidP="00D41556" w:rsidRDefault="00D41556" w14:paraId="7F44BB33" w14:textId="77777777">
      <w:pPr>
        <w:jc w:val="both"/>
        <w:rPr>
          <w:lang w:val="es-PE"/>
        </w:rPr>
      </w:pPr>
      <w:r w:rsidRPr="00D41556">
        <w:rPr>
          <w:b/>
          <w:u w:val="single"/>
          <w:lang w:val="es-PE"/>
        </w:rPr>
        <w:t>Primero</w:t>
      </w:r>
      <w:r w:rsidRPr="00D41556">
        <w:rPr>
          <w:b/>
          <w:lang w:val="es-PE"/>
        </w:rPr>
        <w:t xml:space="preserve">: </w:t>
      </w:r>
      <w:r w:rsidRPr="00D41556">
        <w:rPr>
          <w:lang w:val="es-PE"/>
        </w:rPr>
        <w:t>Conforme a su Reglamento, la</w:t>
      </w:r>
      <w:r w:rsidRPr="00D41556">
        <w:rPr>
          <w:b/>
          <w:bCs/>
          <w:lang w:val="es-PE"/>
        </w:rPr>
        <w:t xml:space="preserve"> </w:t>
      </w:r>
      <w:r w:rsidRPr="00D4155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41556" w:rsidR="00D41556" w:rsidP="00D41556" w:rsidRDefault="00D41556" w14:paraId="0ACE9289" w14:textId="77777777">
      <w:pPr>
        <w:jc w:val="both"/>
        <w:rPr>
          <w:bCs/>
        </w:rPr>
      </w:pPr>
    </w:p>
    <w:p w:rsidRPr="00D41556" w:rsidR="00D41556" w:rsidP="00D41556" w:rsidRDefault="00D41556" w14:paraId="31D840C0" w14:textId="77777777">
      <w:pPr>
        <w:jc w:val="both"/>
        <w:rPr>
          <w:bCs/>
          <w:lang w:val="es-PE"/>
        </w:rPr>
      </w:pPr>
      <w:r w:rsidRPr="00D41556">
        <w:rPr>
          <w:b/>
          <w:bCs/>
          <w:u w:val="single"/>
          <w:lang w:val="es-PE"/>
        </w:rPr>
        <w:t>Segundo</w:t>
      </w:r>
      <w:r w:rsidRPr="00D41556">
        <w:rPr>
          <w:b/>
          <w:bCs/>
          <w:lang w:val="es-PE"/>
        </w:rPr>
        <w:t>:</w:t>
      </w:r>
      <w:r w:rsidRPr="00D41556">
        <w:rPr>
          <w:bCs/>
          <w:lang w:val="es-PE"/>
        </w:rPr>
        <w:t xml:space="preserve"> </w:t>
      </w:r>
      <w:r w:rsidRPr="00D41556">
        <w:rPr>
          <w:lang w:val="es-PE"/>
        </w:rPr>
        <w:t xml:space="preserve">Asimismo, de acuerdo a </w:t>
      </w:r>
      <w:r w:rsidRPr="00D4155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41556" w:rsidR="00D41556" w:rsidP="00D41556" w:rsidRDefault="00D41556" w14:paraId="5038DB51" w14:textId="77777777">
      <w:pPr>
        <w:jc w:val="both"/>
        <w:rPr>
          <w:lang w:val="es-PE"/>
        </w:rPr>
      </w:pPr>
    </w:p>
    <w:p w:rsidRPr="00D41556" w:rsidR="00D41556" w:rsidP="00D41556" w:rsidRDefault="00D41556" w14:paraId="30429CE6" w14:textId="77777777">
      <w:pPr>
        <w:jc w:val="both"/>
      </w:pPr>
      <w:r w:rsidRPr="00D41556">
        <w:rPr>
          <w:b/>
          <w:bCs/>
          <w:u w:val="single"/>
          <w:lang w:val="es-PE"/>
        </w:rPr>
        <w:t>Tercero</w:t>
      </w:r>
      <w:r w:rsidRPr="00D41556">
        <w:rPr>
          <w:b/>
          <w:bCs/>
          <w:lang w:val="es-PE"/>
        </w:rPr>
        <w:t>:</w:t>
      </w:r>
      <w:r w:rsidRPr="00D41556">
        <w:rPr>
          <w:lang w:val="es-PE"/>
        </w:rPr>
        <w:t xml:space="preserve"> De acuerdo con la Ley Nro. </w:t>
      </w:r>
      <w:r w:rsidRPr="00D41556">
        <w:t xml:space="preserve">29946 – Ley del Contrato de Seguro, norma legal vigente con ocasión de la celebración del contrato al cual se contrae el presente caso, </w:t>
      </w:r>
      <w:r w:rsidRPr="00D4155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41556" w:rsidR="00D41556" w:rsidP="00D41556" w:rsidRDefault="00D41556" w14:paraId="068A01AB" w14:textId="77777777">
      <w:pPr>
        <w:jc w:val="both"/>
        <w:rPr>
          <w:b/>
          <w:u w:val="single"/>
          <w:lang w:val="es-PE"/>
        </w:rPr>
      </w:pPr>
    </w:p>
    <w:p w:rsidRPr="00D41556" w:rsidR="00D41556" w:rsidP="00D41556" w:rsidRDefault="00D41556" w14:paraId="776EB5FD" w14:textId="77777777">
      <w:pPr>
        <w:jc w:val="both"/>
        <w:rPr>
          <w:lang w:val="es-PE"/>
        </w:rPr>
      </w:pPr>
      <w:r w:rsidRPr="00D41556">
        <w:rPr>
          <w:b/>
          <w:u w:val="single"/>
          <w:lang w:val="es-PE"/>
        </w:rPr>
        <w:t>Cuarto</w:t>
      </w:r>
      <w:r w:rsidRPr="00D41556">
        <w:rPr>
          <w:b/>
          <w:lang w:val="es-PE"/>
        </w:rPr>
        <w:t>:</w:t>
      </w:r>
      <w:r w:rsidRPr="00D41556">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D41556" w:rsidR="00D41556" w:rsidP="00D41556" w:rsidRDefault="00D41556" w14:paraId="6D48A5F1" w14:textId="77777777">
      <w:pPr>
        <w:jc w:val="both"/>
        <w:rPr>
          <w:rStyle w:val="Textoennegrita"/>
          <w:b w:val="0"/>
        </w:rPr>
      </w:pPr>
    </w:p>
    <w:p w:rsidRPr="00D41556" w:rsidR="00D41556" w:rsidP="00D41556" w:rsidRDefault="00D41556" w14:paraId="1712F248" w14:textId="77777777">
      <w:pPr>
        <w:jc w:val="both"/>
        <w:rPr>
          <w:lang w:val="es-PE"/>
        </w:rPr>
      </w:pPr>
      <w:r w:rsidRPr="00D41556">
        <w:rPr>
          <w:rStyle w:val="Textoennegrita"/>
          <w:u w:val="single"/>
          <w:lang w:val="es-PE"/>
        </w:rPr>
        <w:t>Quinto</w:t>
      </w:r>
      <w:r w:rsidRPr="00D41556">
        <w:rPr>
          <w:rStyle w:val="Textoennegrita"/>
          <w:lang w:val="es-PE"/>
        </w:rPr>
        <w:t xml:space="preserve">: </w:t>
      </w:r>
      <w:r w:rsidRPr="00D41556">
        <w:rPr>
          <w:rStyle w:val="Textoennegrita"/>
          <w:b w:val="0"/>
        </w:rPr>
        <w:t xml:space="preserve">Que, conforme a lo expuesto en la reclamación, </w:t>
      </w:r>
      <w:r w:rsidRPr="00D41556">
        <w:rPr>
          <w:lang w:val="es-PE"/>
        </w:rPr>
        <w:t>en la absolución de esta, y a lo tratado en la audiencia de vista, la cuestión controvertida radica en determinar si el rechazo de cobertura resulta o no legítimo.</w:t>
      </w:r>
    </w:p>
    <w:p w:rsidRPr="00D41556" w:rsidR="00D41556" w:rsidP="00D41556" w:rsidRDefault="00D41556" w14:paraId="4CE58501" w14:textId="77777777">
      <w:pPr>
        <w:jc w:val="both"/>
        <w:rPr>
          <w:lang w:val="es-PE"/>
        </w:rPr>
      </w:pPr>
    </w:p>
    <w:p w:rsidRPr="00D41556" w:rsidR="00D41556" w:rsidP="00D41556" w:rsidRDefault="00D41556" w14:paraId="1C2C50D5" w14:textId="77777777">
      <w:pPr>
        <w:tabs>
          <w:tab w:val="left" w:pos="2160"/>
        </w:tabs>
        <w:jc w:val="both"/>
        <w:rPr>
          <w:lang w:val="es-PE"/>
        </w:rPr>
      </w:pPr>
      <w:r w:rsidRPr="00D41556">
        <w:rPr>
          <w:b/>
          <w:u w:val="single"/>
        </w:rPr>
        <w:t>Sexto</w:t>
      </w:r>
      <w:r w:rsidRPr="00D41556">
        <w:rPr>
          <w:b/>
        </w:rPr>
        <w:t>:</w:t>
      </w:r>
      <w:r w:rsidRPr="00D41556">
        <w:rPr>
          <w:b/>
          <w:lang w:val="es-PE"/>
        </w:rPr>
        <w:t xml:space="preserve"> </w:t>
      </w:r>
      <w:r w:rsidRPr="00D41556">
        <w:rPr>
          <w:bCs/>
          <w:lang w:val="es-PE"/>
        </w:rPr>
        <w:t>R</w:t>
      </w:r>
      <w:r w:rsidRPr="00D41556">
        <w:rPr>
          <w:lang w:val="es-PE"/>
        </w:rPr>
        <w:t>evisados las posiciones y anexos presentadas por las partes, el presente Colegiado considera que el punto objeto de controversia reside en el concepto de “</w:t>
      </w:r>
      <w:r w:rsidRPr="00D41556">
        <w:rPr>
          <w:i/>
          <w:iCs/>
          <w:lang w:val="es-PE"/>
        </w:rPr>
        <w:t xml:space="preserve">valor comercial” </w:t>
      </w:r>
      <w:r w:rsidRPr="00D41556">
        <w:rPr>
          <w:lang w:val="es-PE"/>
        </w:rPr>
        <w:t xml:space="preserve">que alega cada parte. En ese sentido, conviene recordar de qué forma queda </w:t>
      </w:r>
      <w:proofErr w:type="gramStart"/>
      <w:r w:rsidRPr="00D41556">
        <w:rPr>
          <w:lang w:val="es-PE"/>
        </w:rPr>
        <w:t>definido dicha</w:t>
      </w:r>
      <w:proofErr w:type="gramEnd"/>
      <w:r w:rsidRPr="00D41556">
        <w:rPr>
          <w:lang w:val="es-PE"/>
        </w:rPr>
        <w:t xml:space="preserve"> frase en la póliza:</w:t>
      </w:r>
    </w:p>
    <w:p w:rsidRPr="00D41556" w:rsidR="00D41556" w:rsidP="00D41556" w:rsidRDefault="00D41556" w14:paraId="6B25AA35" w14:textId="77777777">
      <w:pPr>
        <w:tabs>
          <w:tab w:val="left" w:pos="2160"/>
        </w:tabs>
        <w:jc w:val="both"/>
        <w:rPr>
          <w:lang w:val="es-PE"/>
        </w:rPr>
      </w:pPr>
    </w:p>
    <w:p w:rsidRPr="00D41556" w:rsidR="00D41556" w:rsidP="00D41556" w:rsidRDefault="00D41556" w14:paraId="1EFFA140" w14:textId="77777777">
      <w:pPr>
        <w:tabs>
          <w:tab w:val="left" w:pos="2160"/>
        </w:tabs>
        <w:ind w:left="1418"/>
        <w:jc w:val="both"/>
        <w:rPr>
          <w:b/>
          <w:bCs/>
          <w:lang w:val="es-PE"/>
        </w:rPr>
      </w:pPr>
      <w:r w:rsidRPr="00D41556">
        <w:rPr>
          <w:b/>
          <w:bCs/>
          <w:lang w:val="es-PE"/>
        </w:rPr>
        <w:t>1.16 VALOR COMERCIAL</w:t>
      </w:r>
    </w:p>
    <w:p w:rsidRPr="00D41556" w:rsidR="00D41556" w:rsidP="00D41556" w:rsidRDefault="00D41556" w14:paraId="4FD9E09A" w14:textId="77777777">
      <w:pPr>
        <w:tabs>
          <w:tab w:val="left" w:pos="2160"/>
        </w:tabs>
        <w:ind w:left="1418"/>
        <w:jc w:val="both"/>
        <w:rPr>
          <w:lang w:val="es-PE"/>
        </w:rPr>
      </w:pPr>
      <w:r w:rsidRPr="00D41556">
        <w:rPr>
          <w:lang w:val="es-PE"/>
        </w:rPr>
        <w:t xml:space="preserve">Es el valor de mercado de un vehículo de la misma marca, año, modelo y estado de conservación del vehículo asegurado en el mercado peruano a la fecha del siniestro. </w:t>
      </w:r>
      <w:r w:rsidRPr="00D41556">
        <w:rPr>
          <w:b/>
          <w:bCs/>
          <w:u w:val="single"/>
          <w:lang w:val="es-PE"/>
        </w:rPr>
        <w:t>Esta valorización es según la lista referencial de precios de vehículos emitida por la Asociación Peruana de Empresas de Seguros (APESEG), revistas y/o empresas especializadas en el tema</w:t>
      </w:r>
      <w:r w:rsidRPr="00D41556">
        <w:rPr>
          <w:lang w:val="es-PE"/>
        </w:rPr>
        <w:t>.</w:t>
      </w:r>
    </w:p>
    <w:p w:rsidRPr="00D41556" w:rsidR="00D41556" w:rsidP="00D41556" w:rsidRDefault="00D41556" w14:paraId="748A514E" w14:textId="77777777">
      <w:pPr>
        <w:tabs>
          <w:tab w:val="left" w:pos="2160"/>
        </w:tabs>
        <w:jc w:val="right"/>
        <w:rPr>
          <w:lang w:val="es-PE"/>
        </w:rPr>
      </w:pPr>
      <w:r w:rsidRPr="00D41556">
        <w:rPr>
          <w:lang w:val="es-PE"/>
        </w:rPr>
        <w:t>[resaltado en negritas y subrayado de nuestra autoría]</w:t>
      </w:r>
    </w:p>
    <w:p w:rsidRPr="00D41556" w:rsidR="00D41556" w:rsidP="00D41556" w:rsidRDefault="00D41556" w14:paraId="795E039C" w14:textId="77777777">
      <w:pPr>
        <w:tabs>
          <w:tab w:val="left" w:pos="2160"/>
        </w:tabs>
        <w:jc w:val="right"/>
        <w:rPr>
          <w:lang w:val="es-PE"/>
        </w:rPr>
      </w:pPr>
    </w:p>
    <w:p w:rsidRPr="00D41556" w:rsidR="00D41556" w:rsidP="00D41556" w:rsidRDefault="00D41556" w14:paraId="26BD75A1" w14:textId="77777777">
      <w:pPr>
        <w:tabs>
          <w:tab w:val="left" w:pos="2160"/>
        </w:tabs>
        <w:jc w:val="both"/>
        <w:rPr>
          <w:lang w:val="es-PE"/>
        </w:rPr>
      </w:pPr>
      <w:r w:rsidRPr="00D41556">
        <w:rPr>
          <w:lang w:val="es-PE"/>
        </w:rPr>
        <w:t>En ese sentido, según la póliza, para definir el valor comercial de un vehículo resulta necesaria alguna de las siguientes alternativas:</w:t>
      </w:r>
    </w:p>
    <w:p w:rsidRPr="00D41556" w:rsidR="00D41556" w:rsidP="00D41556" w:rsidRDefault="00D41556" w14:paraId="4D566200" w14:textId="77777777">
      <w:pPr>
        <w:tabs>
          <w:tab w:val="left" w:pos="2160"/>
        </w:tabs>
        <w:jc w:val="both"/>
        <w:rPr>
          <w:lang w:val="es-PE"/>
        </w:rPr>
      </w:pPr>
    </w:p>
    <w:p w:rsidRPr="00D41556" w:rsidR="00D41556" w:rsidP="00D41556" w:rsidRDefault="00D41556" w14:paraId="05FA82E7" w14:textId="77777777">
      <w:pPr>
        <w:pStyle w:val="Prrafodelista"/>
        <w:numPr>
          <w:ilvl w:val="0"/>
          <w:numId w:val="32"/>
        </w:numPr>
        <w:tabs>
          <w:tab w:val="left" w:pos="2160"/>
        </w:tabs>
        <w:jc w:val="both"/>
        <w:rPr>
          <w:lang w:val="es-PE"/>
        </w:rPr>
      </w:pPr>
      <w:bookmarkStart w:name="_Hlk138345033" w:id="0"/>
      <w:r w:rsidRPr="00D41556">
        <w:rPr>
          <w:lang w:val="es-PE"/>
        </w:rPr>
        <w:t>La lista referencial de precios de vehículos emitida por la APESEG</w:t>
      </w:r>
      <w:r w:rsidRPr="00D41556">
        <w:rPr>
          <w:rStyle w:val="Refdenotaalpie"/>
          <w:lang w:val="es-PE"/>
        </w:rPr>
        <w:footnoteReference w:id="1"/>
      </w:r>
      <w:r w:rsidRPr="00D41556">
        <w:rPr>
          <w:lang w:val="es-PE"/>
        </w:rPr>
        <w:t>.</w:t>
      </w:r>
    </w:p>
    <w:p w:rsidRPr="00D41556" w:rsidR="00D41556" w:rsidP="00D41556" w:rsidRDefault="00D41556" w14:paraId="767C96C8" w14:textId="77777777">
      <w:pPr>
        <w:pStyle w:val="Prrafodelista"/>
        <w:numPr>
          <w:ilvl w:val="0"/>
          <w:numId w:val="32"/>
        </w:numPr>
        <w:tabs>
          <w:tab w:val="left" w:pos="2160"/>
        </w:tabs>
        <w:jc w:val="both"/>
        <w:rPr>
          <w:lang w:val="es-PE"/>
        </w:rPr>
      </w:pPr>
      <w:r w:rsidRPr="00D41556">
        <w:rPr>
          <w:lang w:val="es-PE"/>
        </w:rPr>
        <w:t>Revistas especializadas en el tema.</w:t>
      </w:r>
    </w:p>
    <w:p w:rsidRPr="00D41556" w:rsidR="00D41556" w:rsidP="00D41556" w:rsidRDefault="00D41556" w14:paraId="24B15FB5" w14:textId="77777777">
      <w:pPr>
        <w:pStyle w:val="Prrafodelista"/>
        <w:numPr>
          <w:ilvl w:val="0"/>
          <w:numId w:val="32"/>
        </w:numPr>
        <w:tabs>
          <w:tab w:val="left" w:pos="2160"/>
        </w:tabs>
        <w:jc w:val="both"/>
        <w:rPr>
          <w:lang w:val="es-PE"/>
        </w:rPr>
      </w:pPr>
      <w:r w:rsidRPr="00D41556">
        <w:rPr>
          <w:lang w:val="es-PE"/>
        </w:rPr>
        <w:t>Empresas especializadas en el tema.</w:t>
      </w:r>
    </w:p>
    <w:bookmarkEnd w:id="0"/>
    <w:p w:rsidRPr="00D41556" w:rsidR="00D41556" w:rsidP="00D41556" w:rsidRDefault="00D41556" w14:paraId="43B16FB5" w14:textId="77777777">
      <w:pPr>
        <w:tabs>
          <w:tab w:val="left" w:pos="2160"/>
        </w:tabs>
        <w:jc w:val="both"/>
        <w:rPr>
          <w:lang w:val="es-PE"/>
        </w:rPr>
      </w:pPr>
    </w:p>
    <w:p w:rsidRPr="00D41556" w:rsidR="00D41556" w:rsidP="00D41556" w:rsidRDefault="00D41556" w14:paraId="09173B23" w14:textId="77777777">
      <w:pPr>
        <w:tabs>
          <w:tab w:val="left" w:pos="2160"/>
        </w:tabs>
        <w:jc w:val="both"/>
        <w:rPr>
          <w:lang w:val="es-PE"/>
        </w:rPr>
      </w:pPr>
      <w:r w:rsidRPr="00D41556">
        <w:rPr>
          <w:lang w:val="es-PE"/>
        </w:rPr>
        <w:t>Cualesquiera de dichas alternativas podrán servir a la aseguradora para determinar cuál es el valor comercial de un vehículo. Queda claro que la lista es de naturaleza taxativa, es decir cerrada, y no autoriza a ninguna de las partes a acudir a un medio alternativo que no se encuentre en dicho listado.</w:t>
      </w:r>
    </w:p>
    <w:p w:rsidRPr="00D41556" w:rsidR="00D41556" w:rsidP="00D41556" w:rsidRDefault="00D41556" w14:paraId="5B447306" w14:textId="77777777">
      <w:pPr>
        <w:tabs>
          <w:tab w:val="left" w:pos="2160"/>
        </w:tabs>
        <w:jc w:val="both"/>
        <w:rPr>
          <w:lang w:val="es-PE"/>
        </w:rPr>
      </w:pPr>
    </w:p>
    <w:p w:rsidRPr="00D41556" w:rsidR="00D41556" w:rsidP="00D41556" w:rsidRDefault="00D41556" w14:paraId="6BFD87B1" w14:textId="77777777">
      <w:pPr>
        <w:jc w:val="both"/>
        <w:rPr>
          <w:lang w:val="es-PE"/>
        </w:rPr>
      </w:pPr>
      <w:r w:rsidRPr="00D41556">
        <w:rPr>
          <w:b/>
          <w:u w:val="single"/>
          <w:lang w:val="es-PE"/>
        </w:rPr>
        <w:t>Sétimo:</w:t>
      </w:r>
      <w:r w:rsidRPr="00D41556">
        <w:rPr>
          <w:lang w:val="es-PE"/>
        </w:rPr>
        <w:t xml:space="preserve"> De los actuados en el presente procedimiento podemos apreciar que la aseguradora basa su liquidación en un análisis de precios extraído de la web OLX. Tal conclusión es respaldada por la información extraída de la cadena de correos adjunta en los descargos de la aseguradora, ya que esta no ha cumplido con especificar cuál fue su metodología de cálculo. En ese sentido, en la referida cadena de correos se aprecia que el representante del reclamante refiere constantemente que la aseguradora se valió de dicha web para realizar su cálculo, lo que no fue negado por la aseguradora en ninguna oportunidad.</w:t>
      </w:r>
    </w:p>
    <w:p w:rsidRPr="00D41556" w:rsidR="00D41556" w:rsidP="00D41556" w:rsidRDefault="00D41556" w14:paraId="784B7B52" w14:textId="77777777">
      <w:pPr>
        <w:jc w:val="both"/>
        <w:rPr>
          <w:lang w:val="es-PE"/>
        </w:rPr>
      </w:pPr>
    </w:p>
    <w:p w:rsidRPr="00D41556" w:rsidR="00D41556" w:rsidP="00D41556" w:rsidRDefault="00D41556" w14:paraId="02C6F9E5" w14:textId="77777777">
      <w:pPr>
        <w:jc w:val="both"/>
        <w:rPr>
          <w:lang w:val="es-PE"/>
        </w:rPr>
      </w:pPr>
      <w:r w:rsidRPr="00D41556">
        <w:rPr>
          <w:lang w:val="es-PE"/>
        </w:rPr>
        <w:t>De otro lado, el reclamante afirma que cuenta con alternativas de valoración, tales como los valores de coberturas consignados en pólizas de otras aseguradoras o, también, los valores consignados por el banco Scotiabank con miras a ventas de vehículos o para la determinación del valor del bien al momento de constituir sobre él una garantía mobiliaria. En ese sentido se aprecia el documento titulado “Detalle de Liquidación”, donde se confirma lo señalado y se realizan cálculos alternativos al realizado por la aseguradora, basados en las alternativas previamente señaladas en el presente párrafo.</w:t>
      </w:r>
    </w:p>
    <w:p w:rsidRPr="00D41556" w:rsidR="00D41556" w:rsidP="00D41556" w:rsidRDefault="00D41556" w14:paraId="266D7878" w14:textId="77777777">
      <w:pPr>
        <w:jc w:val="both"/>
        <w:rPr>
          <w:lang w:val="es-PE"/>
        </w:rPr>
      </w:pPr>
    </w:p>
    <w:p w:rsidRPr="00D41556" w:rsidR="00D41556" w:rsidP="00D41556" w:rsidRDefault="00D41556" w14:paraId="50B368DD" w14:textId="77777777">
      <w:pPr>
        <w:jc w:val="both"/>
        <w:rPr>
          <w:lang w:val="es-PE"/>
        </w:rPr>
      </w:pPr>
      <w:r w:rsidRPr="00D41556">
        <w:rPr>
          <w:b/>
          <w:u w:val="single"/>
          <w:lang w:val="es-PE"/>
        </w:rPr>
        <w:t>Octavo:</w:t>
      </w:r>
      <w:r w:rsidRPr="00D41556">
        <w:rPr>
          <w:lang w:val="es-PE"/>
        </w:rPr>
        <w:t xml:space="preserve">  El análisis de las documentos y propuestas de cada una de las partes para determinar el valor comercial permite concluir que ninguno de ellos calza dentro de las tres fuentes de información que la póliza considera como válidas para determinar dicho valor. </w:t>
      </w:r>
    </w:p>
    <w:p w:rsidRPr="00D41556" w:rsidR="00D41556" w:rsidP="00D41556" w:rsidRDefault="00D41556" w14:paraId="0DCACBE4" w14:textId="77777777">
      <w:pPr>
        <w:jc w:val="both"/>
        <w:rPr>
          <w:lang w:val="es-PE"/>
        </w:rPr>
      </w:pPr>
    </w:p>
    <w:p w:rsidRPr="00D41556" w:rsidR="00D41556" w:rsidP="00D41556" w:rsidRDefault="00D41556" w14:paraId="37FCA8FE" w14:textId="77777777">
      <w:pPr>
        <w:jc w:val="both"/>
        <w:rPr>
          <w:lang w:val="es-PE"/>
        </w:rPr>
      </w:pPr>
      <w:r w:rsidRPr="00D41556">
        <w:rPr>
          <w:lang w:val="es-PE"/>
        </w:rPr>
        <w:t xml:space="preserve">Respecto a la propuesta de la aseguradora, la web de OLX no resulta, de forma alguna, una revista o una </w:t>
      </w:r>
      <w:r w:rsidRPr="00D41556">
        <w:rPr>
          <w:i/>
          <w:iCs/>
          <w:lang w:val="es-PE"/>
        </w:rPr>
        <w:t xml:space="preserve">empresa especializada </w:t>
      </w:r>
      <w:r w:rsidRPr="00D41556">
        <w:rPr>
          <w:lang w:val="es-PE"/>
        </w:rPr>
        <w:t xml:space="preserve">en la valoración de vehículos, ni es o ha sido derivada de la lista referencial de precios de vehículos emitida por la APESEG. Por el contrario, </w:t>
      </w:r>
      <w:r w:rsidRPr="00D41556">
        <w:rPr>
          <w:lang w:val="es-PE"/>
        </w:rPr>
        <w:lastRenderedPageBreak/>
        <w:t>más allá de que sus operaciones finalizaron en el país</w:t>
      </w:r>
      <w:r w:rsidRPr="00D41556">
        <w:rPr>
          <w:rStyle w:val="Refdenotaalpie"/>
          <w:lang w:val="es-PE"/>
        </w:rPr>
        <w:footnoteReference w:id="2"/>
      </w:r>
      <w:r w:rsidRPr="00D41556">
        <w:rPr>
          <w:lang w:val="es-PE"/>
        </w:rPr>
        <w:t xml:space="preserve">, dicho portal solo funcionó como una plataforma para que particulares ofrezcan sus vehículos a los precios que estos consideren a su libre criterio. En buena cuenta, solo era un portal para que particulares realicen operaciones privadas de </w:t>
      </w:r>
      <w:proofErr w:type="gramStart"/>
      <w:r w:rsidRPr="00D41556">
        <w:rPr>
          <w:lang w:val="es-PE"/>
        </w:rPr>
        <w:t>compra venta</w:t>
      </w:r>
      <w:proofErr w:type="gramEnd"/>
      <w:r w:rsidRPr="00D41556">
        <w:rPr>
          <w:lang w:val="es-PE"/>
        </w:rPr>
        <w:t xml:space="preserve">, mas no resultaba -de modo alguno- una empresa </w:t>
      </w:r>
      <w:r w:rsidRPr="00D41556">
        <w:rPr>
          <w:i/>
          <w:iCs/>
          <w:lang w:val="es-PE"/>
        </w:rPr>
        <w:t xml:space="preserve">especializada </w:t>
      </w:r>
      <w:r w:rsidRPr="00D41556">
        <w:rPr>
          <w:lang w:val="es-PE"/>
        </w:rPr>
        <w:t xml:space="preserve">en valoración de vehículos. Así pues, de lo que se ha podido apreciar en los actuados, no existe un trabajo </w:t>
      </w:r>
      <w:r w:rsidRPr="00D41556">
        <w:rPr>
          <w:i/>
          <w:iCs/>
          <w:lang w:val="es-PE"/>
        </w:rPr>
        <w:t xml:space="preserve">especializado </w:t>
      </w:r>
      <w:r w:rsidRPr="00D41556">
        <w:rPr>
          <w:lang w:val="es-PE"/>
        </w:rPr>
        <w:t>de valoración, tal como exige la cláusula alegada por la propia aseguradora.</w:t>
      </w:r>
    </w:p>
    <w:p w:rsidRPr="00D41556" w:rsidR="00D41556" w:rsidP="00D41556" w:rsidRDefault="00D41556" w14:paraId="72EBF6D5" w14:textId="77777777">
      <w:pPr>
        <w:jc w:val="both"/>
        <w:rPr>
          <w:lang w:val="es-PE"/>
        </w:rPr>
      </w:pPr>
    </w:p>
    <w:p w:rsidRPr="00D41556" w:rsidR="00D41556" w:rsidP="00D41556" w:rsidRDefault="00D41556" w14:paraId="61692C0F" w14:textId="15EB8ECE">
      <w:pPr>
        <w:jc w:val="both"/>
        <w:rPr>
          <w:lang w:val="es-PE"/>
        </w:rPr>
      </w:pPr>
      <w:r w:rsidRPr="0D879AD3" w:rsidR="00D41556">
        <w:rPr>
          <w:lang w:val="es-PE"/>
        </w:rPr>
        <w:t>Por otro lado, la lista de ventas o el valor asignado al vehículo para la constitución de la garantía mobiliaria constituida a favor del Scotiabank, así como una póliza emitida por una aseguradora distinta a la reclamada, tampoco calzan en alguna de dichas fuentes de obtención del valor comercial, conforme a la póliza. En particular, no resulta posible equiparar el valor otorgado por empresas del sistema de seguros que no guardan relación con el presente caso (</w:t>
      </w:r>
      <w:r w:rsidRPr="0D879AD3" w:rsidR="35E206C1">
        <w:rPr>
          <w:lang w:val="es-PE"/>
        </w:rPr>
        <w:t>..............</w:t>
      </w:r>
      <w:r w:rsidRPr="0D879AD3" w:rsidR="00D41556">
        <w:rPr>
          <w:lang w:val="es-PE"/>
        </w:rPr>
        <w:t xml:space="preserve">, por ejemplo), en tanto el concepto de </w:t>
      </w:r>
      <w:r w:rsidRPr="0D879AD3" w:rsidR="00D41556">
        <w:rPr>
          <w:i w:val="1"/>
          <w:iCs w:val="1"/>
          <w:lang w:val="es-PE"/>
        </w:rPr>
        <w:t xml:space="preserve">valor comercial </w:t>
      </w:r>
      <w:r w:rsidRPr="0D879AD3" w:rsidR="00D41556">
        <w:rPr>
          <w:lang w:val="es-PE"/>
        </w:rPr>
        <w:t>que se viene analizando en el presente procedimiento viene dictado por la póliza, la que resulta del específico negocio jurídico privado que concierte -únicamente- al reclamante y la aseguradora. No resulta posible concluir que la forma de valorizar de otros entes del sistema de seguros sea la misma ni, tampoco, que se rija por las mismas reglas definidas en la póliza;</w:t>
      </w:r>
    </w:p>
    <w:p w:rsidRPr="00D41556" w:rsidR="00D41556" w:rsidP="00D41556" w:rsidRDefault="00D41556" w14:paraId="1ACC1DD5" w14:textId="77777777">
      <w:pPr>
        <w:jc w:val="both"/>
        <w:rPr>
          <w:lang w:val="es-PE"/>
        </w:rPr>
      </w:pPr>
    </w:p>
    <w:p w:rsidRPr="00D41556" w:rsidR="00D41556" w:rsidP="00D41556" w:rsidRDefault="00D41556" w14:paraId="23A13AD0" w14:textId="77777777">
      <w:pPr>
        <w:jc w:val="both"/>
        <w:rPr>
          <w:lang w:val="es-PE"/>
        </w:rPr>
      </w:pPr>
      <w:r w:rsidRPr="00D41556">
        <w:rPr>
          <w:lang w:val="es-PE"/>
        </w:rPr>
        <w:t>Conforme se puede apreciar, ninguna de las partes ha ofrecido alternativas de valoración que se ajusten a las disposiciones de la póliza, siendo que la aseguradora -al momento de elaborar la liquidación correspondiente- se encuentra obligada a respetar lo establecido en ella. Por tal motivo, resulta imperativo que la aseguradora ajuste sus procedimientos a lo establecido en la póliza y emita un nuevo pronunciamiento conforme a ello, estableciendo el valor comercial sobre la base de la información que deba obtenerse únicamente de alguna de las tres fuentes de información establecidas en la póliza, vale decir: a) la lista referencial de precios de vehículos emitida por la APESEG, b) revistas especializadas en el tema y c) empresas especializadas en el tema.</w:t>
      </w:r>
    </w:p>
    <w:p w:rsidRPr="00D41556" w:rsidR="00D41556" w:rsidP="00D41556" w:rsidRDefault="00D41556" w14:paraId="7B5A0D82" w14:textId="77777777">
      <w:pPr>
        <w:jc w:val="both"/>
        <w:rPr>
          <w:lang w:val="es-PE"/>
        </w:rPr>
      </w:pPr>
    </w:p>
    <w:p w:rsidRPr="00D41556" w:rsidR="00D41556" w:rsidP="00D41556" w:rsidRDefault="00D41556" w14:paraId="48C52D29" w14:textId="77777777">
      <w:pPr>
        <w:tabs>
          <w:tab w:val="left" w:pos="2160"/>
        </w:tabs>
        <w:jc w:val="both"/>
        <w:rPr>
          <w:lang w:val="es-PE"/>
        </w:rPr>
      </w:pPr>
      <w:r w:rsidRPr="00D41556">
        <w:rPr>
          <w:lang w:val="es-PE"/>
        </w:rPr>
        <w:t>En consecuencia, se aprecia que la liquidación del siniestro realizada por la aseguradora no se ajusta a las condiciones dispuestas en la póliza, por lo que debe ser reformulada.</w:t>
      </w:r>
    </w:p>
    <w:p w:rsidRPr="00D41556" w:rsidR="00D41556" w:rsidP="00D41556" w:rsidRDefault="00D41556" w14:paraId="4F625E54" w14:textId="77777777">
      <w:pPr>
        <w:tabs>
          <w:tab w:val="left" w:pos="2160"/>
        </w:tabs>
        <w:jc w:val="both"/>
      </w:pPr>
    </w:p>
    <w:p w:rsidRPr="00D41556" w:rsidR="00D41556" w:rsidP="00D41556" w:rsidRDefault="00D41556" w14:paraId="0BC98D97" w14:textId="77777777">
      <w:pPr>
        <w:tabs>
          <w:tab w:val="left" w:pos="2160"/>
        </w:tabs>
        <w:jc w:val="both"/>
        <w:rPr>
          <w:b/>
          <w:lang w:val="es-PE"/>
        </w:rPr>
      </w:pPr>
      <w:r w:rsidRPr="00D41556">
        <w:rPr>
          <w:b/>
          <w:lang w:val="es-PE"/>
        </w:rPr>
        <w:t xml:space="preserve">Atendiendo a lo expresado, este colegiado </w:t>
      </w:r>
      <w:r w:rsidRPr="00D41556">
        <w:rPr>
          <w:b/>
        </w:rPr>
        <w:t>concluye su apreciación razonada y conjunta al amparo de lo establecido en su Reglamento, por lo que</w:t>
      </w:r>
      <w:r w:rsidRPr="00D41556">
        <w:rPr>
          <w:b/>
          <w:lang w:val="es-PE"/>
        </w:rPr>
        <w:t xml:space="preserve"> </w:t>
      </w:r>
    </w:p>
    <w:p w:rsidRPr="00D41556" w:rsidR="00D41556" w:rsidP="00D41556" w:rsidRDefault="00D41556" w14:paraId="79D3641D" w14:textId="77777777">
      <w:pPr>
        <w:tabs>
          <w:tab w:val="left" w:pos="2160"/>
        </w:tabs>
        <w:jc w:val="both"/>
        <w:rPr>
          <w:b/>
          <w:lang w:val="es-PE"/>
        </w:rPr>
      </w:pPr>
    </w:p>
    <w:p w:rsidRPr="00D41556" w:rsidR="00D41556" w:rsidP="00D41556" w:rsidRDefault="00D41556" w14:paraId="3DB49BA7" w14:textId="77777777">
      <w:pPr>
        <w:tabs>
          <w:tab w:val="left" w:pos="2160"/>
        </w:tabs>
        <w:jc w:val="both"/>
        <w:rPr>
          <w:b/>
        </w:rPr>
      </w:pPr>
      <w:r w:rsidRPr="00D41556">
        <w:rPr>
          <w:b/>
          <w:lang w:val="es-PE"/>
        </w:rPr>
        <w:t>Resuelve:</w:t>
      </w:r>
    </w:p>
    <w:p w:rsidRPr="00D41556" w:rsidR="00D41556" w:rsidP="00D41556" w:rsidRDefault="00D41556" w14:paraId="54C43DE4" w14:textId="77777777">
      <w:pPr>
        <w:tabs>
          <w:tab w:val="left" w:pos="2160"/>
        </w:tabs>
        <w:jc w:val="both"/>
      </w:pPr>
    </w:p>
    <w:p w:rsidRPr="00D41556" w:rsidR="00D41556" w:rsidP="00D41556" w:rsidRDefault="00D41556" w14:paraId="07874712" w14:textId="76DB21E1">
      <w:pPr>
        <w:tabs>
          <w:tab w:val="left" w:pos="2160"/>
        </w:tabs>
        <w:jc w:val="both"/>
        <w:rPr>
          <w:lang w:val="es-PE"/>
        </w:rPr>
      </w:pPr>
      <w:r w:rsidRPr="0D879AD3" w:rsidR="00D41556">
        <w:rPr>
          <w:lang w:val="es-PE"/>
        </w:rPr>
        <w:t xml:space="preserve">Declarar </w:t>
      </w:r>
      <w:r w:rsidRPr="0D879AD3" w:rsidR="00D41556">
        <w:rPr>
          <w:b w:val="1"/>
          <w:bCs w:val="1"/>
          <w:lang w:val="es-PE"/>
        </w:rPr>
        <w:t xml:space="preserve">FUNDADA EN PARTE </w:t>
      </w:r>
      <w:r w:rsidRPr="0D879AD3" w:rsidR="00D41556">
        <w:rPr>
          <w:lang w:val="es-PE"/>
        </w:rPr>
        <w:t xml:space="preserve">la reclamación interpuesta por </w:t>
      </w:r>
      <w:r w:rsidRPr="0D879AD3" w:rsidR="6E027044">
        <w:rPr>
          <w:b w:val="1"/>
          <w:bCs w:val="1"/>
          <w:lang w:val="es-PE"/>
        </w:rPr>
        <w:t>..................................................................................................</w:t>
      </w:r>
      <w:r w:rsidRPr="0D879AD3" w:rsidR="00D41556">
        <w:rPr>
          <w:b w:val="1"/>
          <w:bCs w:val="1"/>
          <w:lang w:val="es-PE"/>
        </w:rPr>
        <w:t xml:space="preserve"> </w:t>
      </w:r>
      <w:r w:rsidRPr="0D879AD3" w:rsidR="00D41556">
        <w:rPr>
          <w:lang w:val="es-PE"/>
        </w:rPr>
        <w:t xml:space="preserve">contra </w:t>
      </w:r>
      <w:r w:rsidRPr="0D879AD3" w:rsidR="75AC049B">
        <w:rPr>
          <w:b w:val="1"/>
          <w:bCs w:val="1"/>
        </w:rPr>
        <w:t>....................................................................</w:t>
      </w:r>
      <w:r w:rsidRPr="0D879AD3" w:rsidR="00D41556">
        <w:rPr>
          <w:b w:val="1"/>
          <w:bCs w:val="1"/>
        </w:rPr>
        <w:t>.</w:t>
      </w:r>
      <w:r w:rsidRPr="0D879AD3" w:rsidR="00D41556">
        <w:rPr>
          <w:lang w:val="es-PE"/>
        </w:rPr>
        <w:t xml:space="preserve"> y, por tanto, se ordena que la liquidación del siniestro se vuelva a realizar por </w:t>
      </w:r>
      <w:r w:rsidRPr="0D879AD3" w:rsidR="75AC049B">
        <w:rPr>
          <w:lang w:val="es-PE"/>
        </w:rPr>
        <w:t>....................................................................</w:t>
      </w:r>
      <w:r w:rsidRPr="0D879AD3" w:rsidR="00D41556">
        <w:rPr>
          <w:lang w:val="es-PE"/>
        </w:rPr>
        <w:t>., conforme a lo establecido en el considerando OCTAVO de la presente Resolución, dejando a salvo el derecho del reclamante de acudir ante las instancias que estime pertinente.</w:t>
      </w:r>
    </w:p>
    <w:p w:rsidRPr="00D41556" w:rsidR="000D4627" w:rsidP="000D4627" w:rsidRDefault="000D4627" w14:paraId="21925956" w14:textId="77777777">
      <w:pPr>
        <w:jc w:val="right"/>
        <w:outlineLvl w:val="0"/>
        <w:rPr>
          <w:rStyle w:val="Textoennegrita"/>
          <w:lang w:val="es-PE"/>
        </w:rPr>
      </w:pPr>
    </w:p>
    <w:p w:rsidRPr="00D41556" w:rsidR="001631D6" w:rsidP="000D4627" w:rsidRDefault="00F15FBA" w14:paraId="30F8D459" w14:textId="2826DD1F">
      <w:pPr>
        <w:jc w:val="right"/>
        <w:outlineLvl w:val="0"/>
        <w:rPr>
          <w:lang w:val="es-PE"/>
        </w:rPr>
      </w:pPr>
      <w:r w:rsidRPr="00D41556">
        <w:rPr>
          <w:lang w:val="es-PE"/>
        </w:rPr>
        <w:t xml:space="preserve">Lima, </w:t>
      </w:r>
      <w:r w:rsidRPr="00D41556" w:rsidR="00BE23A8">
        <w:t>23</w:t>
      </w:r>
      <w:r w:rsidRPr="00D41556" w:rsidR="00981056">
        <w:t xml:space="preserve"> </w:t>
      </w:r>
      <w:r w:rsidRPr="00D41556">
        <w:rPr>
          <w:lang w:val="es-PE"/>
        </w:rPr>
        <w:t>de</w:t>
      </w:r>
      <w:r w:rsidRPr="00D41556" w:rsidR="001631D6">
        <w:rPr>
          <w:lang w:val="es-PE"/>
        </w:rPr>
        <w:t xml:space="preserve"> </w:t>
      </w:r>
      <w:r w:rsidRPr="00D41556" w:rsidR="00E16535">
        <w:rPr>
          <w:lang w:val="es-PE"/>
        </w:rPr>
        <w:t>junio</w:t>
      </w:r>
      <w:r w:rsidRPr="00D41556" w:rsidR="001631D6">
        <w:rPr>
          <w:lang w:val="es-PE"/>
        </w:rPr>
        <w:t xml:space="preserve"> </w:t>
      </w:r>
      <w:r w:rsidRPr="00D41556">
        <w:rPr>
          <w:lang w:val="es-PE"/>
        </w:rPr>
        <w:t>de 20</w:t>
      </w:r>
      <w:r w:rsidRPr="00D41556" w:rsidR="001631D6">
        <w:rPr>
          <w:lang w:val="es-PE"/>
        </w:rPr>
        <w:t>2</w:t>
      </w:r>
      <w:r w:rsidRPr="00D41556" w:rsidR="00807D21">
        <w:rPr>
          <w:lang w:val="es-PE"/>
        </w:rPr>
        <w:t>3</w:t>
      </w:r>
    </w:p>
    <w:p w:rsidRPr="00D41556" w:rsidR="00F202DC" w:rsidP="001631D6" w:rsidRDefault="00F202DC" w14:paraId="55EA6443" w14:textId="77777777">
      <w:pPr>
        <w:jc w:val="both"/>
      </w:pPr>
    </w:p>
    <w:p w:rsidRPr="00D41556" w:rsidR="001631D6" w:rsidP="001631D6" w:rsidRDefault="001631D6" w14:paraId="54F717D9" w14:textId="77777777">
      <w:pPr>
        <w:jc w:val="both"/>
        <w:rPr>
          <w:b/>
          <w:bCs/>
          <w:i/>
          <w:iCs/>
          <w:lang w:val="es-ES_tradnl"/>
        </w:rPr>
      </w:pPr>
      <w:r w:rsidRPr="00D41556">
        <w:rPr>
          <w:b/>
          <w:bCs/>
          <w:i/>
          <w:iCs/>
          <w:lang w:val="es-ES_tradnl"/>
        </w:rPr>
        <w:t>La Secretaría Técnica certifica que la presente resolución cuenta con el voto de los vocales cuyos nombres figuran en el presente documento.</w:t>
      </w:r>
    </w:p>
    <w:p w:rsidRPr="00D41556" w:rsidR="005A0FA4" w:rsidP="001631D6" w:rsidRDefault="005A0FA4" w14:paraId="68E12145" w14:textId="77777777">
      <w:pPr>
        <w:jc w:val="both"/>
        <w:rPr>
          <w:b/>
          <w:bCs/>
          <w:i/>
          <w:iCs/>
          <w:lang w:val="es-ES_tradnl"/>
        </w:rPr>
      </w:pPr>
    </w:p>
    <w:p w:rsidRPr="00D41556" w:rsidR="001631D6" w:rsidP="005A0FA4" w:rsidRDefault="005A0FA4" w14:paraId="024CA4C1" w14:textId="20396E37">
      <w:pPr>
        <w:spacing w:line="360" w:lineRule="auto"/>
        <w:jc w:val="center"/>
        <w:rPr>
          <w:b/>
          <w:bCs/>
        </w:rPr>
      </w:pPr>
      <w:r w:rsidRPr="00D41556">
        <w:rPr>
          <w:b/>
          <w:bCs/>
        </w:rPr>
        <w:t xml:space="preserve">Omar Alfaro Villanueva – </w:t>
      </w:r>
      <w:proofErr w:type="gramStart"/>
      <w:r w:rsidRPr="00D41556">
        <w:rPr>
          <w:b/>
          <w:bCs/>
        </w:rPr>
        <w:t>Presidente</w:t>
      </w:r>
      <w:proofErr w:type="gramEnd"/>
    </w:p>
    <w:p w:rsidRPr="00D41556" w:rsidR="003E6BA6" w:rsidP="003E6BA6" w:rsidRDefault="003E6BA6" w14:paraId="7E9839D4" w14:textId="217F753E">
      <w:pPr>
        <w:spacing w:line="360" w:lineRule="auto"/>
        <w:jc w:val="center"/>
        <w:rPr>
          <w:b/>
          <w:bCs/>
        </w:rPr>
      </w:pPr>
      <w:r w:rsidRPr="00D41556">
        <w:rPr>
          <w:b/>
          <w:bCs/>
        </w:rPr>
        <w:t xml:space="preserve">María Eugenia Valdez Fernández Baca – </w:t>
      </w:r>
      <w:r w:rsidRPr="00D41556" w:rsidR="005A0FA4">
        <w:rPr>
          <w:b/>
          <w:bCs/>
        </w:rPr>
        <w:t>Vocal</w:t>
      </w:r>
    </w:p>
    <w:p w:rsidRPr="00D41556" w:rsidR="001631D6" w:rsidP="001631D6" w:rsidRDefault="001631D6" w14:paraId="515933D0" w14:textId="5FD7ECBB">
      <w:pPr>
        <w:spacing w:line="360" w:lineRule="auto"/>
        <w:jc w:val="center"/>
        <w:rPr>
          <w:b/>
          <w:bCs/>
        </w:rPr>
      </w:pPr>
      <w:r w:rsidRPr="00D41556">
        <w:rPr>
          <w:b/>
          <w:bCs/>
        </w:rPr>
        <w:t xml:space="preserve">Rolando Eyzaguirre </w:t>
      </w:r>
      <w:proofErr w:type="spellStart"/>
      <w:r w:rsidRPr="00D41556">
        <w:rPr>
          <w:b/>
          <w:bCs/>
        </w:rPr>
        <w:t>Maccan</w:t>
      </w:r>
      <w:proofErr w:type="spellEnd"/>
      <w:r w:rsidRPr="00D41556">
        <w:rPr>
          <w:b/>
          <w:bCs/>
        </w:rPr>
        <w:t xml:space="preserve"> – </w:t>
      </w:r>
      <w:r w:rsidRPr="00D41556" w:rsidR="003E6BA6">
        <w:rPr>
          <w:b/>
          <w:bCs/>
        </w:rPr>
        <w:t>Vocal</w:t>
      </w:r>
    </w:p>
    <w:p w:rsidRPr="00D41556" w:rsidR="001631D6" w:rsidP="001631D6" w:rsidRDefault="001631D6" w14:paraId="44059E74" w14:textId="77777777">
      <w:pPr>
        <w:spacing w:line="360" w:lineRule="auto"/>
        <w:jc w:val="center"/>
        <w:rPr>
          <w:lang w:val="es-MX"/>
        </w:rPr>
      </w:pPr>
      <w:r w:rsidRPr="00D41556">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06F2" w:rsidP="005F148C" w:rsidRDefault="008806F2" w14:paraId="212D1109" w14:textId="77777777">
      <w:r>
        <w:separator/>
      </w:r>
    </w:p>
  </w:endnote>
  <w:endnote w:type="continuationSeparator" w:id="0">
    <w:p w:rsidR="008806F2" w:rsidP="005F148C" w:rsidRDefault="008806F2" w14:paraId="05ECC6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06F2" w:rsidP="005F148C" w:rsidRDefault="008806F2" w14:paraId="255441D1" w14:textId="77777777">
      <w:r>
        <w:separator/>
      </w:r>
    </w:p>
  </w:footnote>
  <w:footnote w:type="continuationSeparator" w:id="0">
    <w:p w:rsidR="008806F2" w:rsidP="005F148C" w:rsidRDefault="008806F2" w14:paraId="05103A30" w14:textId="77777777">
      <w:r>
        <w:continuationSeparator/>
      </w:r>
    </w:p>
  </w:footnote>
  <w:footnote w:id="1">
    <w:p w:rsidR="00D41556" w:rsidP="00D41556" w:rsidRDefault="00D41556" w14:paraId="6BBE3EF3" w14:textId="77777777">
      <w:pPr>
        <w:pStyle w:val="Textonotapie"/>
        <w:rPr>
          <w:lang w:val="es-MX"/>
        </w:rPr>
      </w:pPr>
      <w:r>
        <w:rPr>
          <w:rStyle w:val="Refdenotaalpie"/>
        </w:rPr>
        <w:footnoteRef/>
      </w:r>
      <w:r>
        <w:t xml:space="preserve"> </w:t>
      </w:r>
      <w:r>
        <w:rPr>
          <w:lang w:val="es-MX"/>
        </w:rPr>
        <w:t xml:space="preserve">Disponible en: </w:t>
      </w:r>
      <w:hyperlink w:history="1" r:id="rId1">
        <w:r>
          <w:rPr>
            <w:rStyle w:val="Hipervnculo"/>
            <w:lang w:val="es-MX"/>
          </w:rPr>
          <w:t>https://www.apeseg.org.pe/lista-referencial-de-precios/</w:t>
        </w:r>
      </w:hyperlink>
      <w:r>
        <w:rPr>
          <w:lang w:val="es-MX"/>
        </w:rPr>
        <w:t xml:space="preserve"> </w:t>
      </w:r>
    </w:p>
  </w:footnote>
  <w:footnote w:id="2">
    <w:p w:rsidR="00D41556" w:rsidP="00D41556" w:rsidRDefault="00D41556" w14:paraId="7C81E011" w14:textId="77777777">
      <w:pPr>
        <w:pStyle w:val="Textonotapie"/>
        <w:rPr>
          <w:lang w:val="es-MX"/>
        </w:rPr>
      </w:pPr>
      <w:r>
        <w:rPr>
          <w:rStyle w:val="Refdenotaalpie"/>
        </w:rPr>
        <w:footnoteRef/>
      </w:r>
      <w:r>
        <w:t xml:space="preserve"> </w:t>
      </w:r>
      <w:r>
        <w:rPr>
          <w:lang w:val="es-MX"/>
        </w:rPr>
        <w:t xml:space="preserve">Ver: </w:t>
      </w:r>
      <w:hyperlink w:history="1" r:id="rId2">
        <w:r>
          <w:rPr>
            <w:rStyle w:val="Hipervnculo"/>
            <w:lang w:val="es-MX"/>
          </w:rPr>
          <w:t>https://www.olx.com.pe/</w:t>
        </w:r>
      </w:hyperlink>
      <w:r>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8"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2"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1"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9"/>
  </w:num>
  <w:num w:numId="6" w16cid:durableId="3736259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5"/>
  </w:num>
  <w:num w:numId="9" w16cid:durableId="1509519697">
    <w:abstractNumId w:val="4"/>
  </w:num>
  <w:num w:numId="10" w16cid:durableId="13694471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5"/>
  </w:num>
  <w:num w:numId="19" w16cid:durableId="20820975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5"/>
  </w:num>
  <w:num w:numId="22" w16cid:durableId="5857681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0"/>
  </w:num>
  <w:num w:numId="24" w16cid:durableId="668286660">
    <w:abstractNumId w:val="11"/>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2"/>
  </w:num>
  <w:num w:numId="27" w16cid:durableId="7538175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4D84"/>
    <w:rsid w:val="00820600"/>
    <w:rsid w:val="00834DFE"/>
    <w:rsid w:val="0083501C"/>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D879AD3"/>
    <w:rsid w:val="1DBB5E34"/>
    <w:rsid w:val="35E206C1"/>
    <w:rsid w:val="39184A52"/>
    <w:rsid w:val="67460535"/>
    <w:rsid w:val="6E027044"/>
    <w:rsid w:val="75AC049B"/>
    <w:rsid w:val="7BDBCDA1"/>
    <w:rsid w:val="7DDE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www.olx.com.pe/" TargetMode="External"/><Relationship Id="rId1" Type="http://schemas.openxmlformats.org/officeDocument/2006/relationships/hyperlink" Target="https://www.apeseg.org.pe/lista-referencial-de-preci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6B4B19D-1DBB-41D7-A568-E9A638AE8794}"/>
</file>

<file path=customXml/itemProps3.xml><?xml version="1.0" encoding="utf-8"?>
<ds:datastoreItem xmlns:ds="http://schemas.openxmlformats.org/officeDocument/2006/customXml" ds:itemID="{F19E9187-7118-48D4-A057-D4176B6BB9A3}"/>
</file>

<file path=customXml/itemProps4.xml><?xml version="1.0" encoding="utf-8"?>
<ds:datastoreItem xmlns:ds="http://schemas.openxmlformats.org/officeDocument/2006/customXml" ds:itemID="{42A041E3-AF71-4EF5-8E38-4961F7D7F5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cp:revision>
  <cp:lastPrinted>2023-06-23T21:29:00Z</cp:lastPrinted>
  <dcterms:created xsi:type="dcterms:W3CDTF">2023-06-22T13:57:00Z</dcterms:created>
  <dcterms:modified xsi:type="dcterms:W3CDTF">2025-06-16T17:23:32Z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