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25BD9" w:rsidR="007A1D6A" w:rsidP="000D4627" w:rsidRDefault="00F15FBA" w14:paraId="2EB47530" w14:textId="437C552F">
      <w:pPr>
        <w:pStyle w:val="Ttulo"/>
        <w:outlineLvl w:val="0"/>
        <w:rPr>
          <w:lang w:val="es-PE"/>
        </w:rPr>
      </w:pPr>
      <w:r w:rsidRPr="00025BD9">
        <w:rPr>
          <w:lang w:val="es-PE"/>
        </w:rPr>
        <w:t>RESOLUCIÓN N</w:t>
      </w:r>
      <w:r w:rsidRPr="00025BD9" w:rsidR="001631D6">
        <w:rPr>
          <w:lang w:val="es-PE"/>
        </w:rPr>
        <w:t xml:space="preserve">° </w:t>
      </w:r>
      <w:r w:rsidRPr="00025BD9" w:rsidR="005A778E">
        <w:rPr>
          <w:lang w:val="es-PE"/>
        </w:rPr>
        <w:t>1</w:t>
      </w:r>
      <w:r w:rsidRPr="00025BD9" w:rsidR="00DD4751">
        <w:rPr>
          <w:lang w:val="es-PE"/>
        </w:rPr>
        <w:t>4</w:t>
      </w:r>
      <w:r w:rsidRPr="00025BD9" w:rsidR="00DE696C">
        <w:rPr>
          <w:lang w:val="es-PE"/>
        </w:rPr>
        <w:t>8</w:t>
      </w:r>
      <w:r w:rsidRPr="00025BD9" w:rsidR="001631D6">
        <w:rPr>
          <w:lang w:val="es-PE"/>
        </w:rPr>
        <w:t>/2</w:t>
      </w:r>
      <w:r w:rsidRPr="00025BD9" w:rsidR="00BD063F">
        <w:rPr>
          <w:lang w:val="es-PE"/>
        </w:rPr>
        <w:t>3</w:t>
      </w:r>
    </w:p>
    <w:p w:rsidRPr="00025BD9" w:rsidR="00210261" w:rsidP="00210261" w:rsidRDefault="00210261" w14:paraId="1A7422B1" w14:textId="77777777">
      <w:pPr>
        <w:rPr>
          <w:b/>
          <w:bCs/>
          <w:lang w:val="es-PE"/>
        </w:rPr>
      </w:pPr>
    </w:p>
    <w:p w:rsidRPr="00025BD9" w:rsidR="00025BD9" w:rsidP="00025BD9" w:rsidRDefault="00025BD9" w14:paraId="245604EC" w14:textId="77777777">
      <w:pPr>
        <w:jc w:val="both"/>
      </w:pPr>
      <w:r w:rsidRPr="00025BD9">
        <w:rPr>
          <w:rStyle w:val="Textoennegrita"/>
        </w:rPr>
        <w:t>VISTOS:</w:t>
      </w:r>
    </w:p>
    <w:p w:rsidRPr="00025BD9" w:rsidR="00025BD9" w:rsidP="00025BD9" w:rsidRDefault="00025BD9" w14:paraId="1307A4FC" w14:textId="77777777">
      <w:pPr>
        <w:jc w:val="both"/>
        <w:rPr>
          <w:lang w:val="es-PE"/>
        </w:rPr>
      </w:pPr>
    </w:p>
    <w:p w:rsidRPr="00025BD9" w:rsidR="00025BD9" w:rsidP="00025BD9" w:rsidRDefault="00025BD9" w14:paraId="27510375" w14:textId="28ADD058">
      <w:pPr>
        <w:jc w:val="both"/>
        <w:rPr>
          <w:lang w:val="es-PE"/>
        </w:rPr>
      </w:pPr>
      <w:r w:rsidRPr="2A582CB8" w:rsidR="00025BD9">
        <w:rPr>
          <w:lang w:val="es-PE"/>
        </w:rPr>
        <w:t xml:space="preserve">Que, don </w:t>
      </w:r>
      <w:r w:rsidRPr="2A582CB8" w:rsidR="1BCC5651">
        <w:rPr>
          <w:b w:val="1"/>
          <w:bCs w:val="1"/>
        </w:rPr>
        <w:t>.........................................................</w:t>
      </w:r>
      <w:r w:rsidRPr="2A582CB8" w:rsidR="00025BD9">
        <w:rPr>
          <w:lang w:val="es-PE"/>
        </w:rPr>
        <w:t xml:space="preserve"> (en adelante, el reclamante) interpone reclamación ante esta Defensoría del Asegurado (DEFASEG), solicitando que </w:t>
      </w:r>
      <w:r w:rsidRPr="2A582CB8" w:rsidR="730B075D">
        <w:rPr>
          <w:b w:val="1"/>
          <w:bCs w:val="1"/>
          <w:lang w:val="es-PE"/>
        </w:rPr>
        <w:t>...........................................................................................</w:t>
      </w:r>
      <w:r w:rsidRPr="2A582CB8" w:rsidR="00025BD9">
        <w:rPr>
          <w:b w:val="1"/>
          <w:bCs w:val="1"/>
          <w:lang w:val="es-PE"/>
        </w:rPr>
        <w:t xml:space="preserve">  </w:t>
      </w:r>
      <w:r w:rsidRPr="2A582CB8" w:rsidR="00025BD9">
        <w:rPr>
          <w:lang w:val="es-PE"/>
        </w:rPr>
        <w:t>(en adelante, la aseguradora)</w:t>
      </w:r>
      <w:r w:rsidRPr="2A582CB8" w:rsidR="00025BD9">
        <w:rPr>
          <w:b w:val="1"/>
          <w:bCs w:val="1"/>
          <w:lang w:val="es-PE"/>
        </w:rPr>
        <w:t xml:space="preserve"> </w:t>
      </w:r>
      <w:r w:rsidRPr="2A582CB8" w:rsidR="00025BD9">
        <w:rPr>
          <w:lang w:val="es-PE"/>
        </w:rPr>
        <w:t xml:space="preserve">otorgue cobertura al siniestro originado por la sustracción de sus pertenencias en su domicilio, conforme al </w:t>
      </w:r>
      <w:r w:rsidRPr="2A582CB8" w:rsidR="00025BD9">
        <w:rPr>
          <w:lang w:val="es-PE"/>
        </w:rPr>
        <w:t>Seguro Domiciliario de póliza</w:t>
      </w:r>
      <w:r w:rsidRPr="2A582CB8" w:rsidR="00025BD9">
        <w:rPr>
          <w:lang w:val="es-PE"/>
        </w:rPr>
        <w:t xml:space="preserve"> </w:t>
      </w:r>
      <w:r w:rsidRPr="2A582CB8" w:rsidR="00025BD9">
        <w:rPr>
          <w:lang w:val="es-PE"/>
        </w:rPr>
        <w:t>N°</w:t>
      </w:r>
      <w:r w:rsidRPr="2A582CB8" w:rsidR="00025BD9">
        <w:rPr>
          <w:lang w:val="es-PE"/>
        </w:rPr>
        <w:t xml:space="preserve"> </w:t>
      </w:r>
      <w:r w:rsidRPr="2A582CB8" w:rsidR="40235497">
        <w:rPr>
          <w:lang w:val="es-PE"/>
        </w:rPr>
        <w:t>..........................</w:t>
      </w:r>
      <w:r w:rsidRPr="2A582CB8" w:rsidR="00025BD9">
        <w:rPr>
          <w:lang w:val="es-PE"/>
        </w:rPr>
        <w:t xml:space="preserve"> (en adelante, la póliza).</w:t>
      </w:r>
    </w:p>
    <w:p w:rsidRPr="00025BD9" w:rsidR="00025BD9" w:rsidP="00025BD9" w:rsidRDefault="00025BD9" w14:paraId="69FE63E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25BD9" w:rsidR="00025BD9" w:rsidP="00025BD9" w:rsidRDefault="00025BD9" w14:paraId="5F4BDBA0" w14:textId="77777777">
      <w:pPr>
        <w:jc w:val="both"/>
        <w:rPr>
          <w:rFonts w:eastAsia="Arial Unicode MS"/>
          <w:lang w:val="es-PE"/>
        </w:rPr>
      </w:pPr>
      <w:r w:rsidRPr="00025BD9">
        <w:rPr>
          <w:rFonts w:eastAsia="Arial Unicode MS"/>
          <w:lang w:val="es-PE"/>
        </w:rPr>
        <w:t>Que, la señalada reclamación cumple con los requisitos de materia, cuantía y oportunidad establecidos en el Reglamento de la DEFASEG (http://www.defaseg.com.pe/reglamento);</w:t>
      </w:r>
    </w:p>
    <w:p w:rsidRPr="00025BD9" w:rsidR="00025BD9" w:rsidP="00025BD9" w:rsidRDefault="00025BD9" w14:paraId="7C357E3C" w14:textId="77777777">
      <w:pPr>
        <w:tabs>
          <w:tab w:val="left" w:pos="2160"/>
        </w:tabs>
        <w:jc w:val="both"/>
        <w:rPr>
          <w:lang w:val="es-PE"/>
        </w:rPr>
      </w:pPr>
    </w:p>
    <w:p w:rsidRPr="00025BD9" w:rsidR="00025BD9" w:rsidP="00025BD9" w:rsidRDefault="00025BD9" w14:paraId="2B38C054" w14:textId="77777777">
      <w:pPr>
        <w:tabs>
          <w:tab w:val="num" w:pos="720"/>
        </w:tabs>
        <w:jc w:val="both"/>
        <w:rPr>
          <w:lang w:val="es-PE"/>
        </w:rPr>
      </w:pPr>
      <w:r w:rsidRPr="00025BD9">
        <w:rPr>
          <w:lang w:val="es-PE"/>
        </w:rPr>
        <w:t>Que, habiéndosele corrido traslado de la respectiva reclamación, la aseguradora presentó sus respectivos descargos y la documentación solicitada;</w:t>
      </w:r>
    </w:p>
    <w:p w:rsidRPr="00025BD9" w:rsidR="00025BD9" w:rsidP="00025BD9" w:rsidRDefault="00025BD9" w14:paraId="3B372C29" w14:textId="77777777">
      <w:pPr>
        <w:tabs>
          <w:tab w:val="num" w:pos="720"/>
        </w:tabs>
        <w:jc w:val="both"/>
        <w:rPr>
          <w:lang w:val="es-PE"/>
        </w:rPr>
      </w:pPr>
    </w:p>
    <w:p w:rsidRPr="00025BD9" w:rsidR="00025BD9" w:rsidP="00025BD9" w:rsidRDefault="00025BD9" w14:paraId="4EA5EBF9" w14:textId="77777777">
      <w:pPr>
        <w:tabs>
          <w:tab w:val="num" w:pos="720"/>
        </w:tabs>
        <w:jc w:val="both"/>
        <w:rPr>
          <w:lang w:val="es-PE"/>
        </w:rPr>
      </w:pPr>
      <w:r w:rsidRPr="00025BD9">
        <w:rPr>
          <w:lang w:val="es-PE"/>
        </w:rPr>
        <w:t>Que, el 13 de marzo de 2023 se realizó la audiencia virtual de vista con la concurrencia de ambas partes, quienes tuvieron oportunidad de exponer sus respectivas posiciones tratándose de la materia reclamada, absolviendo las diversas preguntas que les fueron formuladas. Asimismo, en dicha ocasión de se otorgó a la aseguradora un plazo de 03 (tres), a fin de que presente la constancia de entrega de la póliza al reclamante; no obstante, la aseguradora no ha cumplido con tal requerimiento.</w:t>
      </w:r>
    </w:p>
    <w:p w:rsidRPr="00025BD9" w:rsidR="00025BD9" w:rsidP="00025BD9" w:rsidRDefault="00025BD9" w14:paraId="4E5A8972" w14:textId="77777777">
      <w:pPr>
        <w:tabs>
          <w:tab w:val="num" w:pos="720"/>
        </w:tabs>
        <w:jc w:val="both"/>
        <w:rPr>
          <w:lang w:val="es-PE"/>
        </w:rPr>
      </w:pPr>
    </w:p>
    <w:p w:rsidRPr="00025BD9" w:rsidR="00025BD9" w:rsidP="00025BD9" w:rsidRDefault="00025BD9" w14:paraId="0257BA07" w14:textId="77777777">
      <w:pPr>
        <w:jc w:val="both"/>
      </w:pPr>
      <w:r w:rsidRPr="00025BD9">
        <w:t xml:space="preserve">Que, en síntesis, el reclamante manifiesta lo siguiente: a) durante </w:t>
      </w:r>
      <w:r w:rsidRPr="00025BD9">
        <w:rPr>
          <w:lang w:val="es-PE"/>
        </w:rPr>
        <w:t>la madrugada del 18 de setiembre de 2022, mientras él y su familia dormían, ingresaron a su domicilio terceros, quienes se llevaron varios dispositivos tecnológicos (laptops y otros); b) la aseguradora afirma que los hechos narrados no cuentan con cobertura; c) la aseguradora espera que haya daños personales o materiales, siendo que al momento de vender el seguro nunca fue informado de la cláusula usada para el rechazo de la cobertura, siendo que esta sería la más importante; d) de haber tenido conocimiento de la cláusula cuestionada no habría contratado la póliza, por lo que considera estar ante un engaño;</w:t>
      </w:r>
    </w:p>
    <w:p w:rsidRPr="00025BD9" w:rsidR="00025BD9" w:rsidP="00025BD9" w:rsidRDefault="00025BD9" w14:paraId="7A884953" w14:textId="77777777">
      <w:pPr>
        <w:jc w:val="both"/>
      </w:pPr>
    </w:p>
    <w:p w:rsidRPr="00025BD9" w:rsidR="00025BD9" w:rsidP="00025BD9" w:rsidRDefault="00025BD9" w14:paraId="5971EA7E" w14:textId="52E53834">
      <w:pPr>
        <w:autoSpaceDE w:val="0"/>
        <w:autoSpaceDN w:val="0"/>
        <w:adjustRightInd w:val="0"/>
        <w:jc w:val="both"/>
        <w:rPr>
          <w:lang w:val="es-PE"/>
        </w:rPr>
      </w:pPr>
      <w:r w:rsidR="00025BD9">
        <w:rPr/>
        <w:t xml:space="preserve">Que, por su parte, la aseguradora sustenta su posición resumidamente en lo siguiente: a) </w:t>
      </w:r>
      <w:r w:rsidRPr="2A582CB8" w:rsidR="00025BD9">
        <w:rPr>
          <w:lang w:val="es-PE"/>
        </w:rPr>
        <w:t xml:space="preserve">mediante Carta de fecha 07 de octubre de 2022, válidamente notificada al reclamante (dentro del plazo legal) con fecha 10 de octubre de 2022, se le informó la improcedencia a su cobertura de seguro, al no encontrarse estipulado el evento dentro de su póliza; b) en la referida Carta se le informó al reclamante que acusamos recibo del informe final emitido por el Ajustador y Perito de Seguros encargado del estudio y evaluación del siniestro de la referencia, quien nos manifiesta que el presente evento objeto de cobertura refiere a un hurto (debido a que existen evidencias de huellas que acreditan la manera en que se produjo la sustracción de bienes) en la vivienda del asegurado ubicada en el Sector </w:t>
      </w:r>
      <w:r w:rsidRPr="2A582CB8" w:rsidR="40274A69">
        <w:rPr>
          <w:lang w:val="es-PE"/>
        </w:rPr>
        <w:t>................................................................................................................................................................................</w:t>
      </w:r>
      <w:r w:rsidRPr="2A582CB8" w:rsidR="00025BD9">
        <w:rPr>
          <w:lang w:val="es-PE"/>
        </w:rPr>
        <w:t xml:space="preserve">, Provincia y Departamento de Lima, no encontrándose al amparo de las coberturas de la póliza; c) el reclamante, no ha indicado en su escrito de reclamo el hecho de desconocer el contenido de las cláusulas contractuales, o que no se le haya brindado copia de la Póliza contratada al momento de la autorización de la contratación del seguro o que se le haya informado de manera clara y concreta que la póliza tenga la cobertura de hurto; d) el </w:t>
      </w:r>
      <w:r w:rsidRPr="2A582CB8" w:rsidR="00025BD9">
        <w:rPr>
          <w:lang w:val="es-PE"/>
        </w:rPr>
        <w:t>reclamante no ha presentado medio probatorio alguno que acredite que la modalidad materia del siniestro coincide con las coberturas de la Póliza de seguros contratada;</w:t>
      </w:r>
    </w:p>
    <w:p w:rsidRPr="00025BD9" w:rsidR="00025BD9" w:rsidP="00025BD9" w:rsidRDefault="00025BD9" w14:paraId="023DBF91" w14:textId="77777777">
      <w:pPr>
        <w:autoSpaceDE w:val="0"/>
        <w:autoSpaceDN w:val="0"/>
        <w:adjustRightInd w:val="0"/>
        <w:jc w:val="both"/>
        <w:rPr>
          <w:lang w:val="es-PE"/>
        </w:rPr>
      </w:pPr>
    </w:p>
    <w:p w:rsidRPr="00025BD9" w:rsidR="00025BD9" w:rsidP="00025BD9" w:rsidRDefault="00025BD9" w14:paraId="6995174D" w14:textId="77777777">
      <w:pPr>
        <w:jc w:val="both"/>
      </w:pPr>
      <w:r w:rsidRPr="00025BD9">
        <w:rPr>
          <w:rStyle w:val="Textoennegrita"/>
        </w:rPr>
        <w:t>CONSIDERANDO:</w:t>
      </w:r>
    </w:p>
    <w:p w:rsidRPr="00025BD9" w:rsidR="00025BD9" w:rsidP="00025BD9" w:rsidRDefault="00025BD9" w14:paraId="17ABD3F2" w14:textId="77777777">
      <w:pPr>
        <w:jc w:val="both"/>
      </w:pPr>
      <w:r w:rsidRPr="00025BD9">
        <w:t> </w:t>
      </w:r>
    </w:p>
    <w:p w:rsidRPr="00025BD9" w:rsidR="00025BD9" w:rsidP="00025BD9" w:rsidRDefault="00025BD9" w14:paraId="35EE9EC4" w14:textId="77777777">
      <w:pPr>
        <w:jc w:val="both"/>
        <w:rPr>
          <w:lang w:val="es-PE"/>
        </w:rPr>
      </w:pPr>
      <w:r w:rsidRPr="00025BD9">
        <w:rPr>
          <w:b/>
          <w:u w:val="single"/>
          <w:lang w:val="es-PE"/>
        </w:rPr>
        <w:t>Primero</w:t>
      </w:r>
      <w:r w:rsidRPr="00025BD9">
        <w:rPr>
          <w:b/>
          <w:lang w:val="es-PE"/>
        </w:rPr>
        <w:t xml:space="preserve">: </w:t>
      </w:r>
      <w:r w:rsidRPr="00025BD9">
        <w:rPr>
          <w:lang w:val="es-PE"/>
        </w:rPr>
        <w:t>Conforme a su Reglamento, la</w:t>
      </w:r>
      <w:r w:rsidRPr="00025BD9">
        <w:rPr>
          <w:b/>
          <w:bCs/>
          <w:lang w:val="es-PE"/>
        </w:rPr>
        <w:t xml:space="preserve"> </w:t>
      </w:r>
      <w:r w:rsidRPr="00025BD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25BD9" w:rsidR="00025BD9" w:rsidP="00025BD9" w:rsidRDefault="00025BD9" w14:paraId="1E4D935B" w14:textId="77777777">
      <w:pPr>
        <w:jc w:val="both"/>
        <w:rPr>
          <w:bCs/>
        </w:rPr>
      </w:pPr>
    </w:p>
    <w:p w:rsidRPr="00025BD9" w:rsidR="00025BD9" w:rsidP="00025BD9" w:rsidRDefault="00025BD9" w14:paraId="211ACED8" w14:textId="77777777">
      <w:pPr>
        <w:jc w:val="both"/>
        <w:rPr>
          <w:bCs/>
          <w:lang w:val="es-PE"/>
        </w:rPr>
      </w:pPr>
      <w:r w:rsidRPr="00025BD9">
        <w:rPr>
          <w:b/>
          <w:bCs/>
          <w:u w:val="single"/>
          <w:lang w:val="es-PE"/>
        </w:rPr>
        <w:t>Segundo</w:t>
      </w:r>
      <w:r w:rsidRPr="00025BD9">
        <w:rPr>
          <w:b/>
          <w:bCs/>
          <w:lang w:val="es-PE"/>
        </w:rPr>
        <w:t>:</w:t>
      </w:r>
      <w:r w:rsidRPr="00025BD9">
        <w:rPr>
          <w:bCs/>
          <w:lang w:val="es-PE"/>
        </w:rPr>
        <w:t xml:space="preserve"> </w:t>
      </w:r>
      <w:r w:rsidRPr="00025BD9">
        <w:rPr>
          <w:lang w:val="es-PE"/>
        </w:rPr>
        <w:t xml:space="preserve">Asimismo, de acuerdo a </w:t>
      </w:r>
      <w:r w:rsidRPr="00025BD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25BD9" w:rsidR="00025BD9" w:rsidP="00025BD9" w:rsidRDefault="00025BD9" w14:paraId="1C7E0492" w14:textId="77777777">
      <w:pPr>
        <w:jc w:val="both"/>
        <w:rPr>
          <w:lang w:val="es-PE"/>
        </w:rPr>
      </w:pPr>
    </w:p>
    <w:p w:rsidRPr="00025BD9" w:rsidR="00025BD9" w:rsidP="00025BD9" w:rsidRDefault="00025BD9" w14:paraId="29820F2F" w14:textId="77777777">
      <w:pPr>
        <w:jc w:val="both"/>
      </w:pPr>
      <w:r w:rsidRPr="00025BD9">
        <w:rPr>
          <w:b/>
          <w:bCs/>
          <w:u w:val="single"/>
          <w:lang w:val="es-PE"/>
        </w:rPr>
        <w:t>Tercero</w:t>
      </w:r>
      <w:r w:rsidRPr="00025BD9">
        <w:rPr>
          <w:b/>
          <w:bCs/>
          <w:lang w:val="es-PE"/>
        </w:rPr>
        <w:t>:</w:t>
      </w:r>
      <w:r w:rsidRPr="00025BD9">
        <w:rPr>
          <w:lang w:val="es-PE"/>
        </w:rPr>
        <w:t xml:space="preserve"> Que, de acuerdo a la Ley Nro. </w:t>
      </w:r>
      <w:r w:rsidRPr="00025BD9">
        <w:t xml:space="preserve">29946 – Ley del Contrato de Seguro, norma legal vigente con ocasión de la celebración del contrato al cual se contrae el presente caso, </w:t>
      </w:r>
      <w:r w:rsidRPr="00025BD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25BD9" w:rsidR="00025BD9" w:rsidP="00025BD9" w:rsidRDefault="00025BD9" w14:paraId="7D8D561D" w14:textId="77777777">
      <w:pPr>
        <w:jc w:val="both"/>
        <w:rPr>
          <w:b/>
          <w:u w:val="single"/>
          <w:lang w:val="es-PE"/>
        </w:rPr>
      </w:pPr>
    </w:p>
    <w:p w:rsidRPr="00025BD9" w:rsidR="00025BD9" w:rsidP="00025BD9" w:rsidRDefault="00025BD9" w14:paraId="322D80C9" w14:textId="77777777">
      <w:pPr>
        <w:jc w:val="both"/>
        <w:rPr>
          <w:lang w:val="es-PE"/>
        </w:rPr>
      </w:pPr>
      <w:r w:rsidRPr="00025BD9">
        <w:rPr>
          <w:b/>
          <w:u w:val="single"/>
          <w:lang w:val="es-PE"/>
        </w:rPr>
        <w:t>Cuarto</w:t>
      </w:r>
      <w:r w:rsidRPr="00025BD9">
        <w:rPr>
          <w:b/>
          <w:lang w:val="es-PE"/>
        </w:rPr>
        <w:t>:</w:t>
      </w:r>
      <w:r w:rsidRPr="00025BD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25BD9" w:rsidR="00025BD9" w:rsidP="00025BD9" w:rsidRDefault="00025BD9" w14:paraId="16B26861" w14:textId="77777777">
      <w:pPr>
        <w:jc w:val="both"/>
        <w:rPr>
          <w:rStyle w:val="Textoennegrita"/>
          <w:b w:val="0"/>
        </w:rPr>
      </w:pPr>
    </w:p>
    <w:p w:rsidRPr="00025BD9" w:rsidR="00025BD9" w:rsidP="00025BD9" w:rsidRDefault="00025BD9" w14:paraId="555AFE0B" w14:textId="77777777">
      <w:pPr>
        <w:jc w:val="both"/>
      </w:pPr>
      <w:r w:rsidRPr="00025BD9">
        <w:rPr>
          <w:rStyle w:val="Textoennegrita"/>
          <w:u w:val="single"/>
          <w:lang w:val="es-PE"/>
        </w:rPr>
        <w:t>Quinto</w:t>
      </w:r>
      <w:r w:rsidRPr="00025BD9">
        <w:rPr>
          <w:rStyle w:val="Textoennegrita"/>
          <w:lang w:val="es-PE"/>
        </w:rPr>
        <w:t xml:space="preserve">: </w:t>
      </w:r>
      <w:r w:rsidRPr="00025BD9">
        <w:rPr>
          <w:rStyle w:val="Textoennegrita"/>
          <w:b w:val="0"/>
          <w:bCs w:val="0"/>
          <w:lang w:val="es-PE"/>
        </w:rPr>
        <w:t>Que, conforme al</w:t>
      </w:r>
      <w:r w:rsidRPr="00025BD9">
        <w:rPr>
          <w:rStyle w:val="Textoennegrita"/>
          <w:lang w:val="es-PE"/>
        </w:rPr>
        <w:t xml:space="preserve"> </w:t>
      </w:r>
      <w:r w:rsidRPr="00025BD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25BD9" w:rsidR="00025BD9" w:rsidP="00025BD9" w:rsidRDefault="00025BD9" w14:paraId="1ED0DDAA" w14:textId="77777777">
      <w:pPr>
        <w:tabs>
          <w:tab w:val="left" w:pos="2160"/>
        </w:tabs>
        <w:jc w:val="both"/>
      </w:pPr>
    </w:p>
    <w:p w:rsidRPr="00025BD9" w:rsidR="00025BD9" w:rsidP="00025BD9" w:rsidRDefault="00025BD9" w14:paraId="4DD48B4A" w14:textId="77777777">
      <w:pPr>
        <w:jc w:val="both"/>
        <w:rPr>
          <w:lang w:val="es-PE"/>
        </w:rPr>
      </w:pPr>
      <w:r w:rsidRPr="00025BD9">
        <w:rPr>
          <w:b/>
          <w:u w:val="single"/>
        </w:rPr>
        <w:t>Sexto</w:t>
      </w:r>
      <w:r w:rsidRPr="00025BD9">
        <w:rPr>
          <w:b/>
        </w:rPr>
        <w:t>:</w:t>
      </w:r>
      <w:r w:rsidRPr="00025BD9">
        <w:rPr>
          <w:b/>
          <w:lang w:val="es-PE"/>
        </w:rPr>
        <w:t xml:space="preserve"> </w:t>
      </w:r>
      <w:r w:rsidRPr="00025BD9">
        <w:rPr>
          <w:lang w:val="es-PE"/>
        </w:rPr>
        <w:t xml:space="preserve"> </w:t>
      </w:r>
      <w:r w:rsidRPr="00025BD9">
        <w:rPr>
          <w:rStyle w:val="Textoennegrita"/>
          <w:b w:val="0"/>
        </w:rPr>
        <w:t xml:space="preserve">Que, conforme a lo expuesto en la reclamación, </w:t>
      </w:r>
      <w:r w:rsidRPr="00025BD9">
        <w:rPr>
          <w:lang w:val="es-PE"/>
        </w:rPr>
        <w:t>en la absolución de esta, y a lo tratado en la audiencia de vista, la cuestión controvertida radica en determinar si el rechazo de cobertura resulta o no legítimo.</w:t>
      </w:r>
    </w:p>
    <w:p w:rsidRPr="00025BD9" w:rsidR="00025BD9" w:rsidP="00025BD9" w:rsidRDefault="00025BD9" w14:paraId="6DF06920" w14:textId="77777777">
      <w:pPr>
        <w:jc w:val="both"/>
        <w:rPr>
          <w:lang w:val="es-PE"/>
        </w:rPr>
      </w:pPr>
    </w:p>
    <w:p w:rsidRPr="00025BD9" w:rsidR="00025BD9" w:rsidP="00025BD9" w:rsidRDefault="00025BD9" w14:paraId="3AFDE943" w14:textId="77777777">
      <w:pPr>
        <w:tabs>
          <w:tab w:val="left" w:pos="2160"/>
        </w:tabs>
        <w:jc w:val="both"/>
        <w:rPr>
          <w:lang w:val="es-PE"/>
        </w:rPr>
      </w:pPr>
      <w:r w:rsidRPr="00025BD9">
        <w:rPr>
          <w:lang w:val="es-PE"/>
        </w:rPr>
        <w:t>Para esclarecer la cuestión controvertida debemos remitirnos, en primer lugar, a la Ley del Contrato de Seguro, la que dispone lo siguiente:</w:t>
      </w:r>
    </w:p>
    <w:p w:rsidRPr="00025BD9" w:rsidR="00025BD9" w:rsidP="00025BD9" w:rsidRDefault="00025BD9" w14:paraId="39EA73E6" w14:textId="77777777">
      <w:pPr>
        <w:tabs>
          <w:tab w:val="left" w:pos="2160"/>
        </w:tabs>
        <w:jc w:val="both"/>
        <w:rPr>
          <w:lang w:val="es-PE"/>
        </w:rPr>
      </w:pPr>
    </w:p>
    <w:p w:rsidRPr="00025BD9" w:rsidR="00025BD9" w:rsidP="00025BD9" w:rsidRDefault="00025BD9" w14:paraId="726D201C" w14:textId="77777777">
      <w:pPr>
        <w:tabs>
          <w:tab w:val="left" w:pos="2160"/>
        </w:tabs>
        <w:ind w:left="1418"/>
        <w:jc w:val="both"/>
        <w:rPr>
          <w:lang w:val="es-PE"/>
        </w:rPr>
      </w:pPr>
      <w:r w:rsidRPr="00025BD9">
        <w:rPr>
          <w:b/>
          <w:bCs/>
          <w:lang w:val="es-PE"/>
        </w:rPr>
        <w:t>“Artículo 1. Definición</w:t>
      </w:r>
    </w:p>
    <w:p w:rsidRPr="00025BD9" w:rsidR="00025BD9" w:rsidP="00025BD9" w:rsidRDefault="00025BD9" w14:paraId="5F75BF0B" w14:textId="77777777">
      <w:pPr>
        <w:tabs>
          <w:tab w:val="left" w:pos="2160"/>
        </w:tabs>
        <w:ind w:left="1418"/>
        <w:jc w:val="both"/>
        <w:rPr>
          <w:lang w:val="es-PE"/>
        </w:rPr>
      </w:pPr>
      <w:r w:rsidRPr="00025BD9">
        <w:rPr>
          <w:lang w:val="es-PE"/>
        </w:rPr>
        <w:t xml:space="preserve">El contrato de seguro es aquel por el que el asegurador se obliga, mediante el cobro de una prima y para el caso de que se produzca el evento cuyo riesgo es objeto de cobertura, a indemnizar dentro de los límites pactados el </w:t>
      </w:r>
      <w:r w:rsidRPr="00025BD9">
        <w:rPr>
          <w:lang w:val="es-PE"/>
        </w:rPr>
        <w:lastRenderedPageBreak/>
        <w:t>daño producido al asegurado o a satisfacer un capital, una renta u otras prestaciones convenidas.”</w:t>
      </w:r>
    </w:p>
    <w:p w:rsidRPr="00025BD9" w:rsidR="00025BD9" w:rsidP="00025BD9" w:rsidRDefault="00025BD9" w14:paraId="432EDFFD" w14:textId="77777777">
      <w:pPr>
        <w:tabs>
          <w:tab w:val="left" w:pos="2160"/>
        </w:tabs>
        <w:jc w:val="both"/>
        <w:rPr>
          <w:lang w:val="es-PE"/>
        </w:rPr>
      </w:pPr>
    </w:p>
    <w:p w:rsidRPr="00025BD9" w:rsidR="00025BD9" w:rsidP="00025BD9" w:rsidRDefault="00025BD9" w14:paraId="7853C253" w14:textId="77777777">
      <w:pPr>
        <w:tabs>
          <w:tab w:val="left" w:pos="2160"/>
        </w:tabs>
        <w:jc w:val="both"/>
        <w:rPr>
          <w:lang w:val="es-PE"/>
        </w:rPr>
      </w:pPr>
      <w:r w:rsidRPr="00025BD9">
        <w:rPr>
          <w:lang w:val="es-PE"/>
        </w:rPr>
        <w:t xml:space="preserve">En buena cuenta, la definición de </w:t>
      </w:r>
      <w:r w:rsidRPr="00025BD9">
        <w:rPr>
          <w:i/>
          <w:iCs/>
          <w:lang w:val="es-PE"/>
        </w:rPr>
        <w:t>contrato de seguro</w:t>
      </w:r>
      <w:r w:rsidRPr="00025BD9">
        <w:rPr>
          <w:lang w:val="es-PE"/>
        </w:rPr>
        <w:t xml:space="preserve"> implica el acuerdo, a fin de que el asegurado cubra su riesgo y, en caso este se materialice, la aseguradora lo indemnice por ello. Dicha definición, como resulta evidente, implica que la aseguradora no indemnizará al asegurado por </w:t>
      </w:r>
      <w:r w:rsidRPr="00025BD9">
        <w:rPr>
          <w:i/>
          <w:iCs/>
          <w:lang w:val="es-PE"/>
        </w:rPr>
        <w:t xml:space="preserve">cualquier </w:t>
      </w:r>
      <w:r w:rsidRPr="00025BD9">
        <w:rPr>
          <w:lang w:val="es-PE"/>
        </w:rPr>
        <w:t xml:space="preserve">riesgo, sino solo por el que sea objeto del acuerdo. En otras palabras, el riesgo potencialmente cubierto por la aseguradora es solo el que figure en el </w:t>
      </w:r>
      <w:r w:rsidRPr="00025BD9">
        <w:rPr>
          <w:i/>
          <w:iCs/>
          <w:lang w:val="es-PE"/>
        </w:rPr>
        <w:t>contrato de seguro.</w:t>
      </w:r>
    </w:p>
    <w:p w:rsidR="00025BD9" w:rsidP="00025BD9" w:rsidRDefault="00025BD9" w14:paraId="757EB59B" w14:textId="77777777">
      <w:pPr>
        <w:tabs>
          <w:tab w:val="left" w:pos="2160"/>
        </w:tabs>
        <w:jc w:val="both"/>
        <w:rPr>
          <w:lang w:val="es-PE"/>
        </w:rPr>
      </w:pPr>
    </w:p>
    <w:p w:rsidRPr="00025BD9" w:rsidR="00025BD9" w:rsidP="00025BD9" w:rsidRDefault="00025BD9" w14:paraId="30C28142" w14:textId="52E9FC3E">
      <w:pPr>
        <w:tabs>
          <w:tab w:val="left" w:pos="2160"/>
        </w:tabs>
        <w:jc w:val="both"/>
        <w:rPr>
          <w:lang w:val="es-PE"/>
        </w:rPr>
      </w:pPr>
      <w:r w:rsidRPr="00025BD9">
        <w:rPr>
          <w:b/>
          <w:u w:val="single"/>
          <w:lang w:val="es-PE"/>
        </w:rPr>
        <w:t>Sétimo:</w:t>
      </w:r>
      <w:r w:rsidRPr="00025BD9">
        <w:rPr>
          <w:lang w:val="es-PE"/>
        </w:rPr>
        <w:t xml:space="preserve">  Que, habiendo definido que las partes involucradas en el </w:t>
      </w:r>
      <w:r w:rsidRPr="00025BD9">
        <w:rPr>
          <w:i/>
          <w:iCs/>
          <w:lang w:val="es-PE"/>
        </w:rPr>
        <w:t>contrato de seguro</w:t>
      </w:r>
      <w:r w:rsidRPr="00025BD9">
        <w:rPr>
          <w:lang w:val="es-PE"/>
        </w:rPr>
        <w:t xml:space="preserve"> solo pueden verse vinculadas dentro del alcance de los riesgos previstos en este, debemos agregar la siguiente disposición de la Ley del Contrato de Seguro:</w:t>
      </w:r>
    </w:p>
    <w:p w:rsidRPr="00025BD9" w:rsidR="00025BD9" w:rsidP="00025BD9" w:rsidRDefault="00025BD9" w14:paraId="30E59892" w14:textId="77777777">
      <w:pPr>
        <w:tabs>
          <w:tab w:val="left" w:pos="2160"/>
        </w:tabs>
        <w:ind w:left="1418"/>
        <w:jc w:val="both"/>
        <w:rPr>
          <w:lang w:val="es-PE"/>
        </w:rPr>
      </w:pPr>
    </w:p>
    <w:p w:rsidRPr="00025BD9" w:rsidR="00025BD9" w:rsidP="00025BD9" w:rsidRDefault="00025BD9" w14:paraId="731AD979" w14:textId="77777777">
      <w:pPr>
        <w:pStyle w:val="NormalWeb"/>
        <w:shd w:val="clear" w:color="auto" w:fill="FFFFFF"/>
        <w:spacing w:before="0" w:beforeAutospacing="0" w:after="180" w:afterAutospacing="0"/>
        <w:ind w:left="1418"/>
        <w:jc w:val="both"/>
        <w:rPr>
          <w:color w:val="151515"/>
          <w:lang w:val="es-PE"/>
        </w:rPr>
      </w:pPr>
      <w:r w:rsidRPr="00025BD9">
        <w:rPr>
          <w:b/>
          <w:bCs/>
          <w:color w:val="151515"/>
        </w:rPr>
        <w:t>Artículo 137. Condiciones no informadas</w:t>
      </w:r>
    </w:p>
    <w:p w:rsidRPr="00025BD9" w:rsidR="00025BD9" w:rsidP="00025BD9" w:rsidRDefault="00025BD9" w14:paraId="6815FF40" w14:textId="77777777">
      <w:pPr>
        <w:pStyle w:val="NormalWeb"/>
        <w:shd w:val="clear" w:color="auto" w:fill="FFFFFF"/>
        <w:spacing w:before="0" w:beforeAutospacing="0" w:after="180" w:afterAutospacing="0"/>
        <w:ind w:left="1418"/>
        <w:jc w:val="both"/>
        <w:rPr>
          <w:color w:val="151515"/>
        </w:rPr>
      </w:pPr>
      <w:r w:rsidRPr="00025BD9">
        <w:rPr>
          <w:color w:val="151515"/>
        </w:rPr>
        <w:t>No son oponibles al asegurado los contenidos contractuales que no le hayan sido informados en el certificado mencionado en el artículo anterior, cuyo contenido mínimo se sujeta a las disposiciones de la Superintendencia.</w:t>
      </w:r>
    </w:p>
    <w:p w:rsidRPr="00025BD9" w:rsidR="00025BD9" w:rsidP="00025BD9" w:rsidRDefault="00025BD9" w14:paraId="2EEE23AD" w14:textId="77777777">
      <w:pPr>
        <w:tabs>
          <w:tab w:val="left" w:pos="2160"/>
        </w:tabs>
        <w:jc w:val="both"/>
        <w:rPr>
          <w:lang w:val="es-PE"/>
        </w:rPr>
      </w:pPr>
      <w:r w:rsidRPr="00025BD9">
        <w:rPr>
          <w:lang w:val="es-PE"/>
        </w:rPr>
        <w:t xml:space="preserve">De este modo, tenemos que las condiciones contractuales previstas en la Póliza solo podrán ser opuestas al reclamante, en este caso, siempre que estas hayan sido debidamente informadas. </w:t>
      </w:r>
      <w:r w:rsidRPr="00025BD9">
        <w:rPr>
          <w:bCs/>
          <w:lang w:val="es-PE"/>
        </w:rPr>
        <w:t>N</w:t>
      </w:r>
      <w:r w:rsidRPr="00025BD9">
        <w:rPr>
          <w:lang w:val="es-PE"/>
        </w:rPr>
        <w:t xml:space="preserve">o obstante, tal conclusión debe ser objeto de una interpretación integra de la Ley del Contrato de Seguro, toda vez que no podrá exceder a lo dispuesto en el artículo repasado anteriormente. En buena cuenta, no es posible pedir la inaplicación -por </w:t>
      </w:r>
      <w:r w:rsidRPr="00025BD9">
        <w:rPr>
          <w:i/>
          <w:iCs/>
          <w:lang w:val="es-PE"/>
        </w:rPr>
        <w:t>inoponibilidad-</w:t>
      </w:r>
      <w:r w:rsidRPr="00025BD9">
        <w:rPr>
          <w:lang w:val="es-PE"/>
        </w:rPr>
        <w:t xml:space="preserve"> una cláusula que implique que se desnaturalice el </w:t>
      </w:r>
      <w:r w:rsidRPr="00025BD9">
        <w:rPr>
          <w:i/>
          <w:iCs/>
          <w:lang w:val="es-PE"/>
        </w:rPr>
        <w:t>contrato de seguro</w:t>
      </w:r>
      <w:r w:rsidRPr="00025BD9">
        <w:rPr>
          <w:lang w:val="es-PE"/>
        </w:rPr>
        <w:t>. Por ejemplo, no resultará posible pedir coberturas respecto de riesgos que nunca fueron previstos por las partes.</w:t>
      </w:r>
    </w:p>
    <w:p w:rsidRPr="00025BD9" w:rsidR="00025BD9" w:rsidP="00025BD9" w:rsidRDefault="00025BD9" w14:paraId="00DB6D22" w14:textId="77777777">
      <w:pPr>
        <w:tabs>
          <w:tab w:val="left" w:pos="2160"/>
        </w:tabs>
        <w:jc w:val="both"/>
        <w:rPr>
          <w:lang w:val="es-PE"/>
        </w:rPr>
      </w:pPr>
    </w:p>
    <w:p w:rsidRPr="00025BD9" w:rsidR="00025BD9" w:rsidP="00025BD9" w:rsidRDefault="00025BD9" w14:paraId="7CF65730" w14:textId="77777777">
      <w:pPr>
        <w:tabs>
          <w:tab w:val="left" w:pos="2160"/>
        </w:tabs>
        <w:jc w:val="both"/>
        <w:rPr>
          <w:lang w:val="es-PE"/>
        </w:rPr>
      </w:pPr>
      <w:r w:rsidRPr="00025BD9">
        <w:rPr>
          <w:lang w:val="es-PE"/>
        </w:rPr>
        <w:t xml:space="preserve">En resumen, </w:t>
      </w:r>
      <w:r w:rsidRPr="00025BD9">
        <w:rPr>
          <w:rFonts w:eastAsia="Arial Unicode MS"/>
        </w:rPr>
        <w:t>el criterio uniforme de esta Defensoría, según se desprende de sus diversas resoluciones expedidas sobre la materia y que constan publicadas en su sitio web, radica en que, tal como hemos adelantado,</w:t>
      </w:r>
      <w:r w:rsidRPr="00025BD9">
        <w:t xml:space="preserve"> el artículo 137° de la Ley del Contrato de Seguro </w:t>
      </w:r>
      <w:r w:rsidRPr="00025BD9">
        <w:rPr>
          <w:rFonts w:eastAsia="Arial Unicode MS"/>
        </w:rPr>
        <w:t>presupone que -en caso de un siniestro- la cobertura solicitada se corresponda a la de un riesgo aceptado y previsto por las partes en la Póliza</w:t>
      </w:r>
    </w:p>
    <w:p w:rsidRPr="00025BD9" w:rsidR="00025BD9" w:rsidP="00025BD9" w:rsidRDefault="00025BD9" w14:paraId="117BC23B" w14:textId="77777777">
      <w:pPr>
        <w:tabs>
          <w:tab w:val="left" w:pos="2160"/>
        </w:tabs>
        <w:jc w:val="both"/>
        <w:rPr>
          <w:lang w:val="es-PE"/>
        </w:rPr>
      </w:pPr>
    </w:p>
    <w:p w:rsidRPr="00025BD9" w:rsidR="00025BD9" w:rsidP="00025BD9" w:rsidRDefault="00025BD9" w14:paraId="53D6FEC4" w14:textId="77777777">
      <w:pPr>
        <w:tabs>
          <w:tab w:val="left" w:pos="2160"/>
        </w:tabs>
        <w:jc w:val="both"/>
        <w:rPr>
          <w:lang w:val="es-PE"/>
        </w:rPr>
      </w:pPr>
      <w:r w:rsidRPr="00025BD9">
        <w:rPr>
          <w:b/>
          <w:u w:val="single"/>
          <w:lang w:val="es-PE"/>
        </w:rPr>
        <w:t>Octavo:</w:t>
      </w:r>
      <w:r w:rsidRPr="00025BD9">
        <w:rPr>
          <w:lang w:val="es-PE"/>
        </w:rPr>
        <w:t xml:space="preserve">  Que, en el presente caso, para esclarecer la cuestión controvertida, debemos considerar lo señalado por la aseguradora con ocasión de su rechazo. En aquella ocasión manifestó lo siguiente:</w:t>
      </w:r>
    </w:p>
    <w:p w:rsidRPr="00025BD9" w:rsidR="00025BD9" w:rsidP="00025BD9" w:rsidRDefault="00025BD9" w14:paraId="79F87AEB" w14:textId="77777777">
      <w:pPr>
        <w:tabs>
          <w:tab w:val="left" w:pos="2160"/>
        </w:tabs>
        <w:jc w:val="both"/>
        <w:rPr>
          <w:lang w:val="es-PE"/>
        </w:rPr>
      </w:pPr>
    </w:p>
    <w:p w:rsidRPr="00025BD9" w:rsidR="00025BD9" w:rsidP="00025BD9" w:rsidRDefault="00025BD9" w14:paraId="4C9081C8" w14:textId="04F35DBA">
      <w:pPr>
        <w:tabs>
          <w:tab w:val="left" w:pos="2160"/>
        </w:tabs>
        <w:jc w:val="center"/>
      </w:pPr>
    </w:p>
    <w:p w:rsidRPr="00025BD9" w:rsidR="00025BD9" w:rsidP="00025BD9" w:rsidRDefault="00025BD9" w14:paraId="1FE99847" w14:textId="77777777">
      <w:pPr>
        <w:tabs>
          <w:tab w:val="left" w:pos="2160"/>
        </w:tabs>
        <w:jc w:val="both"/>
        <w:rPr>
          <w:lang w:val="es-PE"/>
        </w:rPr>
      </w:pPr>
      <w:r w:rsidRPr="00025BD9">
        <w:rPr>
          <w:lang w:val="es-PE"/>
        </w:rPr>
        <w:t>Como vemos, la aseguradora se funda en una cita de la Póliza, a fin de justificar su rechazo y -de este modo- cumplir con lo dispuesto en el artículo 15° del Reglamento de Gestión para el pago de siniestros, aprobado mediante Resolución SBS N° 3202-2013. En resumen, lo alegado por la aseguradora es que no es posible acceder a la solicitud de cobertura del reclamante, ya que nos encontramos ante un “hurto” y lo que cubre la Póliza no es ello, sino solo casos de robo por asalto o “por fractura”.</w:t>
      </w:r>
    </w:p>
    <w:p w:rsidRPr="00025BD9" w:rsidR="00025BD9" w:rsidP="00025BD9" w:rsidRDefault="00025BD9" w14:paraId="5F839689" w14:textId="77777777">
      <w:pPr>
        <w:tabs>
          <w:tab w:val="left" w:pos="2160"/>
        </w:tabs>
        <w:jc w:val="both"/>
        <w:rPr>
          <w:lang w:val="es-PE"/>
        </w:rPr>
      </w:pPr>
    </w:p>
    <w:p w:rsidRPr="00025BD9" w:rsidR="00025BD9" w:rsidP="00025BD9" w:rsidRDefault="00025BD9" w14:paraId="5632EF31" w14:textId="77777777">
      <w:pPr>
        <w:tabs>
          <w:tab w:val="left" w:pos="2160"/>
        </w:tabs>
        <w:jc w:val="both"/>
        <w:rPr>
          <w:lang w:val="es-PE"/>
        </w:rPr>
      </w:pPr>
      <w:r w:rsidRPr="00025BD9">
        <w:rPr>
          <w:lang w:val="es-PE"/>
        </w:rPr>
        <w:t xml:space="preserve">La cláusula diferencia los conceptos de “robo”, siendo que no incluye en la Póliza el concepto de “hurto”. </w:t>
      </w:r>
    </w:p>
    <w:p w:rsidRPr="00025BD9" w:rsidR="00025BD9" w:rsidP="00025BD9" w:rsidRDefault="00025BD9" w14:paraId="7B0F1A71" w14:textId="77777777">
      <w:pPr>
        <w:tabs>
          <w:tab w:val="left" w:pos="2160"/>
        </w:tabs>
        <w:jc w:val="both"/>
        <w:rPr>
          <w:lang w:val="es-PE"/>
        </w:rPr>
      </w:pPr>
    </w:p>
    <w:p w:rsidRPr="00025BD9" w:rsidR="00025BD9" w:rsidP="00025BD9" w:rsidRDefault="00025BD9" w14:paraId="0D76539F" w14:textId="77777777">
      <w:pPr>
        <w:jc w:val="both"/>
        <w:rPr>
          <w:lang w:val="es-PE"/>
        </w:rPr>
      </w:pPr>
      <w:r w:rsidRPr="00025BD9">
        <w:rPr>
          <w:b/>
          <w:u w:val="single"/>
          <w:lang w:val="es-PE"/>
        </w:rPr>
        <w:t>Noveno:</w:t>
      </w:r>
      <w:r w:rsidRPr="00025BD9">
        <w:rPr>
          <w:lang w:val="es-PE"/>
        </w:rPr>
        <w:t xml:space="preserve">  Que, conforme se aprecia de los actuados, nos encontramos ante un caso donde se pretende requerir la indemnización por la materialización de un riesgo que nunca se encontró dentro los términos acordados por las partes. En otras palabras, el riesgo (robo por “hurto”) nunca fue objeto de la Póliza, por lo que no resultaría de aplicación lo dispuesto en el artículo 137° de la Ley del Contrato de Seguro, ya que -de lo contrario- se desnaturalizaría el carácter consensual del </w:t>
      </w:r>
      <w:r w:rsidRPr="00025BD9">
        <w:rPr>
          <w:i/>
          <w:iCs/>
          <w:lang w:val="es-PE"/>
        </w:rPr>
        <w:t xml:space="preserve">contrato de seguro contrato de seguro </w:t>
      </w:r>
      <w:r w:rsidRPr="00025BD9">
        <w:rPr>
          <w:lang w:val="es-PE"/>
        </w:rPr>
        <w:t>y se obligaría a una de las partes (la aseguradora) a asumir el costo de un riesgo que nunca fue objeto de acuerdo en la Póliza.</w:t>
      </w:r>
    </w:p>
    <w:p w:rsidRPr="00025BD9" w:rsidR="00025BD9" w:rsidP="00025BD9" w:rsidRDefault="00025BD9" w14:paraId="0F72A3E7" w14:textId="77777777">
      <w:pPr>
        <w:jc w:val="both"/>
        <w:rPr>
          <w:lang w:val="es-PE"/>
        </w:rPr>
      </w:pPr>
    </w:p>
    <w:p w:rsidRPr="00025BD9" w:rsidR="00025BD9" w:rsidP="00025BD9" w:rsidRDefault="00025BD9" w14:paraId="3C067DAE" w14:textId="77777777">
      <w:pPr>
        <w:tabs>
          <w:tab w:val="left" w:pos="2160"/>
        </w:tabs>
        <w:jc w:val="both"/>
        <w:rPr>
          <w:lang w:val="es-PE"/>
        </w:rPr>
      </w:pPr>
      <w:r w:rsidRPr="00025BD9">
        <w:rPr>
          <w:lang w:val="es-PE"/>
        </w:rPr>
        <w:t>En conclusión, el rechazo resulta ajustado a derecho, puesto que, a la luz del Informe Final del Ajustador y de la denuncia policial obrante en autos, el reclamante no habría sido objeto de “robo”, sino de un caso de “hurto”. De este modo, el caso de autos no resulta un riesgo susceptible de cobertura en la Póliza.</w:t>
      </w:r>
    </w:p>
    <w:p w:rsidRPr="00025BD9" w:rsidR="00025BD9" w:rsidP="00025BD9" w:rsidRDefault="00025BD9" w14:paraId="60104EDB" w14:textId="77777777">
      <w:pPr>
        <w:jc w:val="both"/>
        <w:rPr>
          <w:lang w:val="es-PE"/>
        </w:rPr>
      </w:pPr>
    </w:p>
    <w:p w:rsidRPr="00025BD9" w:rsidR="00025BD9" w:rsidP="00025BD9" w:rsidRDefault="00025BD9" w14:paraId="6CAE0ECF" w14:textId="77777777">
      <w:pPr>
        <w:tabs>
          <w:tab w:val="left" w:pos="2160"/>
        </w:tabs>
        <w:jc w:val="both"/>
        <w:rPr>
          <w:lang w:val="es-PE"/>
        </w:rPr>
      </w:pPr>
      <w:r w:rsidRPr="00025BD9">
        <w:rPr>
          <w:lang w:val="es-PE"/>
        </w:rPr>
        <w:t>En consecuencia, el rechazo de cobertura informado por la aseguradora resulta legítimo.</w:t>
      </w:r>
    </w:p>
    <w:p w:rsidRPr="00025BD9" w:rsidR="00025BD9" w:rsidP="00025BD9" w:rsidRDefault="00025BD9" w14:paraId="6C7B0093" w14:textId="77777777">
      <w:pPr>
        <w:tabs>
          <w:tab w:val="left" w:pos="2160"/>
        </w:tabs>
        <w:jc w:val="both"/>
      </w:pPr>
    </w:p>
    <w:p w:rsidRPr="00025BD9" w:rsidR="00025BD9" w:rsidP="00025BD9" w:rsidRDefault="00025BD9" w14:paraId="45D1FE77" w14:textId="77777777">
      <w:pPr>
        <w:tabs>
          <w:tab w:val="left" w:pos="2160"/>
        </w:tabs>
        <w:jc w:val="both"/>
        <w:rPr>
          <w:b/>
          <w:lang w:val="es-PE"/>
        </w:rPr>
      </w:pPr>
      <w:r w:rsidRPr="00025BD9">
        <w:rPr>
          <w:b/>
          <w:lang w:val="es-PE"/>
        </w:rPr>
        <w:t xml:space="preserve">Atendiendo a lo expresado, este colegiado </w:t>
      </w:r>
      <w:r w:rsidRPr="00025BD9">
        <w:rPr>
          <w:b/>
        </w:rPr>
        <w:t>concluye su apreciación razonada y conjunta al amparo de lo establecido en su Reglamento, por lo que</w:t>
      </w:r>
      <w:r w:rsidRPr="00025BD9">
        <w:rPr>
          <w:b/>
          <w:lang w:val="es-PE"/>
        </w:rPr>
        <w:t xml:space="preserve"> </w:t>
      </w:r>
    </w:p>
    <w:p w:rsidRPr="00025BD9" w:rsidR="00025BD9" w:rsidP="00025BD9" w:rsidRDefault="00025BD9" w14:paraId="241BE6D6" w14:textId="77777777">
      <w:pPr>
        <w:tabs>
          <w:tab w:val="left" w:pos="2160"/>
        </w:tabs>
        <w:jc w:val="both"/>
        <w:rPr>
          <w:b/>
          <w:lang w:val="es-PE"/>
        </w:rPr>
      </w:pPr>
    </w:p>
    <w:p w:rsidRPr="00025BD9" w:rsidR="00025BD9" w:rsidP="00025BD9" w:rsidRDefault="00025BD9" w14:paraId="5D735DC8" w14:textId="77777777">
      <w:pPr>
        <w:tabs>
          <w:tab w:val="left" w:pos="2160"/>
        </w:tabs>
        <w:jc w:val="both"/>
        <w:rPr>
          <w:b/>
        </w:rPr>
      </w:pPr>
      <w:r w:rsidRPr="00025BD9">
        <w:rPr>
          <w:b/>
          <w:lang w:val="es-PE"/>
        </w:rPr>
        <w:t>Resuelve:</w:t>
      </w:r>
    </w:p>
    <w:p w:rsidRPr="00025BD9" w:rsidR="00025BD9" w:rsidP="00025BD9" w:rsidRDefault="00025BD9" w14:paraId="2DE1AAC8" w14:textId="77777777">
      <w:pPr>
        <w:tabs>
          <w:tab w:val="left" w:pos="2160"/>
        </w:tabs>
        <w:jc w:val="both"/>
      </w:pPr>
    </w:p>
    <w:p w:rsidRPr="00025BD9" w:rsidR="00025BD9" w:rsidP="00025BD9" w:rsidRDefault="00025BD9" w14:paraId="45618E6D" w14:textId="1E14A61B">
      <w:pPr>
        <w:tabs>
          <w:tab w:val="left" w:pos="2160"/>
        </w:tabs>
        <w:jc w:val="both"/>
        <w:rPr>
          <w:lang w:val="es-PE"/>
        </w:rPr>
      </w:pPr>
      <w:r w:rsidRPr="2A582CB8" w:rsidR="00025BD9">
        <w:rPr>
          <w:lang w:val="es-PE"/>
        </w:rPr>
        <w:t xml:space="preserve">Declarar </w:t>
      </w:r>
      <w:r w:rsidRPr="2A582CB8" w:rsidR="00025BD9">
        <w:rPr>
          <w:b w:val="1"/>
          <w:bCs w:val="1"/>
          <w:lang w:val="es-PE"/>
        </w:rPr>
        <w:t xml:space="preserve">INFUNDADA </w:t>
      </w:r>
      <w:r w:rsidRPr="2A582CB8" w:rsidR="00025BD9">
        <w:rPr>
          <w:lang w:val="es-PE"/>
        </w:rPr>
        <w:t xml:space="preserve">la reclamación interpuesta por don </w:t>
      </w:r>
      <w:r w:rsidRPr="2A582CB8" w:rsidR="1BCC5651">
        <w:rPr>
          <w:b w:val="1"/>
          <w:bCs w:val="1"/>
        </w:rPr>
        <w:t>.........................................................</w:t>
      </w:r>
      <w:r w:rsidRPr="2A582CB8" w:rsidR="00025BD9">
        <w:rPr>
          <w:b w:val="1"/>
          <w:bCs w:val="1"/>
          <w:lang w:val="es-PE"/>
        </w:rPr>
        <w:t xml:space="preserve"> </w:t>
      </w:r>
      <w:r w:rsidRPr="2A582CB8" w:rsidR="00025BD9">
        <w:rPr>
          <w:lang w:val="es-PE"/>
        </w:rPr>
        <w:t xml:space="preserve">contra </w:t>
      </w:r>
      <w:r w:rsidRPr="2A582CB8" w:rsidR="730B075D">
        <w:rPr>
          <w:b w:val="1"/>
          <w:bCs w:val="1"/>
          <w:lang w:val="es-PE"/>
        </w:rPr>
        <w:t>...........................................................................................</w:t>
      </w:r>
      <w:r w:rsidRPr="2A582CB8" w:rsidR="00025BD9">
        <w:rPr>
          <w:lang w:val="es-PE"/>
        </w:rPr>
        <w:t>, dejando a salvo el derecho de las partes de acudir ante las instancias que estimen pertinentes.</w:t>
      </w:r>
    </w:p>
    <w:p w:rsidRPr="00025BD9" w:rsidR="000D4627" w:rsidP="000D4627" w:rsidRDefault="000D4627" w14:paraId="21925956" w14:textId="77777777">
      <w:pPr>
        <w:jc w:val="right"/>
        <w:outlineLvl w:val="0"/>
        <w:rPr>
          <w:rStyle w:val="Textoennegrita"/>
          <w:lang w:val="es-PE"/>
        </w:rPr>
      </w:pPr>
    </w:p>
    <w:p w:rsidRPr="00025BD9" w:rsidR="001631D6" w:rsidP="000D4627" w:rsidRDefault="00F15FBA" w14:paraId="30F8D459" w14:textId="1825ADBC">
      <w:pPr>
        <w:jc w:val="right"/>
        <w:outlineLvl w:val="0"/>
        <w:rPr>
          <w:lang w:val="es-PE"/>
        </w:rPr>
      </w:pPr>
      <w:r w:rsidRPr="00025BD9">
        <w:rPr>
          <w:lang w:val="es-PE"/>
        </w:rPr>
        <w:t xml:space="preserve">Lima, </w:t>
      </w:r>
      <w:r w:rsidRPr="00025BD9" w:rsidR="002605BB">
        <w:t>1</w:t>
      </w:r>
      <w:r w:rsidRPr="00025BD9" w:rsidR="00DE696C">
        <w:t>9</w:t>
      </w:r>
      <w:r w:rsidRPr="00025BD9" w:rsidR="00981056">
        <w:t xml:space="preserve"> </w:t>
      </w:r>
      <w:r w:rsidRPr="00025BD9">
        <w:rPr>
          <w:lang w:val="es-PE"/>
        </w:rPr>
        <w:t>de</w:t>
      </w:r>
      <w:r w:rsidRPr="00025BD9" w:rsidR="001631D6">
        <w:rPr>
          <w:lang w:val="es-PE"/>
        </w:rPr>
        <w:t xml:space="preserve"> </w:t>
      </w:r>
      <w:r w:rsidRPr="00025BD9" w:rsidR="00E16535">
        <w:rPr>
          <w:lang w:val="es-PE"/>
        </w:rPr>
        <w:t>ju</w:t>
      </w:r>
      <w:r w:rsidRPr="00025BD9" w:rsidR="002605BB">
        <w:rPr>
          <w:lang w:val="es-PE"/>
        </w:rPr>
        <w:t>l</w:t>
      </w:r>
      <w:r w:rsidRPr="00025BD9" w:rsidR="00E16535">
        <w:rPr>
          <w:lang w:val="es-PE"/>
        </w:rPr>
        <w:t>io</w:t>
      </w:r>
      <w:r w:rsidRPr="00025BD9" w:rsidR="001631D6">
        <w:rPr>
          <w:lang w:val="es-PE"/>
        </w:rPr>
        <w:t xml:space="preserve"> </w:t>
      </w:r>
      <w:r w:rsidRPr="00025BD9">
        <w:rPr>
          <w:lang w:val="es-PE"/>
        </w:rPr>
        <w:t>de 20</w:t>
      </w:r>
      <w:r w:rsidRPr="00025BD9" w:rsidR="001631D6">
        <w:rPr>
          <w:lang w:val="es-PE"/>
        </w:rPr>
        <w:t>2</w:t>
      </w:r>
      <w:r w:rsidRPr="00025BD9" w:rsidR="00807D21">
        <w:rPr>
          <w:lang w:val="es-PE"/>
        </w:rPr>
        <w:t>3</w:t>
      </w:r>
    </w:p>
    <w:p w:rsidRPr="00025BD9" w:rsidR="00F202DC" w:rsidP="001631D6" w:rsidRDefault="00F202DC" w14:paraId="55EA6443" w14:textId="77777777">
      <w:pPr>
        <w:jc w:val="both"/>
      </w:pPr>
    </w:p>
    <w:p w:rsidRPr="00025BD9" w:rsidR="001631D6" w:rsidP="001631D6" w:rsidRDefault="001631D6" w14:paraId="54F717D9" w14:textId="77777777">
      <w:pPr>
        <w:jc w:val="both"/>
        <w:rPr>
          <w:b/>
          <w:bCs/>
          <w:i/>
          <w:iCs/>
          <w:lang w:val="es-ES_tradnl"/>
        </w:rPr>
      </w:pPr>
      <w:r w:rsidRPr="00025BD9">
        <w:rPr>
          <w:b/>
          <w:bCs/>
          <w:i/>
          <w:iCs/>
          <w:lang w:val="es-ES_tradnl"/>
        </w:rPr>
        <w:lastRenderedPageBreak/>
        <w:t>La Secretaría Técnica certifica que la presente resolución cuenta con el voto de los vocales cuyos nombres figuran en el presente documento.</w:t>
      </w:r>
    </w:p>
    <w:p w:rsidRPr="00025BD9" w:rsidR="005A0FA4" w:rsidP="001631D6" w:rsidRDefault="005A0FA4" w14:paraId="68E12145" w14:textId="77777777">
      <w:pPr>
        <w:jc w:val="both"/>
        <w:rPr>
          <w:b/>
          <w:bCs/>
          <w:i/>
          <w:iCs/>
          <w:lang w:val="es-ES_tradnl"/>
        </w:rPr>
      </w:pPr>
    </w:p>
    <w:p w:rsidRPr="00025BD9" w:rsidR="001631D6" w:rsidP="005A0FA4" w:rsidRDefault="005A0FA4" w14:paraId="024CA4C1" w14:textId="20396E37">
      <w:pPr>
        <w:spacing w:line="360" w:lineRule="auto"/>
        <w:jc w:val="center"/>
        <w:rPr>
          <w:b/>
          <w:bCs/>
        </w:rPr>
      </w:pPr>
      <w:r w:rsidRPr="00025BD9">
        <w:rPr>
          <w:b/>
          <w:bCs/>
        </w:rPr>
        <w:t>Omar Alfaro Villanueva – Presidente</w:t>
      </w:r>
    </w:p>
    <w:p w:rsidRPr="00025BD9" w:rsidR="003E6BA6" w:rsidP="003E6BA6" w:rsidRDefault="003E6BA6" w14:paraId="7E9839D4" w14:textId="217F753E">
      <w:pPr>
        <w:spacing w:line="360" w:lineRule="auto"/>
        <w:jc w:val="center"/>
        <w:rPr>
          <w:b/>
          <w:bCs/>
        </w:rPr>
      </w:pPr>
      <w:r w:rsidRPr="00025BD9">
        <w:rPr>
          <w:b/>
          <w:bCs/>
        </w:rPr>
        <w:t xml:space="preserve">María Eugenia Valdez Fernández Baca – </w:t>
      </w:r>
      <w:r w:rsidRPr="00025BD9" w:rsidR="005A0FA4">
        <w:rPr>
          <w:b/>
          <w:bCs/>
        </w:rPr>
        <w:t>Vocal</w:t>
      </w:r>
    </w:p>
    <w:p w:rsidRPr="00025BD9" w:rsidR="001631D6" w:rsidP="001631D6" w:rsidRDefault="001631D6" w14:paraId="515933D0" w14:textId="5FD7ECBB">
      <w:pPr>
        <w:spacing w:line="360" w:lineRule="auto"/>
        <w:jc w:val="center"/>
        <w:rPr>
          <w:b/>
          <w:bCs/>
        </w:rPr>
      </w:pPr>
      <w:r w:rsidRPr="00025BD9">
        <w:rPr>
          <w:b/>
          <w:bCs/>
        </w:rPr>
        <w:t xml:space="preserve">Rolando Eyzaguirre Maccan – </w:t>
      </w:r>
      <w:r w:rsidRPr="00025BD9" w:rsidR="003E6BA6">
        <w:rPr>
          <w:b/>
          <w:bCs/>
        </w:rPr>
        <w:t>Vocal</w:t>
      </w:r>
    </w:p>
    <w:p w:rsidRPr="00025BD9" w:rsidR="001631D6" w:rsidP="001631D6" w:rsidRDefault="001631D6" w14:paraId="44059E74" w14:textId="77777777">
      <w:pPr>
        <w:spacing w:line="360" w:lineRule="auto"/>
        <w:jc w:val="center"/>
        <w:rPr>
          <w:lang w:val="es-MX"/>
        </w:rPr>
      </w:pPr>
      <w:r w:rsidRPr="00025BD9">
        <w:rPr>
          <w:b/>
          <w:bCs/>
        </w:rPr>
        <w:t>Gonzalo Abad del Busto - Vocal</w:t>
      </w:r>
    </w:p>
    <w:p w:rsidRPr="00025BD9" w:rsidR="001631D6" w:rsidP="00F15FBA" w:rsidRDefault="001631D6" w14:paraId="0DA96C46" w14:textId="77777777">
      <w:pPr>
        <w:jc w:val="both"/>
        <w:rPr>
          <w:lang w:val="es-PE"/>
        </w:rPr>
      </w:pPr>
    </w:p>
    <w:p w:rsidRPr="00025BD9" w:rsidR="00F15FBA" w:rsidP="00F15FBA" w:rsidRDefault="00F15FBA" w14:paraId="22C77427" w14:textId="77777777"/>
    <w:p w:rsidRPr="00025BD9"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1640" w:rsidP="005F148C" w:rsidRDefault="00121640" w14:paraId="196BAFA7" w14:textId="77777777">
      <w:r>
        <w:separator/>
      </w:r>
    </w:p>
  </w:endnote>
  <w:endnote w:type="continuationSeparator" w:id="0">
    <w:p w:rsidR="00121640" w:rsidP="005F148C" w:rsidRDefault="00121640" w14:paraId="1A0260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1640" w:rsidP="005F148C" w:rsidRDefault="00121640" w14:paraId="59B1B954" w14:textId="77777777">
      <w:r>
        <w:separator/>
      </w:r>
    </w:p>
  </w:footnote>
  <w:footnote w:type="continuationSeparator" w:id="0">
    <w:p w:rsidR="00121640" w:rsidP="005F148C" w:rsidRDefault="00121640" w14:paraId="65D1E64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8"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8"/>
  </w:num>
  <w:num w:numId="9" w16cid:durableId="1509519697">
    <w:abstractNumId w:val="6"/>
  </w:num>
  <w:num w:numId="10" w16cid:durableId="136944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8"/>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6"/>
  </w:num>
  <w:num w:numId="24" w16cid:durableId="668286660">
    <w:abstractNumId w:val="17"/>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7"/>
  </w:num>
  <w:num w:numId="27" w16cid:durableId="7538175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1"/>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2"/>
  </w:num>
  <w:num w:numId="37" w16cid:durableId="1635062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1"/>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5BD9"/>
    <w:rsid w:val="0002647A"/>
    <w:rsid w:val="0003193C"/>
    <w:rsid w:val="00032526"/>
    <w:rsid w:val="00032C2E"/>
    <w:rsid w:val="0003324F"/>
    <w:rsid w:val="00035695"/>
    <w:rsid w:val="00035BA1"/>
    <w:rsid w:val="00035CCC"/>
    <w:rsid w:val="00045B2C"/>
    <w:rsid w:val="000654A1"/>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640"/>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DE696C"/>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98507C3"/>
    <w:rsid w:val="119531FF"/>
    <w:rsid w:val="1BCC5651"/>
    <w:rsid w:val="2A54FFBC"/>
    <w:rsid w:val="2A582CB8"/>
    <w:rsid w:val="40235497"/>
    <w:rsid w:val="40274A69"/>
    <w:rsid w:val="4D1FB901"/>
    <w:rsid w:val="730B0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4989161">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770387C-C453-43A6-B090-0D881D83467B}"/>
</file>

<file path=customXml/itemProps3.xml><?xml version="1.0" encoding="utf-8"?>
<ds:datastoreItem xmlns:ds="http://schemas.openxmlformats.org/officeDocument/2006/customXml" ds:itemID="{522ACA6F-3B00-4C5D-BDE5-5C58CFECEA06}"/>
</file>

<file path=customXml/itemProps4.xml><?xml version="1.0" encoding="utf-8"?>
<ds:datastoreItem xmlns:ds="http://schemas.openxmlformats.org/officeDocument/2006/customXml" ds:itemID="{1C3CF9FB-B09B-43F9-A55A-3D420B0573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79</cp:revision>
  <cp:lastPrinted>2023-07-20T14:52:00Z</cp:lastPrinted>
  <dcterms:created xsi:type="dcterms:W3CDTF">2023-06-22T13:57:00Z</dcterms:created>
  <dcterms:modified xsi:type="dcterms:W3CDTF">2025-06-23T19:51:18Z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