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1EC0"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131EC0" w:rsidR="000341A4" w:rsidP="00FC79F6" w:rsidRDefault="000341A4" w14:paraId="56329F19" w14:textId="77777777">
      <w:pPr>
        <w:pStyle w:val="Puesto"/>
        <w:tabs>
          <w:tab w:val="left" w:pos="2730"/>
          <w:tab w:val="center" w:pos="4419"/>
        </w:tabs>
        <w:outlineLvl w:val="0"/>
        <w:rPr>
          <w:rStyle w:val="Textoennegrita"/>
          <w:b/>
          <w:bCs/>
          <w:lang w:val="es-ES"/>
        </w:rPr>
      </w:pPr>
    </w:p>
    <w:p w:rsidRPr="00131EC0" w:rsidR="00D645CF" w:rsidP="00FC79F6" w:rsidRDefault="00D00142" w14:paraId="587C9FEE" w14:textId="6D744DAB">
      <w:pPr>
        <w:pStyle w:val="Puesto"/>
        <w:tabs>
          <w:tab w:val="left" w:pos="2730"/>
          <w:tab w:val="center" w:pos="4419"/>
        </w:tabs>
        <w:outlineLvl w:val="0"/>
        <w:rPr>
          <w:rStyle w:val="Textoennegrita"/>
          <w:b/>
          <w:bCs/>
          <w:lang w:val="es-ES"/>
        </w:rPr>
      </w:pPr>
      <w:r w:rsidRPr="00131EC0">
        <w:rPr>
          <w:rStyle w:val="Textoennegrita"/>
          <w:b/>
          <w:bCs/>
          <w:lang w:val="es-ES"/>
        </w:rPr>
        <w:t>RESOLUCION N°</w:t>
      </w:r>
      <w:r w:rsidRPr="00131EC0" w:rsidR="000341A4">
        <w:rPr>
          <w:rStyle w:val="Textoennegrita"/>
          <w:b/>
          <w:bCs/>
          <w:lang w:val="es-ES"/>
        </w:rPr>
        <w:t xml:space="preserve"> </w:t>
      </w:r>
      <w:r w:rsidRPr="00131EC0" w:rsidR="004A5CA2">
        <w:rPr>
          <w:rStyle w:val="Textoennegrita"/>
          <w:b/>
          <w:bCs/>
          <w:lang w:val="es-ES"/>
        </w:rPr>
        <w:t>1</w:t>
      </w:r>
      <w:r w:rsidRPr="00131EC0" w:rsidR="00854EE6">
        <w:rPr>
          <w:rStyle w:val="Textoennegrita"/>
          <w:b/>
          <w:bCs/>
          <w:lang w:val="es-ES"/>
        </w:rPr>
        <w:t>6</w:t>
      </w:r>
      <w:r w:rsidRPr="00131EC0" w:rsidR="00CD5D60">
        <w:rPr>
          <w:rStyle w:val="Textoennegrita"/>
          <w:b/>
          <w:bCs/>
          <w:lang w:val="es-ES"/>
        </w:rPr>
        <w:t>7</w:t>
      </w:r>
      <w:r w:rsidRPr="00131EC0">
        <w:rPr>
          <w:rStyle w:val="Textoennegrita"/>
          <w:b/>
          <w:bCs/>
          <w:lang w:val="es-ES"/>
        </w:rPr>
        <w:t>/2</w:t>
      </w:r>
      <w:r w:rsidRPr="00131EC0" w:rsidR="006C6213">
        <w:rPr>
          <w:rStyle w:val="Textoennegrita"/>
          <w:b/>
          <w:bCs/>
          <w:lang w:val="es-ES"/>
        </w:rPr>
        <w:t>3</w:t>
      </w:r>
    </w:p>
    <w:p w:rsidRPr="00131EC0" w:rsidR="00734333" w:rsidP="00734333" w:rsidRDefault="00734333" w14:paraId="075A531F" w14:textId="77777777">
      <w:pPr>
        <w:jc w:val="both"/>
        <w:rPr>
          <w:rFonts w:ascii="Times New Roman" w:hAnsi="Times New Roman"/>
          <w:b/>
          <w:sz w:val="24"/>
          <w:szCs w:val="24"/>
        </w:rPr>
      </w:pPr>
    </w:p>
    <w:p w:rsidRPr="00131EC0" w:rsidR="00131EC0" w:rsidP="00131EC0" w:rsidRDefault="00131EC0" w14:paraId="105E20A5" w14:textId="77777777">
      <w:pPr>
        <w:jc w:val="both"/>
        <w:rPr>
          <w:rFonts w:ascii="Times New Roman" w:hAnsi="Times New Roman" w:eastAsia="Times New Roman"/>
          <w:sz w:val="24"/>
          <w:szCs w:val="24"/>
        </w:rPr>
      </w:pPr>
      <w:r w:rsidRPr="00131EC0">
        <w:rPr>
          <w:rStyle w:val="Textoennegrita"/>
          <w:rFonts w:ascii="Times New Roman" w:hAnsi="Times New Roman"/>
          <w:sz w:val="24"/>
          <w:szCs w:val="24"/>
        </w:rPr>
        <w:t>VISTOS:</w:t>
      </w:r>
    </w:p>
    <w:p w:rsidRPr="00131EC0" w:rsidR="00131EC0" w:rsidP="00131EC0" w:rsidRDefault="00131EC0" w14:paraId="3E67882A" w14:textId="69AC9E36">
      <w:pPr>
        <w:jc w:val="both"/>
        <w:rPr>
          <w:rFonts w:ascii="Times New Roman" w:hAnsi="Times New Roman"/>
          <w:sz w:val="24"/>
          <w:szCs w:val="24"/>
        </w:rPr>
      </w:pPr>
      <w:r w:rsidRPr="3E5E6471" w:rsidR="00131EC0">
        <w:rPr>
          <w:rFonts w:ascii="Times New Roman" w:hAnsi="Times New Roman"/>
          <w:sz w:val="24"/>
          <w:szCs w:val="24"/>
        </w:rPr>
        <w:t xml:space="preserve">Que, don </w:t>
      </w:r>
      <w:r w:rsidRPr="3E5E6471" w:rsidR="027AD62D">
        <w:rPr>
          <w:rFonts w:ascii="Times New Roman" w:hAnsi="Times New Roman"/>
          <w:b w:val="1"/>
          <w:bCs w:val="1"/>
          <w:sz w:val="24"/>
          <w:szCs w:val="24"/>
        </w:rPr>
        <w:t>...........................................................</w:t>
      </w:r>
      <w:r w:rsidRPr="3E5E6471" w:rsidR="00131EC0">
        <w:rPr>
          <w:rFonts w:ascii="Times New Roman" w:hAnsi="Times New Roman"/>
          <w:b w:val="1"/>
          <w:bCs w:val="1"/>
          <w:sz w:val="24"/>
          <w:szCs w:val="24"/>
        </w:rPr>
        <w:t xml:space="preserve"> </w:t>
      </w:r>
      <w:r w:rsidRPr="3E5E6471" w:rsidR="00131EC0">
        <w:rPr>
          <w:rFonts w:ascii="Times New Roman" w:hAnsi="Times New Roman"/>
          <w:sz w:val="24"/>
          <w:szCs w:val="24"/>
        </w:rPr>
        <w:t>(en adelante, el</w:t>
      </w:r>
      <w:r w:rsidRPr="3E5E6471" w:rsidR="00131EC0">
        <w:rPr>
          <w:rFonts w:ascii="Times New Roman" w:hAnsi="Times New Roman"/>
          <w:sz w:val="24"/>
          <w:szCs w:val="24"/>
        </w:rPr>
        <w:t xml:space="preserve"> recla</w:t>
      </w:r>
      <w:r w:rsidRPr="3E5E6471" w:rsidR="00131EC0">
        <w:rPr>
          <w:rFonts w:ascii="Times New Roman" w:hAnsi="Times New Roman"/>
          <w:sz w:val="24"/>
          <w:szCs w:val="24"/>
        </w:rPr>
        <w:t xml:space="preserve">mante) interpone reclamación ante esta Defensoría del Asegurado (DEFASEG), solicitando que </w:t>
      </w:r>
      <w:r w:rsidRPr="3E5E6471" w:rsidR="73360F23">
        <w:rPr>
          <w:rFonts w:ascii="Times New Roman" w:hAnsi="Times New Roman"/>
          <w:b w:val="1"/>
          <w:bCs w:val="1"/>
          <w:sz w:val="24"/>
          <w:szCs w:val="24"/>
        </w:rPr>
        <w:t>........................................................................................................................</w:t>
      </w:r>
      <w:r w:rsidRPr="3E5E6471" w:rsidR="00131EC0">
        <w:rPr>
          <w:rFonts w:ascii="Times New Roman" w:hAnsi="Times New Roman"/>
          <w:b w:val="1"/>
          <w:bCs w:val="1"/>
          <w:sz w:val="24"/>
          <w:szCs w:val="24"/>
        </w:rPr>
        <w:t xml:space="preserve"> </w:t>
      </w:r>
      <w:r w:rsidRPr="3E5E6471" w:rsidR="00131EC0">
        <w:rPr>
          <w:rFonts w:ascii="Times New Roman" w:hAnsi="Times New Roman"/>
          <w:sz w:val="24"/>
          <w:szCs w:val="24"/>
        </w:rPr>
        <w:t>(en adelante, la aseguradora)</w:t>
      </w:r>
      <w:r w:rsidRPr="3E5E6471" w:rsidR="00131EC0">
        <w:rPr>
          <w:rFonts w:ascii="Times New Roman" w:hAnsi="Times New Roman"/>
          <w:b w:val="1"/>
          <w:bCs w:val="1"/>
          <w:sz w:val="24"/>
          <w:szCs w:val="24"/>
        </w:rPr>
        <w:t xml:space="preserve"> </w:t>
      </w:r>
      <w:r w:rsidRPr="3E5E6471" w:rsidR="00131EC0">
        <w:rPr>
          <w:rFonts w:ascii="Times New Roman" w:hAnsi="Times New Roman"/>
          <w:sz w:val="24"/>
          <w:szCs w:val="24"/>
        </w:rPr>
        <w:t xml:space="preserve">apruebe su solicitud de cobertura por concepto del Seguro Hogar Hipotecario </w:t>
      </w:r>
      <w:r w:rsidRPr="3E5E6471" w:rsidR="00131EC0">
        <w:rPr>
          <w:rFonts w:ascii="Times New Roman" w:hAnsi="Times New Roman"/>
          <w:sz w:val="24"/>
          <w:szCs w:val="24"/>
        </w:rPr>
        <w:t>N°</w:t>
      </w:r>
      <w:r w:rsidRPr="3E5E6471" w:rsidR="00131EC0">
        <w:rPr>
          <w:rFonts w:ascii="Times New Roman" w:hAnsi="Times New Roman"/>
          <w:sz w:val="24"/>
          <w:szCs w:val="24"/>
        </w:rPr>
        <w:t xml:space="preserve"> </w:t>
      </w:r>
      <w:r w:rsidRPr="3E5E6471" w:rsidR="56B4E923">
        <w:rPr>
          <w:rFonts w:ascii="Times New Roman" w:hAnsi="Times New Roman"/>
          <w:sz w:val="24"/>
          <w:szCs w:val="24"/>
        </w:rPr>
        <w:t>........................</w:t>
      </w:r>
      <w:r w:rsidRPr="3E5E6471" w:rsidR="00131EC0">
        <w:rPr>
          <w:rFonts w:ascii="Times New Roman" w:hAnsi="Times New Roman"/>
          <w:sz w:val="24"/>
          <w:szCs w:val="24"/>
        </w:rPr>
        <w:t xml:space="preserve"> (en adela</w:t>
      </w:r>
      <w:r w:rsidRPr="3E5E6471" w:rsidR="00131EC0">
        <w:rPr>
          <w:rFonts w:ascii="Times New Roman" w:hAnsi="Times New Roman"/>
          <w:sz w:val="24"/>
          <w:szCs w:val="24"/>
        </w:rPr>
        <w:t>nt</w:t>
      </w:r>
      <w:r w:rsidRPr="3E5E6471" w:rsidR="00131EC0">
        <w:rPr>
          <w:rFonts w:ascii="Times New Roman" w:hAnsi="Times New Roman"/>
          <w:sz w:val="24"/>
          <w:szCs w:val="24"/>
        </w:rPr>
        <w:t>e, la póliza).</w:t>
      </w:r>
    </w:p>
    <w:p w:rsidRPr="00131EC0" w:rsidR="00131EC0" w:rsidP="00131EC0" w:rsidRDefault="00131EC0" w14:paraId="2C88A889" w14:textId="77777777">
      <w:pPr>
        <w:jc w:val="both"/>
        <w:rPr>
          <w:rFonts w:ascii="Times New Roman" w:hAnsi="Times New Roman" w:eastAsia="Arial Unicode MS"/>
          <w:sz w:val="24"/>
          <w:szCs w:val="24"/>
        </w:rPr>
      </w:pPr>
      <w:r w:rsidRPr="00131EC0">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131EC0" w:rsidR="00131EC0" w:rsidP="00131EC0" w:rsidRDefault="00131EC0" w14:paraId="1B6EF4D5" w14:textId="77777777">
      <w:pPr>
        <w:tabs>
          <w:tab w:val="num" w:pos="720"/>
        </w:tabs>
        <w:jc w:val="both"/>
        <w:rPr>
          <w:rFonts w:ascii="Times New Roman" w:hAnsi="Times New Roman"/>
          <w:sz w:val="24"/>
          <w:szCs w:val="24"/>
        </w:rPr>
      </w:pPr>
      <w:r w:rsidRPr="00131EC0">
        <w:rPr>
          <w:rFonts w:ascii="Times New Roman" w:hAnsi="Times New Roman"/>
          <w:sz w:val="24"/>
          <w:szCs w:val="24"/>
        </w:rPr>
        <w:t>Que, habiéndosele corrido traslado de la respectiva reclamación, la aseguradora presentó sus respectivos descargos y la documentación solicitada;</w:t>
      </w:r>
    </w:p>
    <w:p w:rsidRPr="00131EC0" w:rsidR="00131EC0" w:rsidP="00131EC0" w:rsidRDefault="00131EC0" w14:paraId="1CDBBD6B" w14:textId="77777777">
      <w:pPr>
        <w:tabs>
          <w:tab w:val="num" w:pos="720"/>
        </w:tabs>
        <w:jc w:val="both"/>
        <w:rPr>
          <w:rFonts w:ascii="Times New Roman" w:hAnsi="Times New Roman"/>
          <w:sz w:val="24"/>
          <w:szCs w:val="24"/>
        </w:rPr>
      </w:pPr>
      <w:r w:rsidRPr="00131EC0">
        <w:rPr>
          <w:rFonts w:ascii="Times New Roman" w:hAnsi="Times New Roman"/>
          <w:sz w:val="24"/>
          <w:szCs w:val="24"/>
        </w:rPr>
        <w:t xml:space="preserve">Que, el 26 de junio de 2023 se realizó la audiencia virtual de vista con la concurrencia de ambas partes, quienes tuvieron oportunidad de exponer sus respectivas posiciones tratándose de la materia reclamada, absolviendo las diversas preguntas que les fueron formuladas. En dicha audiencia, se le otorgó un plazo de 03 (tres) días hábiles al reclamante, a fin de que presente el documento mediante el que fue aprobada la liquidación; </w:t>
      </w:r>
    </w:p>
    <w:p w:rsidRPr="00131EC0" w:rsidR="00131EC0" w:rsidP="00131EC0" w:rsidRDefault="00131EC0" w14:paraId="21BEB3C3" w14:textId="68F74724">
      <w:pPr>
        <w:jc w:val="both"/>
        <w:rPr>
          <w:rFonts w:ascii="Times New Roman" w:hAnsi="Times New Roman"/>
          <w:sz w:val="24"/>
          <w:szCs w:val="24"/>
        </w:rPr>
      </w:pPr>
      <w:r w:rsidRPr="3E5E6471" w:rsidR="00131EC0">
        <w:rPr>
          <w:rFonts w:ascii="Times New Roman" w:hAnsi="Times New Roman"/>
          <w:sz w:val="24"/>
          <w:szCs w:val="24"/>
        </w:rPr>
        <w:t xml:space="preserve">Que, en síntesis, el reclamante manifiesta lo siguiente: a) El 21 y 24 de febrero de 2023 el reclamante señala que se produjo un Siniestro Hogar causado, según alega este, por la llovizna – humedad registrada en la ciudad en tales fechas; b) el 26 de febrero de 2023 a las 12:46pm, el reclamante realizó el registro del siniestro en la aplicación de la aseguradora, con número 2532, y con una liquidación </w:t>
      </w:r>
      <w:r w:rsidRPr="3E5E6471" w:rsidR="00131EC0">
        <w:rPr>
          <w:rFonts w:ascii="Times New Roman" w:hAnsi="Times New Roman"/>
          <w:sz w:val="24"/>
          <w:szCs w:val="24"/>
        </w:rPr>
        <w:t>N°</w:t>
      </w:r>
      <w:r w:rsidRPr="3E5E6471" w:rsidR="00131EC0">
        <w:rPr>
          <w:rFonts w:ascii="Times New Roman" w:hAnsi="Times New Roman"/>
          <w:sz w:val="24"/>
          <w:szCs w:val="24"/>
        </w:rPr>
        <w:t xml:space="preserve"> 100033863. Respecto a este registro, el reclamante indica que en esta liquidación no fueron considerados los materiales, motivo por el cual se coordinó la visita del ajustador después de casi un mes de esperar respuesta por parte de la aseguradora; c) el 18 de marzo ingresó un siniestro respecto a los mismos daños, dado que no recibía respuesta por parte de la aseguradora; d) mediante correo electrónico del 29 de marzo de 2023, el reclamante le comunica a la aseguradora que, de la última visita realizada por RTS International </w:t>
      </w:r>
      <w:r w:rsidRPr="3E5E6471" w:rsidR="00131EC0">
        <w:rPr>
          <w:rFonts w:ascii="Times New Roman" w:hAnsi="Times New Roman"/>
          <w:sz w:val="24"/>
          <w:szCs w:val="24"/>
        </w:rPr>
        <w:t>Loss</w:t>
      </w:r>
      <w:r w:rsidRPr="3E5E6471" w:rsidR="00131EC0">
        <w:rPr>
          <w:rFonts w:ascii="Times New Roman" w:hAnsi="Times New Roman"/>
          <w:sz w:val="24"/>
          <w:szCs w:val="24"/>
        </w:rPr>
        <w:t xml:space="preserve"> </w:t>
      </w:r>
      <w:r w:rsidRPr="3E5E6471" w:rsidR="00131EC0">
        <w:rPr>
          <w:rFonts w:ascii="Times New Roman" w:hAnsi="Times New Roman"/>
          <w:sz w:val="24"/>
          <w:szCs w:val="24"/>
        </w:rPr>
        <w:t>Adjusters</w:t>
      </w:r>
      <w:r w:rsidRPr="3E5E6471" w:rsidR="00131EC0">
        <w:rPr>
          <w:rFonts w:ascii="Times New Roman" w:hAnsi="Times New Roman"/>
          <w:sz w:val="24"/>
          <w:szCs w:val="24"/>
        </w:rPr>
        <w:t xml:space="preserve"> (en adelante la “Empresa Ajustadora”), no se consideró el informe elaborado por el especialista encargado; es decir, el del ingeniero civil. El reclamante alega que cuenta con grabaciones de las cámaras de su domicilio que demuestran que la Empresa Ajustadora le indicó que contratase a un ingeniero y le remita el informe vía correo electrónico; e) presentó un reclamo con fecha 29 de marzo de 2023 y que, al 02 de mayo, transcurrieron 34 días calendario; f) adjuntó a la Carta </w:t>
      </w:r>
      <w:r w:rsidRPr="3E5E6471" w:rsidR="01DA6979">
        <w:rPr>
          <w:rFonts w:ascii="Times New Roman" w:hAnsi="Times New Roman"/>
          <w:sz w:val="24"/>
          <w:szCs w:val="24"/>
        </w:rPr>
        <w:t>...........................................</w:t>
      </w:r>
      <w:r w:rsidRPr="3E5E6471" w:rsidR="00131EC0">
        <w:rPr>
          <w:rFonts w:ascii="Times New Roman" w:hAnsi="Times New Roman"/>
          <w:sz w:val="24"/>
          <w:szCs w:val="24"/>
        </w:rPr>
        <w:t xml:space="preserve">, enviada por la aseguradora el 04 de mayo de 2023, en la cual informan que han recibido la C.RTS- N°0134.23 emitida por la Empresa Ajustadora, quienes concluyeron que el caso no se encuentra dentro de los alcances de cobertura de la Póliza, siendo así, reafirmaron lo dispuesto en la Carta </w:t>
      </w:r>
      <w:r w:rsidRPr="3E5E6471" w:rsidR="00131EC0">
        <w:rPr>
          <w:rFonts w:ascii="Times New Roman" w:hAnsi="Times New Roman"/>
          <w:sz w:val="24"/>
          <w:szCs w:val="24"/>
        </w:rPr>
        <w:t>N°</w:t>
      </w:r>
      <w:r w:rsidRPr="3E5E6471" w:rsidR="00131EC0">
        <w:rPr>
          <w:rFonts w:ascii="Times New Roman" w:hAnsi="Times New Roman"/>
          <w:sz w:val="24"/>
          <w:szCs w:val="24"/>
        </w:rPr>
        <w:t xml:space="preserve"> </w:t>
      </w:r>
      <w:r w:rsidRPr="3E5E6471" w:rsidR="25FD7C72">
        <w:rPr>
          <w:rFonts w:ascii="Times New Roman" w:hAnsi="Times New Roman"/>
          <w:sz w:val="24"/>
          <w:szCs w:val="24"/>
        </w:rPr>
        <w:t>...........................................</w:t>
      </w:r>
      <w:r w:rsidRPr="3E5E6471" w:rsidR="00131EC0">
        <w:rPr>
          <w:rFonts w:ascii="Times New Roman" w:hAnsi="Times New Roman"/>
          <w:sz w:val="24"/>
          <w:szCs w:val="24"/>
        </w:rPr>
        <w:t xml:space="preserve"> emitida el 02 de abril de 2023; </w:t>
      </w:r>
    </w:p>
    <w:p w:rsidRPr="00131EC0" w:rsidR="00131EC0" w:rsidP="00131EC0" w:rsidRDefault="00131EC0" w14:paraId="2C02F544" w14:textId="77777777">
      <w:pPr>
        <w:jc w:val="both"/>
        <w:rPr>
          <w:rFonts w:ascii="Times New Roman" w:hAnsi="Times New Roman"/>
          <w:sz w:val="24"/>
          <w:szCs w:val="24"/>
        </w:rPr>
      </w:pPr>
    </w:p>
    <w:p w:rsidRPr="00131EC0" w:rsidR="00131EC0" w:rsidP="00131EC0" w:rsidRDefault="00131EC0" w14:paraId="0887F8BD" w14:textId="77777777">
      <w:pPr>
        <w:jc w:val="both"/>
        <w:rPr>
          <w:rFonts w:ascii="Times New Roman" w:hAnsi="Times New Roman"/>
          <w:sz w:val="24"/>
          <w:szCs w:val="24"/>
          <w:lang w:val="es-ES"/>
        </w:rPr>
      </w:pPr>
      <w:r w:rsidRPr="00131EC0">
        <w:rPr>
          <w:rFonts w:ascii="Times New Roman" w:hAnsi="Times New Roman"/>
          <w:sz w:val="24"/>
          <w:szCs w:val="24"/>
        </w:rPr>
        <w:lastRenderedPageBreak/>
        <w:t>Que, con fecha 26 de junio de 2023, en atención a lo querido en la audiencia virtual de vista, el reclamante envía dos correos electrónicos, en los que adiciona información y, además, cumple con remitir la Liquidación de Siniestro N° 100033863, conforme a lo requerido;</w:t>
      </w:r>
    </w:p>
    <w:p w:rsidRPr="00131EC0" w:rsidR="00131EC0" w:rsidP="00131EC0" w:rsidRDefault="00131EC0" w14:paraId="2DD66975" w14:textId="77777777">
      <w:pPr>
        <w:jc w:val="both"/>
        <w:rPr>
          <w:rFonts w:ascii="Times New Roman" w:hAnsi="Times New Roman"/>
          <w:sz w:val="24"/>
          <w:szCs w:val="24"/>
        </w:rPr>
      </w:pPr>
      <w:r w:rsidRPr="00131EC0">
        <w:rPr>
          <w:rFonts w:ascii="Times New Roman" w:hAnsi="Times New Roman"/>
          <w:sz w:val="24"/>
          <w:szCs w:val="24"/>
        </w:rPr>
        <w:t xml:space="preserve">Que, por su parte, la aseguradora no presentó sus descargos en el plazo otorgado; no obstante, mediante escrito del 12 de julio de 2023 sustenta su posición resumidamente en lo siguiente: a) la liquidación referida por el reclamante no implicaba que la cobertura del siniestro haya sido aprobada, sino que representaban un presupuesto de los daños alegados; b) lo anterior se refuerza en el hecho de que luego de la liquidación y el cuestionamiento del reclamante, se propuso una terna de ajustadores de seguros para que uno de ellos sea designado y recién desde dicho momento sea evaluada la procedencia o no de la cobertura según las condiciones de la Póliza; c) en el presente caso no se ha configurado ningún consentimiento del siniestro, ya que el pronunciamiento de rechazo de cobertura fue efectuado dentro del plazo desde que se completó la documentación requerida y se emitió el informe de ajuste; d)  el error en el que incurre el reclamante es, por un lado, considerar que el plazo de 30 días se aplicaría a la atención de la reconsideración (cuando en realidad el siniestro ya se encontraba rechazado); y, por otro lado, considerar que dicho plazo inició desde el 31 de marzo que presentó su disconformidad con el informe de ajuste, lo que no es correcto, pues para dicha fecha no había aun un rechazo de cobertura que reconsiderar, pues este fue recién emitido y comunicado el día 4 de abril del 2023, fecha en la cual el reclamante presentó su reconsideración y fue atendida desde dicho momento; </w:t>
      </w:r>
    </w:p>
    <w:p w:rsidRPr="00131EC0" w:rsidR="00131EC0" w:rsidP="00131EC0" w:rsidRDefault="00131EC0" w14:paraId="13377E90" w14:textId="77777777">
      <w:pPr>
        <w:jc w:val="both"/>
        <w:rPr>
          <w:rFonts w:ascii="Times New Roman" w:hAnsi="Times New Roman"/>
          <w:sz w:val="24"/>
          <w:szCs w:val="24"/>
          <w:lang w:val="es-ES"/>
        </w:rPr>
      </w:pPr>
      <w:r w:rsidRPr="00131EC0">
        <w:rPr>
          <w:rStyle w:val="Textoennegrita"/>
          <w:rFonts w:ascii="Times New Roman" w:hAnsi="Times New Roman"/>
          <w:sz w:val="24"/>
          <w:szCs w:val="24"/>
        </w:rPr>
        <w:t>CONSIDERANDO:</w:t>
      </w:r>
    </w:p>
    <w:p w:rsidRPr="00131EC0" w:rsidR="00131EC0" w:rsidP="00131EC0" w:rsidRDefault="00131EC0" w14:paraId="205BB20E" w14:textId="055D7DA6">
      <w:pPr>
        <w:jc w:val="both"/>
        <w:rPr>
          <w:rFonts w:ascii="Times New Roman" w:hAnsi="Times New Roman"/>
          <w:sz w:val="24"/>
          <w:szCs w:val="24"/>
        </w:rPr>
      </w:pPr>
      <w:r w:rsidRPr="00131EC0">
        <w:rPr>
          <w:rFonts w:ascii="Times New Roman" w:hAnsi="Times New Roman"/>
          <w:sz w:val="24"/>
          <w:szCs w:val="24"/>
        </w:rPr>
        <w:t> </w:t>
      </w:r>
      <w:r w:rsidRPr="00131EC0">
        <w:rPr>
          <w:rFonts w:ascii="Times New Roman" w:hAnsi="Times New Roman"/>
          <w:b/>
          <w:sz w:val="24"/>
          <w:szCs w:val="24"/>
          <w:u w:val="single"/>
        </w:rPr>
        <w:t>Primero</w:t>
      </w:r>
      <w:r w:rsidRPr="00131EC0">
        <w:rPr>
          <w:rFonts w:ascii="Times New Roman" w:hAnsi="Times New Roman"/>
          <w:b/>
          <w:sz w:val="24"/>
          <w:szCs w:val="24"/>
        </w:rPr>
        <w:t xml:space="preserve">: </w:t>
      </w:r>
      <w:r w:rsidRPr="00131EC0">
        <w:rPr>
          <w:rFonts w:ascii="Times New Roman" w:hAnsi="Times New Roman"/>
          <w:sz w:val="24"/>
          <w:szCs w:val="24"/>
        </w:rPr>
        <w:t>Conforme a su Reglamento, la</w:t>
      </w:r>
      <w:r w:rsidRPr="00131EC0">
        <w:rPr>
          <w:rFonts w:ascii="Times New Roman" w:hAnsi="Times New Roman"/>
          <w:b/>
          <w:bCs/>
          <w:sz w:val="24"/>
          <w:szCs w:val="24"/>
        </w:rPr>
        <w:t xml:space="preserve"> </w:t>
      </w:r>
      <w:r w:rsidRPr="00131EC0">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31EC0" w:rsidR="00131EC0" w:rsidP="00131EC0" w:rsidRDefault="00131EC0" w14:paraId="0A94FF97" w14:textId="77777777">
      <w:pPr>
        <w:jc w:val="both"/>
        <w:rPr>
          <w:rFonts w:ascii="Times New Roman" w:hAnsi="Times New Roman"/>
          <w:bCs/>
          <w:sz w:val="24"/>
          <w:szCs w:val="24"/>
        </w:rPr>
      </w:pPr>
      <w:r w:rsidRPr="00131EC0">
        <w:rPr>
          <w:rFonts w:ascii="Times New Roman" w:hAnsi="Times New Roman"/>
          <w:b/>
          <w:bCs/>
          <w:sz w:val="24"/>
          <w:szCs w:val="24"/>
          <w:u w:val="single"/>
        </w:rPr>
        <w:t>Segundo</w:t>
      </w:r>
      <w:r w:rsidRPr="00131EC0">
        <w:rPr>
          <w:rFonts w:ascii="Times New Roman" w:hAnsi="Times New Roman"/>
          <w:b/>
          <w:bCs/>
          <w:sz w:val="24"/>
          <w:szCs w:val="24"/>
        </w:rPr>
        <w:t>:</w:t>
      </w:r>
      <w:r w:rsidRPr="00131EC0">
        <w:rPr>
          <w:rFonts w:ascii="Times New Roman" w:hAnsi="Times New Roman"/>
          <w:bCs/>
          <w:sz w:val="24"/>
          <w:szCs w:val="24"/>
        </w:rPr>
        <w:t xml:space="preserve"> </w:t>
      </w:r>
      <w:r w:rsidRPr="00131EC0">
        <w:rPr>
          <w:rFonts w:ascii="Times New Roman" w:hAnsi="Times New Roman"/>
          <w:sz w:val="24"/>
          <w:szCs w:val="24"/>
        </w:rPr>
        <w:t xml:space="preserve">Asimismo, de acuerdo a </w:t>
      </w:r>
      <w:r w:rsidRPr="00131EC0">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16185B" w:rsidP="00131EC0" w:rsidRDefault="00131EC0" w14:paraId="47AE8026" w14:textId="77777777">
      <w:pPr>
        <w:jc w:val="both"/>
        <w:rPr>
          <w:rFonts w:ascii="Times New Roman" w:hAnsi="Times New Roman"/>
          <w:sz w:val="24"/>
          <w:szCs w:val="24"/>
        </w:rPr>
      </w:pPr>
      <w:r w:rsidRPr="00131EC0">
        <w:rPr>
          <w:rFonts w:ascii="Times New Roman" w:hAnsi="Times New Roman"/>
          <w:b/>
          <w:bCs/>
          <w:sz w:val="24"/>
          <w:szCs w:val="24"/>
          <w:u w:val="single"/>
        </w:rPr>
        <w:t>Tercero</w:t>
      </w:r>
      <w:r w:rsidRPr="00131EC0">
        <w:rPr>
          <w:rFonts w:ascii="Times New Roman" w:hAnsi="Times New Roman"/>
          <w:b/>
          <w:bCs/>
          <w:sz w:val="24"/>
          <w:szCs w:val="24"/>
        </w:rPr>
        <w:t>:</w:t>
      </w:r>
      <w:r w:rsidRPr="00131EC0">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6185B" w:rsidR="00131EC0" w:rsidP="00131EC0" w:rsidRDefault="00131EC0" w14:paraId="23525B23" w14:textId="6F811FD1">
      <w:pPr>
        <w:jc w:val="both"/>
        <w:rPr>
          <w:rFonts w:ascii="Times New Roman" w:hAnsi="Times New Roman"/>
          <w:sz w:val="24"/>
          <w:szCs w:val="24"/>
          <w:lang w:val="es-ES"/>
        </w:rPr>
      </w:pPr>
      <w:r w:rsidRPr="00131EC0">
        <w:rPr>
          <w:rFonts w:ascii="Times New Roman" w:hAnsi="Times New Roman"/>
          <w:b/>
          <w:sz w:val="24"/>
          <w:szCs w:val="24"/>
          <w:u w:val="single"/>
        </w:rPr>
        <w:lastRenderedPageBreak/>
        <w:t>Cuarto</w:t>
      </w:r>
      <w:r w:rsidRPr="00131EC0">
        <w:rPr>
          <w:rFonts w:ascii="Times New Roman" w:hAnsi="Times New Roman"/>
          <w:b/>
          <w:sz w:val="24"/>
          <w:szCs w:val="24"/>
        </w:rPr>
        <w:t>:</w:t>
      </w:r>
      <w:r w:rsidRPr="00131EC0">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31EC0" w:rsidR="00131EC0" w:rsidP="00131EC0" w:rsidRDefault="00131EC0" w14:paraId="0D374E9B" w14:textId="77777777">
      <w:pPr>
        <w:jc w:val="both"/>
        <w:rPr>
          <w:rFonts w:ascii="Times New Roman" w:hAnsi="Times New Roman"/>
          <w:sz w:val="24"/>
          <w:szCs w:val="24"/>
        </w:rPr>
      </w:pPr>
      <w:r w:rsidRPr="00131EC0">
        <w:rPr>
          <w:rStyle w:val="Textoennegrita"/>
          <w:rFonts w:ascii="Times New Roman" w:hAnsi="Times New Roman"/>
          <w:sz w:val="24"/>
          <w:szCs w:val="24"/>
          <w:u w:val="single"/>
        </w:rPr>
        <w:t>Quinto</w:t>
      </w:r>
      <w:r w:rsidRPr="00131EC0">
        <w:rPr>
          <w:rStyle w:val="Textoennegrita"/>
          <w:rFonts w:ascii="Times New Roman" w:hAnsi="Times New Roman"/>
          <w:sz w:val="24"/>
          <w:szCs w:val="24"/>
        </w:rPr>
        <w:t xml:space="preserve">: </w:t>
      </w:r>
      <w:r w:rsidRPr="00131EC0">
        <w:rPr>
          <w:rStyle w:val="Textoennegrita"/>
          <w:rFonts w:ascii="Times New Roman" w:hAnsi="Times New Roman"/>
          <w:b w:val="0"/>
          <w:bCs w:val="0"/>
          <w:sz w:val="24"/>
          <w:szCs w:val="24"/>
        </w:rPr>
        <w:t>Que, conforme al</w:t>
      </w:r>
      <w:r w:rsidRPr="00131EC0">
        <w:rPr>
          <w:rStyle w:val="Textoennegrita"/>
          <w:rFonts w:ascii="Times New Roman" w:hAnsi="Times New Roman"/>
          <w:sz w:val="24"/>
          <w:szCs w:val="24"/>
        </w:rPr>
        <w:t xml:space="preserve"> </w:t>
      </w:r>
      <w:r w:rsidRPr="00131EC0">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131EC0" w:rsidR="00131EC0" w:rsidP="00131EC0" w:rsidRDefault="00131EC0" w14:paraId="36C0E127" w14:textId="77777777">
      <w:pPr>
        <w:pStyle w:val="Default"/>
        <w:jc w:val="both"/>
        <w:rPr>
          <w:rStyle w:val="Textoennegrita"/>
          <w:rFonts w:ascii="Times New Roman" w:hAnsi="Times New Roman" w:cs="Times New Roman"/>
          <w:b w:val="0"/>
        </w:rPr>
      </w:pPr>
      <w:r w:rsidRPr="00131EC0">
        <w:rPr>
          <w:rFonts w:ascii="Times New Roman" w:hAnsi="Times New Roman" w:cs="Times New Roman"/>
          <w:b/>
          <w:u w:val="single"/>
        </w:rPr>
        <w:t>Sexto</w:t>
      </w:r>
      <w:r w:rsidRPr="00131EC0">
        <w:rPr>
          <w:rFonts w:ascii="Times New Roman" w:hAnsi="Times New Roman" w:cs="Times New Roman"/>
          <w:b/>
        </w:rPr>
        <w:t xml:space="preserve">: </w:t>
      </w:r>
      <w:r w:rsidRPr="00131EC0">
        <w:rPr>
          <w:rFonts w:ascii="Times New Roman" w:hAnsi="Times New Roman" w:cs="Times New Roman"/>
        </w:rPr>
        <w:t xml:space="preserve"> </w:t>
      </w:r>
      <w:r w:rsidRPr="00131EC0">
        <w:rPr>
          <w:rStyle w:val="Textoennegrita"/>
          <w:rFonts w:ascii="Times New Roman" w:hAnsi="Times New Roman" w:cs="Times New Roman"/>
          <w:b w:val="0"/>
        </w:rPr>
        <w:t>Que, en primer lugar, debemos precisar que se advierte que la liquidación adjunta por el reclamante, en consonancia con lo alegado por la aseguradora, representa una enumeración de los gastos propuestos, mas no implica la aceptación del siniestro objeto de controversia por parte de la aseguradora. De hecho, luego de la emisión de dicho documento, se advierte la intervención de un ajustador de siniestros, por lo que resulta necesario remitirnos a lo dispuesto en el Reglamento de Gestión de Pago de Siniestros, Resolución SBS N° 3202-2013 cuando dispone que el Informe Final o de liquidación del siniestro emitido por el ajustador de seguros se debe ceñir a lo siguiente:</w:t>
      </w:r>
    </w:p>
    <w:p w:rsidRPr="00131EC0" w:rsidR="00131EC0" w:rsidP="00131EC0" w:rsidRDefault="00131EC0" w14:paraId="208A6E1C" w14:textId="77777777">
      <w:pPr>
        <w:pStyle w:val="Default"/>
        <w:jc w:val="both"/>
        <w:rPr>
          <w:rStyle w:val="Textoennegrita"/>
          <w:rFonts w:ascii="Times New Roman" w:hAnsi="Times New Roman" w:cs="Times New Roman"/>
          <w:b w:val="0"/>
        </w:rPr>
      </w:pPr>
    </w:p>
    <w:p w:rsidRPr="00131EC0" w:rsidR="00131EC0" w:rsidP="00131EC0" w:rsidRDefault="00131EC0" w14:paraId="79AEF2F2" w14:textId="77777777">
      <w:pPr>
        <w:pStyle w:val="Default"/>
        <w:ind w:left="1418"/>
        <w:jc w:val="both"/>
        <w:rPr>
          <w:rStyle w:val="Textoennegrita"/>
          <w:rFonts w:ascii="Times New Roman" w:hAnsi="Times New Roman" w:cs="Times New Roman"/>
          <w:bCs w:val="0"/>
        </w:rPr>
      </w:pPr>
      <w:r w:rsidRPr="00131EC0">
        <w:rPr>
          <w:rStyle w:val="Textoennegrita"/>
          <w:rFonts w:ascii="Times New Roman" w:hAnsi="Times New Roman" w:cs="Times New Roman"/>
          <w:bCs w:val="0"/>
        </w:rPr>
        <w:t xml:space="preserve">Artículo 10°.- Informe de  liquidación del siniestro </w:t>
      </w:r>
    </w:p>
    <w:p w:rsidRPr="00131EC0" w:rsidR="00131EC0" w:rsidP="00131EC0" w:rsidRDefault="00131EC0" w14:paraId="47AB38C2" w14:textId="02C357E5">
      <w:pPr>
        <w:pStyle w:val="Default"/>
        <w:ind w:left="1418"/>
        <w:jc w:val="both"/>
        <w:rPr>
          <w:rStyle w:val="Textoennegrita"/>
          <w:rFonts w:ascii="Times New Roman" w:hAnsi="Times New Roman" w:cs="Times New Roman"/>
          <w:b w:val="0"/>
          <w:bCs w:val="0"/>
        </w:rPr>
      </w:pPr>
      <w:r w:rsidRPr="3E5E6471" w:rsidR="00131EC0">
        <w:rPr>
          <w:rStyle w:val="Textoennegrita"/>
          <w:rFonts w:ascii="Times New Roman" w:hAnsi="Times New Roman" w:cs="Times New Roman"/>
          <w:b w:val="0"/>
          <w:bCs w:val="0"/>
        </w:rPr>
        <w:t xml:space="preserve">La opinión del ajustador de siniestros emitida en el informe de liquidación del </w:t>
      </w:r>
      <w:r w:rsidRPr="3E5E6471" w:rsidR="00131EC0">
        <w:rPr>
          <w:rStyle w:val="Textoennegrita"/>
          <w:rFonts w:ascii="Times New Roman" w:hAnsi="Times New Roman" w:cs="Times New Roman"/>
          <w:b w:val="0"/>
          <w:bCs w:val="0"/>
        </w:rPr>
        <w:t>siniestro,</w:t>
      </w:r>
      <w:r w:rsidRPr="3E5E6471" w:rsidR="00131EC0">
        <w:rPr>
          <w:rStyle w:val="Textoennegrita"/>
          <w:rFonts w:ascii="Times New Roman" w:hAnsi="Times New Roman" w:cs="Times New Roman"/>
          <w:b w:val="0"/>
          <w:bCs w:val="0"/>
        </w:rPr>
        <w:t xml:space="preserve"> no obliga a las partes y es independiente de ellas. El ajustador de siniestros debe entregar simultáneamente al asegurado y a la empresa los informes que elabora, </w:t>
      </w:r>
      <w:r w:rsidRPr="3E5E6471" w:rsidR="00131EC0">
        <w:rPr>
          <w:rStyle w:val="Textoennegrita"/>
          <w:rFonts w:ascii="Times New Roman" w:hAnsi="Times New Roman" w:cs="Times New Roman"/>
          <w:b w:val="0"/>
          <w:bCs w:val="0"/>
        </w:rPr>
        <w:t>de acuerdo al</w:t>
      </w:r>
      <w:r w:rsidRPr="3E5E6471" w:rsidR="00131EC0">
        <w:rPr>
          <w:rStyle w:val="Textoennegrita"/>
          <w:rFonts w:ascii="Times New Roman" w:hAnsi="Times New Roman" w:cs="Times New Roman"/>
          <w:b w:val="0"/>
          <w:bCs w:val="0"/>
        </w:rPr>
        <w:t xml:space="preserve"> desarrollo del proceso de liquidación del siniestro, debiendo mantener a disposición de la Superintendencia el sustento de haber entregado todos los informes, sean éstos parciales o finales, en las direcciones físicas o electrónicas que las partes hayan señalado en la póliza.   Si el asegurado o la empresa no estuvieran de acuerdo con la liquidación del siniestro, podrán designar a otro ajustador de siniestros para elaborar un nuevo informe, quien se sujetará a los plazos señalados en los artículos 5° y 8°. De lo contrario, las partes podrán recurrir al medio de solución de controversias que corresponda.</w:t>
      </w:r>
    </w:p>
    <w:p w:rsidRPr="00131EC0" w:rsidR="00131EC0" w:rsidP="00131EC0" w:rsidRDefault="00131EC0" w14:paraId="0EAD3449" w14:textId="77777777">
      <w:pPr>
        <w:pStyle w:val="Default"/>
        <w:jc w:val="both"/>
        <w:rPr>
          <w:rStyle w:val="Textoennegrita"/>
          <w:rFonts w:ascii="Times New Roman" w:hAnsi="Times New Roman" w:cs="Times New Roman"/>
          <w:b w:val="0"/>
        </w:rPr>
      </w:pPr>
    </w:p>
    <w:p w:rsidRPr="00131EC0" w:rsidR="00131EC0" w:rsidP="00131EC0" w:rsidRDefault="00131EC0" w14:paraId="25BB84C6" w14:textId="77777777">
      <w:pPr>
        <w:pStyle w:val="Default"/>
        <w:jc w:val="both"/>
        <w:rPr>
          <w:rStyle w:val="Textoennegrita"/>
          <w:rFonts w:ascii="Times New Roman" w:hAnsi="Times New Roman" w:cs="Times New Roman"/>
          <w:b w:val="0"/>
        </w:rPr>
      </w:pPr>
      <w:r w:rsidRPr="00131EC0">
        <w:rPr>
          <w:rStyle w:val="Textoennegrita"/>
          <w:rFonts w:ascii="Times New Roman" w:hAnsi="Times New Roman" w:cs="Times New Roman"/>
          <w:b w:val="0"/>
        </w:rPr>
        <w:t>Como vemos, una vez que se emita el Informe del ajustador de seguros, las partes podrán mostrar su conformidad o disconformidad, según sea. Así pues, en el caso en el que exista discrepancia, las partes tienen opciones, tales como el convocar a un ajustador de siniestros distinto o, en todo caso, recurrir a un medio de solución de conflictos.</w:t>
      </w:r>
    </w:p>
    <w:p w:rsidRPr="00131EC0" w:rsidR="00131EC0" w:rsidP="00131EC0" w:rsidRDefault="00131EC0" w14:paraId="25E178DF" w14:textId="77777777">
      <w:pPr>
        <w:pStyle w:val="Default"/>
        <w:jc w:val="both"/>
        <w:rPr>
          <w:rStyle w:val="Textoennegrita"/>
          <w:rFonts w:ascii="Times New Roman" w:hAnsi="Times New Roman" w:cs="Times New Roman"/>
          <w:b w:val="0"/>
        </w:rPr>
      </w:pPr>
    </w:p>
    <w:p w:rsidRPr="00131EC0" w:rsidR="00131EC0" w:rsidP="00131EC0" w:rsidRDefault="00131EC0" w14:paraId="55E6CDCA" w14:textId="77777777">
      <w:pPr>
        <w:pStyle w:val="Default"/>
        <w:jc w:val="both"/>
        <w:rPr>
          <w:rStyle w:val="Textoennegrita"/>
          <w:rFonts w:ascii="Times New Roman" w:hAnsi="Times New Roman" w:cs="Times New Roman"/>
          <w:b w:val="0"/>
        </w:rPr>
      </w:pPr>
      <w:r w:rsidRPr="00131EC0">
        <w:rPr>
          <w:rStyle w:val="Textoennegrita"/>
          <w:rFonts w:ascii="Times New Roman" w:hAnsi="Times New Roman" w:cs="Times New Roman"/>
          <w:b w:val="0"/>
        </w:rPr>
        <w:t xml:space="preserve">En el presente caso, el reclamante manifestó su disconformidad con el Informe Final notificado el 29 de marzo de 2023, por lo que la aseguradora, en atención a ello, requirió una </w:t>
      </w:r>
      <w:r w:rsidRPr="00131EC0">
        <w:rPr>
          <w:rStyle w:val="Textoennegrita"/>
          <w:rFonts w:ascii="Times New Roman" w:hAnsi="Times New Roman" w:cs="Times New Roman"/>
          <w:b w:val="0"/>
          <w:i/>
          <w:iCs/>
        </w:rPr>
        <w:t xml:space="preserve">aclaración </w:t>
      </w:r>
      <w:r w:rsidRPr="00131EC0">
        <w:rPr>
          <w:rStyle w:val="Textoennegrita"/>
          <w:rFonts w:ascii="Times New Roman" w:hAnsi="Times New Roman" w:cs="Times New Roman"/>
          <w:b w:val="0"/>
        </w:rPr>
        <w:t xml:space="preserve">a la Empresa Ajustadora. Con ello, la Empresa Ajustadora se ratificó en su Informe Final, siendo que, mediante comunicación del 04 de mayo de 2023, la aseguradora manifiesta lo siguiente: </w:t>
      </w:r>
    </w:p>
    <w:p w:rsidRPr="00131EC0" w:rsidR="00131EC0" w:rsidP="00131EC0" w:rsidRDefault="00131EC0" w14:paraId="1271A2DD" w14:textId="77777777">
      <w:pPr>
        <w:pStyle w:val="Default"/>
        <w:jc w:val="both"/>
        <w:rPr>
          <w:rStyle w:val="Textoennegrita"/>
          <w:rFonts w:ascii="Times New Roman" w:hAnsi="Times New Roman" w:cs="Times New Roman"/>
          <w:b w:val="0"/>
        </w:rPr>
      </w:pPr>
    </w:p>
    <w:p w:rsidRPr="00131EC0" w:rsidR="00131EC0" w:rsidP="00131EC0" w:rsidRDefault="00131EC0" w14:paraId="2C81C204" w14:textId="7AEE8F68">
      <w:pPr>
        <w:pStyle w:val="Default"/>
        <w:jc w:val="center"/>
      </w:pPr>
      <w:r w:rsidR="07024C20">
        <w:rPr/>
        <w:t>...........................................................................................................................</w:t>
      </w:r>
    </w:p>
    <w:p w:rsidRPr="00131EC0" w:rsidR="00131EC0" w:rsidP="00131EC0" w:rsidRDefault="00131EC0" w14:paraId="68A13981" w14:textId="77777777">
      <w:pPr>
        <w:tabs>
          <w:tab w:val="left" w:pos="2160"/>
        </w:tabs>
        <w:jc w:val="both"/>
        <w:rPr>
          <w:rFonts w:ascii="Times New Roman" w:hAnsi="Times New Roman"/>
          <w:sz w:val="24"/>
          <w:szCs w:val="24"/>
        </w:rPr>
      </w:pPr>
      <w:r w:rsidRPr="00131EC0">
        <w:rPr>
          <w:rFonts w:ascii="Times New Roman" w:hAnsi="Times New Roman"/>
          <w:b/>
          <w:sz w:val="24"/>
          <w:szCs w:val="24"/>
          <w:u w:val="single"/>
        </w:rPr>
        <w:t>Sétimo:</w:t>
      </w:r>
      <w:r w:rsidRPr="00131EC0">
        <w:rPr>
          <w:rFonts w:ascii="Times New Roman" w:hAnsi="Times New Roman"/>
          <w:sz w:val="24"/>
          <w:szCs w:val="24"/>
        </w:rPr>
        <w:t xml:space="preserve">  Que, según podemos apreciar que resulta un hecho incontrovertido, ya que es el mismo reclamante quien aporta dicha información, el 04 de mayo de 2023, la aseguradora ratificó su posición emitida el 02 de abril de 2023, mediante la que rechazaron el pedido de cobertura realizado por el reclamante.</w:t>
      </w:r>
    </w:p>
    <w:p w:rsidRPr="00131EC0" w:rsidR="00131EC0" w:rsidP="00131EC0" w:rsidRDefault="00131EC0" w14:paraId="74C6DA7C" w14:textId="77777777">
      <w:pPr>
        <w:tabs>
          <w:tab w:val="left" w:pos="2160"/>
        </w:tabs>
        <w:jc w:val="both"/>
        <w:rPr>
          <w:rFonts w:ascii="Times New Roman" w:hAnsi="Times New Roman"/>
          <w:sz w:val="24"/>
          <w:szCs w:val="24"/>
        </w:rPr>
      </w:pPr>
      <w:r w:rsidRPr="00131EC0">
        <w:rPr>
          <w:rFonts w:ascii="Times New Roman" w:hAnsi="Times New Roman"/>
          <w:sz w:val="24"/>
          <w:szCs w:val="24"/>
        </w:rPr>
        <w:t>Al respecto, debemos recordar que el referido rechazo del 02 de abril de 2023 se funda en el Informe Final de la Empresa Ajustadora que, como ya hemos señalado anteriormente, se comunicó el 29 de marzo de 2023, tal como se aprecia del siguiente correo adjunto por el reclamante:</w:t>
      </w:r>
    </w:p>
    <w:p w:rsidRPr="00131EC0" w:rsidR="00131EC0" w:rsidP="00131EC0" w:rsidRDefault="00131EC0" w14:paraId="0BB8CBC0" w14:textId="77777777">
      <w:pPr>
        <w:tabs>
          <w:tab w:val="left" w:pos="2160"/>
        </w:tabs>
        <w:jc w:val="both"/>
        <w:rPr>
          <w:rFonts w:ascii="Times New Roman" w:hAnsi="Times New Roman"/>
          <w:sz w:val="24"/>
          <w:szCs w:val="24"/>
        </w:rPr>
      </w:pPr>
    </w:p>
    <w:p w:rsidRPr="00131EC0" w:rsidR="00131EC0" w:rsidP="00131EC0" w:rsidRDefault="00131EC0" w14:paraId="4B6D2C3D" w14:textId="11F53428">
      <w:pPr>
        <w:tabs>
          <w:tab w:val="left" w:pos="2160"/>
        </w:tabs>
        <w:jc w:val="center"/>
      </w:pPr>
      <w:r w:rsidR="69F3B93A">
        <w:rPr/>
        <w:t>.........................................................................................................................</w:t>
      </w:r>
    </w:p>
    <w:p w:rsidR="3E5E6471" w:rsidP="3E5E6471" w:rsidRDefault="3E5E6471" w14:paraId="2EDEF725" w14:textId="22BCC51D">
      <w:pPr>
        <w:tabs>
          <w:tab w:val="left" w:leader="none" w:pos="2160"/>
        </w:tabs>
        <w:jc w:val="center"/>
      </w:pPr>
    </w:p>
    <w:p w:rsidRPr="00131EC0" w:rsidR="00131EC0" w:rsidP="00131EC0" w:rsidRDefault="00131EC0" w14:paraId="5A5C55E8" w14:textId="77777777">
      <w:pPr>
        <w:tabs>
          <w:tab w:val="left" w:pos="2160"/>
        </w:tabs>
        <w:jc w:val="both"/>
        <w:rPr>
          <w:rFonts w:ascii="Times New Roman" w:hAnsi="Times New Roman"/>
          <w:sz w:val="24"/>
          <w:szCs w:val="24"/>
        </w:rPr>
      </w:pPr>
      <w:r w:rsidRPr="00131EC0">
        <w:rPr>
          <w:rFonts w:ascii="Times New Roman" w:hAnsi="Times New Roman"/>
          <w:sz w:val="24"/>
          <w:szCs w:val="24"/>
        </w:rPr>
        <w:t>En buena cuenta, el 02 de abril de 2023 el siniestro había sido expresamente rechazado por la aseguradora, hecho que no ha sido objetado por el reclamante, siendo que -por el contrario- ha adjuntado la comunicación del 04 de mayo de 2023 remitida por la aseguradora, donde se afirma tal hecho.</w:t>
      </w:r>
    </w:p>
    <w:p w:rsidRPr="00131EC0" w:rsidR="00131EC0" w:rsidP="00131EC0" w:rsidRDefault="00131EC0" w14:paraId="15D7F103" w14:textId="77777777">
      <w:pPr>
        <w:tabs>
          <w:tab w:val="left" w:pos="2160"/>
        </w:tabs>
        <w:jc w:val="both"/>
        <w:rPr>
          <w:rFonts w:ascii="Times New Roman" w:hAnsi="Times New Roman"/>
          <w:sz w:val="24"/>
          <w:szCs w:val="24"/>
        </w:rPr>
      </w:pPr>
      <w:r w:rsidRPr="00131EC0">
        <w:rPr>
          <w:rFonts w:ascii="Times New Roman" w:hAnsi="Times New Roman"/>
          <w:b/>
          <w:sz w:val="24"/>
          <w:szCs w:val="24"/>
          <w:u w:val="single"/>
        </w:rPr>
        <w:t>Octavo:</w:t>
      </w:r>
      <w:r w:rsidRPr="00131EC0">
        <w:rPr>
          <w:rFonts w:ascii="Times New Roman" w:hAnsi="Times New Roman"/>
          <w:sz w:val="24"/>
          <w:szCs w:val="24"/>
        </w:rPr>
        <w:t xml:space="preserve">  Que, conforme se aprecia de autos, el 02 de abril de 2023 el siniestro había sido rechazado por la aseguradora, lo que fuera ratificado -posteriormente- mediante comunicación del 04 de mayo de 2023. En ese sentido, no resulta atendible el argumento del reclamante referido a que habrían transcurrido 34 días calendario entre el reclamo presentado el 29 de marzo y el 02 de mayo de 2023.</w:t>
      </w:r>
    </w:p>
    <w:p w:rsidRPr="00131EC0" w:rsidR="00131EC0" w:rsidP="00131EC0" w:rsidRDefault="00131EC0" w14:paraId="48568D32" w14:textId="2336DF4D">
      <w:pPr>
        <w:tabs>
          <w:tab w:val="left" w:pos="2160"/>
        </w:tabs>
        <w:jc w:val="both"/>
        <w:rPr>
          <w:rFonts w:ascii="Times New Roman" w:hAnsi="Times New Roman"/>
          <w:sz w:val="24"/>
          <w:szCs w:val="24"/>
        </w:rPr>
      </w:pPr>
      <w:r w:rsidRPr="3E5E6471" w:rsidR="00131EC0">
        <w:rPr>
          <w:rFonts w:ascii="Times New Roman" w:hAnsi="Times New Roman"/>
          <w:sz w:val="24"/>
          <w:szCs w:val="24"/>
        </w:rPr>
        <w:t xml:space="preserve">Al respecto, debemos recordar que el 29 de marzo de 2023, conforme se aprecia en los documentos del expediente, se habría notificado el Informe Final, que -posteriormente- generara el rechazo remitido mediante Carta </w:t>
      </w:r>
      <w:r w:rsidRPr="3E5E6471" w:rsidR="00131EC0">
        <w:rPr>
          <w:rFonts w:ascii="Times New Roman" w:hAnsi="Times New Roman"/>
          <w:sz w:val="24"/>
          <w:szCs w:val="24"/>
        </w:rPr>
        <w:t>N°</w:t>
      </w:r>
      <w:r w:rsidRPr="3E5E6471" w:rsidR="00131EC0">
        <w:rPr>
          <w:rFonts w:ascii="Times New Roman" w:hAnsi="Times New Roman"/>
          <w:sz w:val="24"/>
          <w:szCs w:val="24"/>
        </w:rPr>
        <w:t xml:space="preserve"> </w:t>
      </w:r>
      <w:r w:rsidRPr="3E5E6471" w:rsidR="25FD7C72">
        <w:rPr>
          <w:rFonts w:ascii="Times New Roman" w:hAnsi="Times New Roman"/>
          <w:sz w:val="24"/>
          <w:szCs w:val="24"/>
        </w:rPr>
        <w:t>...........................................</w:t>
      </w:r>
      <w:r w:rsidRPr="3E5E6471" w:rsidR="00131EC0">
        <w:rPr>
          <w:rFonts w:ascii="Times New Roman" w:hAnsi="Times New Roman"/>
          <w:sz w:val="24"/>
          <w:szCs w:val="24"/>
        </w:rPr>
        <w:t xml:space="preserve"> emitida el 02 de abril de 2023. Dicha Carta, si bien no obra en autos, sí ha sido aludida en la Carta </w:t>
      </w:r>
      <w:r w:rsidRPr="3E5E6471" w:rsidR="01DA6979">
        <w:rPr>
          <w:rFonts w:ascii="Times New Roman" w:hAnsi="Times New Roman"/>
          <w:sz w:val="24"/>
          <w:szCs w:val="24"/>
        </w:rPr>
        <w:t>...........................................</w:t>
      </w:r>
      <w:r w:rsidRPr="3E5E6471" w:rsidR="00131EC0">
        <w:rPr>
          <w:rFonts w:ascii="Times New Roman" w:hAnsi="Times New Roman"/>
          <w:sz w:val="24"/>
          <w:szCs w:val="24"/>
        </w:rPr>
        <w:t xml:space="preserve">, enviada por la aseguradora el 04 de mayo de 2023 y presentada por el reclamante. En atención a lo señalado, dado que el reclamante no ha objetado la información vertida en la Carta </w:t>
      </w:r>
      <w:r w:rsidRPr="3E5E6471" w:rsidR="01DA6979">
        <w:rPr>
          <w:rFonts w:ascii="Times New Roman" w:hAnsi="Times New Roman"/>
          <w:sz w:val="24"/>
          <w:szCs w:val="24"/>
        </w:rPr>
        <w:t>...........................................</w:t>
      </w:r>
      <w:r w:rsidRPr="3E5E6471" w:rsidR="00131EC0">
        <w:rPr>
          <w:rFonts w:ascii="Times New Roman" w:hAnsi="Times New Roman"/>
          <w:sz w:val="24"/>
          <w:szCs w:val="24"/>
        </w:rPr>
        <w:t xml:space="preserve"> que él mismo aporta, es que se concluye, tal como se ha mencionado anteriormente, que el 02 de abril de 2023 la aseguradora ya había cumplido </w:t>
      </w:r>
      <w:r w:rsidRPr="3E5E6471" w:rsidR="00131EC0">
        <w:rPr>
          <w:rFonts w:ascii="Times New Roman" w:hAnsi="Times New Roman"/>
          <w:sz w:val="24"/>
          <w:szCs w:val="24"/>
        </w:rPr>
        <w:t>con rechazar el siniestro, siendo que la comunicación del 04 de mayo de 2023 no es más que una ratificación de dicha decisión tomada previamente.</w:t>
      </w:r>
    </w:p>
    <w:p w:rsidRPr="00131EC0" w:rsidR="00131EC0" w:rsidP="00131EC0" w:rsidRDefault="00131EC0" w14:paraId="5D46713F" w14:textId="77777777">
      <w:pPr>
        <w:tabs>
          <w:tab w:val="left" w:pos="2160"/>
        </w:tabs>
        <w:jc w:val="both"/>
        <w:rPr>
          <w:rFonts w:ascii="Times New Roman" w:hAnsi="Times New Roman"/>
          <w:sz w:val="24"/>
          <w:szCs w:val="24"/>
        </w:rPr>
      </w:pPr>
      <w:r w:rsidRPr="00131EC0">
        <w:rPr>
          <w:rFonts w:ascii="Times New Roman" w:hAnsi="Times New Roman"/>
          <w:sz w:val="24"/>
          <w:szCs w:val="24"/>
        </w:rPr>
        <w:t>En consecuencia, el rechazo de la solicitud del reclamante por parte de la aseguradora se ajusta a derecho y, por tanto, resulta válido.</w:t>
      </w:r>
    </w:p>
    <w:p w:rsidRPr="00131EC0" w:rsidR="00131EC0" w:rsidP="00131EC0" w:rsidRDefault="00131EC0" w14:paraId="5126C7A4" w14:textId="77777777">
      <w:pPr>
        <w:tabs>
          <w:tab w:val="left" w:pos="2160"/>
        </w:tabs>
        <w:jc w:val="both"/>
        <w:rPr>
          <w:rFonts w:ascii="Times New Roman" w:hAnsi="Times New Roman"/>
          <w:b/>
          <w:sz w:val="24"/>
          <w:szCs w:val="24"/>
        </w:rPr>
      </w:pPr>
      <w:r w:rsidRPr="00131EC0">
        <w:rPr>
          <w:rFonts w:ascii="Times New Roman" w:hAnsi="Times New Roman"/>
          <w:b/>
          <w:sz w:val="24"/>
          <w:szCs w:val="24"/>
        </w:rPr>
        <w:t>Atendiendo a lo expresado, este colegiado concluye su apreciación razonada y conjunta al amparo de lo establecido en su Reglamento, por lo que resuelve:</w:t>
      </w:r>
    </w:p>
    <w:p w:rsidRPr="00131EC0" w:rsidR="00131EC0" w:rsidP="00131EC0" w:rsidRDefault="00131EC0" w14:paraId="5AA4CB7C" w14:textId="3E194AE4">
      <w:pPr>
        <w:tabs>
          <w:tab w:val="left" w:pos="2160"/>
        </w:tabs>
        <w:jc w:val="both"/>
        <w:rPr>
          <w:rFonts w:ascii="Times New Roman" w:hAnsi="Times New Roman"/>
          <w:sz w:val="24"/>
          <w:szCs w:val="24"/>
        </w:rPr>
      </w:pPr>
      <w:r w:rsidRPr="3E5E6471" w:rsidR="00131EC0">
        <w:rPr>
          <w:rFonts w:ascii="Times New Roman" w:hAnsi="Times New Roman"/>
          <w:sz w:val="24"/>
          <w:szCs w:val="24"/>
        </w:rPr>
        <w:t xml:space="preserve">Declarar </w:t>
      </w:r>
      <w:r w:rsidRPr="3E5E6471" w:rsidR="00131EC0">
        <w:rPr>
          <w:rFonts w:ascii="Times New Roman" w:hAnsi="Times New Roman"/>
          <w:b w:val="1"/>
          <w:bCs w:val="1"/>
          <w:sz w:val="24"/>
          <w:szCs w:val="24"/>
        </w:rPr>
        <w:t>IN</w:t>
      </w:r>
      <w:r w:rsidRPr="3E5E6471" w:rsidR="00131EC0">
        <w:rPr>
          <w:rFonts w:ascii="Times New Roman" w:hAnsi="Times New Roman"/>
          <w:b w:val="1"/>
          <w:bCs w:val="1"/>
          <w:sz w:val="24"/>
          <w:szCs w:val="24"/>
        </w:rPr>
        <w:t xml:space="preserve">FUNDADA </w:t>
      </w:r>
      <w:r w:rsidRPr="3E5E6471" w:rsidR="00131EC0">
        <w:rPr>
          <w:rFonts w:ascii="Times New Roman" w:hAnsi="Times New Roman"/>
          <w:sz w:val="24"/>
          <w:szCs w:val="24"/>
        </w:rPr>
        <w:t xml:space="preserve">la reclamación interpuesta por don </w:t>
      </w:r>
      <w:r w:rsidRPr="3E5E6471" w:rsidR="027AD62D">
        <w:rPr>
          <w:rFonts w:ascii="Times New Roman" w:hAnsi="Times New Roman"/>
          <w:b w:val="1"/>
          <w:bCs w:val="1"/>
          <w:sz w:val="24"/>
          <w:szCs w:val="24"/>
        </w:rPr>
        <w:t>...........................................................</w:t>
      </w:r>
      <w:r w:rsidRPr="3E5E6471" w:rsidR="00131EC0">
        <w:rPr>
          <w:rFonts w:ascii="Times New Roman" w:hAnsi="Times New Roman"/>
          <w:b w:val="1"/>
          <w:bCs w:val="1"/>
          <w:sz w:val="24"/>
          <w:szCs w:val="24"/>
        </w:rPr>
        <w:t xml:space="preserve"> </w:t>
      </w:r>
      <w:r w:rsidRPr="3E5E6471" w:rsidR="00131EC0">
        <w:rPr>
          <w:rFonts w:ascii="Times New Roman" w:hAnsi="Times New Roman"/>
          <w:sz w:val="24"/>
          <w:szCs w:val="24"/>
        </w:rPr>
        <w:t xml:space="preserve">contra </w:t>
      </w:r>
      <w:r w:rsidRPr="3E5E6471" w:rsidR="73360F23">
        <w:rPr>
          <w:rFonts w:ascii="Times New Roman" w:hAnsi="Times New Roman"/>
          <w:b w:val="1"/>
          <w:bCs w:val="1"/>
          <w:sz w:val="24"/>
          <w:szCs w:val="24"/>
        </w:rPr>
        <w:t>........................................................................................................................</w:t>
      </w:r>
      <w:r w:rsidRPr="3E5E6471" w:rsidR="00131EC0">
        <w:rPr>
          <w:rFonts w:ascii="Times New Roman" w:hAnsi="Times New Roman"/>
          <w:sz w:val="24"/>
          <w:szCs w:val="24"/>
        </w:rPr>
        <w:t>, dejando a salvo el derecho del reclamante de acudir ante las instancias que estime pertinente.</w:t>
      </w:r>
    </w:p>
    <w:p w:rsidRPr="00131EC0" w:rsidR="00FE0AE9" w:rsidP="0097444E" w:rsidRDefault="00D00142" w14:paraId="22FB6411" w14:textId="06404780">
      <w:pPr>
        <w:jc w:val="right"/>
        <w:rPr>
          <w:rFonts w:ascii="Times New Roman" w:hAnsi="Times New Roman"/>
          <w:sz w:val="24"/>
          <w:szCs w:val="24"/>
        </w:rPr>
      </w:pPr>
      <w:r w:rsidRPr="00131EC0">
        <w:rPr>
          <w:rFonts w:ascii="Times New Roman" w:hAnsi="Times New Roman"/>
          <w:sz w:val="24"/>
          <w:szCs w:val="24"/>
        </w:rPr>
        <w:t>Lima,</w:t>
      </w:r>
      <w:r w:rsidRPr="00131EC0" w:rsidR="0034229F">
        <w:rPr>
          <w:rFonts w:ascii="Times New Roman" w:hAnsi="Times New Roman"/>
          <w:sz w:val="24"/>
          <w:szCs w:val="24"/>
        </w:rPr>
        <w:t xml:space="preserve"> </w:t>
      </w:r>
      <w:r w:rsidRPr="00131EC0" w:rsidR="00CD5D60">
        <w:rPr>
          <w:rFonts w:ascii="Times New Roman" w:hAnsi="Times New Roman"/>
          <w:sz w:val="24"/>
          <w:szCs w:val="24"/>
        </w:rPr>
        <w:t>31</w:t>
      </w:r>
      <w:r w:rsidRPr="00131EC0" w:rsidR="00B3136B">
        <w:rPr>
          <w:rFonts w:ascii="Times New Roman" w:hAnsi="Times New Roman"/>
          <w:sz w:val="24"/>
          <w:szCs w:val="24"/>
        </w:rPr>
        <w:t xml:space="preserve"> </w:t>
      </w:r>
      <w:r w:rsidRPr="00131EC0">
        <w:rPr>
          <w:rFonts w:ascii="Times New Roman" w:hAnsi="Times New Roman"/>
          <w:sz w:val="24"/>
          <w:szCs w:val="24"/>
        </w:rPr>
        <w:t>de</w:t>
      </w:r>
      <w:r w:rsidRPr="00131EC0" w:rsidR="00EF70E2">
        <w:rPr>
          <w:rFonts w:ascii="Times New Roman" w:hAnsi="Times New Roman"/>
          <w:sz w:val="24"/>
          <w:szCs w:val="24"/>
        </w:rPr>
        <w:t xml:space="preserve"> </w:t>
      </w:r>
      <w:r w:rsidRPr="00131EC0" w:rsidR="003C4F9E">
        <w:rPr>
          <w:rFonts w:ascii="Times New Roman" w:hAnsi="Times New Roman"/>
          <w:sz w:val="24"/>
          <w:szCs w:val="24"/>
        </w:rPr>
        <w:t>agosto</w:t>
      </w:r>
      <w:r w:rsidRPr="00131EC0">
        <w:rPr>
          <w:rFonts w:ascii="Times New Roman" w:hAnsi="Times New Roman"/>
          <w:sz w:val="24"/>
          <w:szCs w:val="24"/>
        </w:rPr>
        <w:t xml:space="preserve"> de 202</w:t>
      </w:r>
      <w:r w:rsidRPr="00131EC0" w:rsidR="006C6213">
        <w:rPr>
          <w:rFonts w:ascii="Times New Roman" w:hAnsi="Times New Roman"/>
          <w:sz w:val="24"/>
          <w:szCs w:val="24"/>
        </w:rPr>
        <w:t>3</w:t>
      </w:r>
    </w:p>
    <w:p w:rsidRPr="00131EC0" w:rsidR="00A44465" w:rsidP="00A44465" w:rsidRDefault="00A44465" w14:paraId="5C6D4599" w14:textId="77777777">
      <w:pPr>
        <w:jc w:val="both"/>
        <w:rPr>
          <w:rFonts w:ascii="Times New Roman" w:hAnsi="Times New Roman"/>
          <w:b/>
          <w:bCs/>
          <w:i/>
          <w:iCs/>
          <w:sz w:val="24"/>
          <w:szCs w:val="24"/>
          <w:lang w:val="es-ES_tradnl"/>
        </w:rPr>
      </w:pPr>
      <w:r w:rsidRPr="00131EC0">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131EC0" w:rsidR="00A44465" w:rsidP="00A44465" w:rsidRDefault="00A44465" w14:paraId="6713E1C9" w14:textId="77777777">
      <w:pPr>
        <w:jc w:val="both"/>
        <w:rPr>
          <w:rFonts w:ascii="Times New Roman" w:hAnsi="Times New Roman"/>
          <w:b/>
          <w:bCs/>
          <w:i/>
          <w:iCs/>
          <w:sz w:val="24"/>
          <w:szCs w:val="24"/>
          <w:lang w:val="es-ES_tradnl"/>
        </w:rPr>
      </w:pPr>
    </w:p>
    <w:p w:rsidRPr="00131EC0" w:rsidR="00A44465" w:rsidP="00A44465" w:rsidRDefault="00A44465" w14:paraId="00C9C8BF" w14:textId="77777777">
      <w:pPr>
        <w:spacing w:line="240" w:lineRule="auto"/>
        <w:jc w:val="center"/>
        <w:rPr>
          <w:rFonts w:ascii="Times New Roman" w:hAnsi="Times New Roman"/>
          <w:b/>
          <w:bCs/>
          <w:sz w:val="24"/>
          <w:szCs w:val="24"/>
        </w:rPr>
      </w:pPr>
      <w:r w:rsidRPr="00131EC0">
        <w:rPr>
          <w:rFonts w:ascii="Times New Roman" w:hAnsi="Times New Roman"/>
          <w:b/>
          <w:bCs/>
          <w:sz w:val="24"/>
          <w:szCs w:val="24"/>
        </w:rPr>
        <w:t>Omar Alfaro Villanueva – Presidente</w:t>
      </w:r>
    </w:p>
    <w:p w:rsidRPr="00131EC0" w:rsidR="00A44465" w:rsidP="00A44465" w:rsidRDefault="00A44465" w14:paraId="5826EA01" w14:textId="77777777">
      <w:pPr>
        <w:spacing w:line="240" w:lineRule="auto"/>
        <w:jc w:val="center"/>
        <w:rPr>
          <w:rFonts w:ascii="Times New Roman" w:hAnsi="Times New Roman"/>
          <w:b/>
          <w:bCs/>
          <w:sz w:val="24"/>
          <w:szCs w:val="24"/>
        </w:rPr>
      </w:pPr>
      <w:r w:rsidRPr="00131EC0">
        <w:rPr>
          <w:rFonts w:ascii="Times New Roman" w:hAnsi="Times New Roman"/>
          <w:b/>
          <w:bCs/>
          <w:sz w:val="24"/>
          <w:szCs w:val="24"/>
        </w:rPr>
        <w:t>María Eugenia Valdez Fernández Baca – Vocal</w:t>
      </w:r>
    </w:p>
    <w:p w:rsidRPr="00131EC0" w:rsidR="00A44465" w:rsidP="00A44465" w:rsidRDefault="00A44465" w14:paraId="67EBFF0E" w14:textId="77777777">
      <w:pPr>
        <w:spacing w:line="240" w:lineRule="auto"/>
        <w:jc w:val="center"/>
        <w:rPr>
          <w:rFonts w:ascii="Times New Roman" w:hAnsi="Times New Roman"/>
          <w:b/>
          <w:bCs/>
          <w:sz w:val="24"/>
          <w:szCs w:val="24"/>
        </w:rPr>
      </w:pPr>
      <w:r w:rsidRPr="00131EC0">
        <w:rPr>
          <w:rFonts w:ascii="Times New Roman" w:hAnsi="Times New Roman"/>
          <w:b/>
          <w:bCs/>
          <w:sz w:val="24"/>
          <w:szCs w:val="24"/>
        </w:rPr>
        <w:t>Rolando Eyzaguirre Maccan – Vocal</w:t>
      </w:r>
    </w:p>
    <w:p w:rsidRPr="00131EC0" w:rsidR="00A44465" w:rsidP="00A44465" w:rsidRDefault="00A44465" w14:paraId="63A4A775" w14:textId="77777777">
      <w:pPr>
        <w:spacing w:line="240" w:lineRule="auto"/>
        <w:jc w:val="center"/>
        <w:rPr>
          <w:rFonts w:ascii="Times New Roman" w:hAnsi="Times New Roman"/>
          <w:sz w:val="24"/>
          <w:szCs w:val="24"/>
          <w:lang w:val="es-MX"/>
        </w:rPr>
      </w:pPr>
      <w:r w:rsidRPr="00131EC0">
        <w:rPr>
          <w:rFonts w:ascii="Times New Roman" w:hAnsi="Times New Roman"/>
          <w:b/>
          <w:bCs/>
          <w:sz w:val="24"/>
          <w:szCs w:val="24"/>
        </w:rPr>
        <w:t>Gonzalo Abad del Busto - Vocal</w:t>
      </w:r>
    </w:p>
    <w:p w:rsidRPr="001E1CF9" w:rsidR="00A44465" w:rsidP="00A44465" w:rsidRDefault="00A44465" w14:paraId="3EB91882" w14:textId="77777777">
      <w:pPr>
        <w:spacing w:line="240" w:lineRule="auto"/>
        <w:jc w:val="both"/>
      </w:pPr>
    </w:p>
    <w:p w:rsidRPr="00390F6C" w:rsidR="000341A4" w:rsidP="00A44465" w:rsidRDefault="000341A4" w14:paraId="78842804" w14:textId="77777777">
      <w:pPr>
        <w:spacing w:line="240" w:lineRule="auto"/>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13B6" w:rsidP="00722F1A" w:rsidRDefault="00E813B6" w14:paraId="64EAF351" w14:textId="77777777">
      <w:pPr>
        <w:spacing w:after="0" w:line="240" w:lineRule="auto"/>
      </w:pPr>
      <w:r>
        <w:separator/>
      </w:r>
    </w:p>
  </w:endnote>
  <w:endnote w:type="continuationSeparator" w:id="0">
    <w:p w:rsidR="00E813B6" w:rsidP="00722F1A" w:rsidRDefault="00E813B6" w14:paraId="2CF0F8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13B6" w:rsidP="00722F1A" w:rsidRDefault="00E813B6" w14:paraId="6630BB19" w14:textId="77777777">
      <w:pPr>
        <w:spacing w:after="0" w:line="240" w:lineRule="auto"/>
      </w:pPr>
      <w:r>
        <w:separator/>
      </w:r>
    </w:p>
  </w:footnote>
  <w:footnote w:type="continuationSeparator" w:id="0">
    <w:p w:rsidR="00E813B6" w:rsidP="00722F1A" w:rsidRDefault="00E813B6" w14:paraId="23E245D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64A93"/>
    <w:rsid w:val="00072DC0"/>
    <w:rsid w:val="00072E77"/>
    <w:rsid w:val="00074170"/>
    <w:rsid w:val="00075BED"/>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1EC0"/>
    <w:rsid w:val="00136C86"/>
    <w:rsid w:val="001423B0"/>
    <w:rsid w:val="001459A2"/>
    <w:rsid w:val="0016185B"/>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AFD"/>
    <w:rsid w:val="00283DF6"/>
    <w:rsid w:val="002974A1"/>
    <w:rsid w:val="002A3D68"/>
    <w:rsid w:val="002A4CFE"/>
    <w:rsid w:val="002A7697"/>
    <w:rsid w:val="002B7B44"/>
    <w:rsid w:val="002C32EB"/>
    <w:rsid w:val="002C3DCD"/>
    <w:rsid w:val="002C7BAD"/>
    <w:rsid w:val="002D07BA"/>
    <w:rsid w:val="002D0B01"/>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5FBD"/>
    <w:rsid w:val="00541D87"/>
    <w:rsid w:val="00541FB9"/>
    <w:rsid w:val="00546D29"/>
    <w:rsid w:val="00551EAD"/>
    <w:rsid w:val="00554002"/>
    <w:rsid w:val="0055560E"/>
    <w:rsid w:val="00555FDE"/>
    <w:rsid w:val="00570097"/>
    <w:rsid w:val="00571328"/>
    <w:rsid w:val="00571642"/>
    <w:rsid w:val="005745B9"/>
    <w:rsid w:val="00574E09"/>
    <w:rsid w:val="00584164"/>
    <w:rsid w:val="00584D4D"/>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93F67"/>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399D"/>
    <w:rsid w:val="0071585D"/>
    <w:rsid w:val="00717281"/>
    <w:rsid w:val="00722F1A"/>
    <w:rsid w:val="0072563C"/>
    <w:rsid w:val="00726106"/>
    <w:rsid w:val="00734333"/>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2B75"/>
    <w:rsid w:val="007D3EB0"/>
    <w:rsid w:val="007D442E"/>
    <w:rsid w:val="007E38B7"/>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6A4E"/>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446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3176"/>
    <w:rsid w:val="00CD5B43"/>
    <w:rsid w:val="00CD5D60"/>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0B58"/>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13B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1DA6979"/>
    <w:rsid w:val="027AD62D"/>
    <w:rsid w:val="07024C20"/>
    <w:rsid w:val="25FD7C72"/>
    <w:rsid w:val="33DA7641"/>
    <w:rsid w:val="3E5E6471"/>
    <w:rsid w:val="3F97CCC7"/>
    <w:rsid w:val="4A3ED0D9"/>
    <w:rsid w:val="56B4E923"/>
    <w:rsid w:val="599B9BE6"/>
    <w:rsid w:val="69F3B93A"/>
    <w:rsid w:val="73360F23"/>
    <w:rsid w:val="76F8BDF7"/>
    <w:rsid w:val="79B9A7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60435264">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6CF1623-6F09-45B0-972F-AD0CE5FC03B0}"/>
</file>

<file path=customXml/itemProps3.xml><?xml version="1.0" encoding="utf-8"?>
<ds:datastoreItem xmlns:ds="http://schemas.openxmlformats.org/officeDocument/2006/customXml" ds:itemID="{E5A3AE5A-F5AE-4939-9B46-D8A84433C0DC}"/>
</file>

<file path=customXml/itemProps4.xml><?xml version="1.0" encoding="utf-8"?>
<ds:datastoreItem xmlns:ds="http://schemas.openxmlformats.org/officeDocument/2006/customXml" ds:itemID="{5504679B-C42A-4CB6-AA45-4B664C0E31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557</cp:revision>
  <cp:lastPrinted>2023-08-31T17:22:00Z</cp:lastPrinted>
  <dcterms:created xsi:type="dcterms:W3CDTF">2022-12-22T22:59:00Z</dcterms:created>
  <dcterms:modified xsi:type="dcterms:W3CDTF">2025-06-30T20:02:43Z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