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E487A"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0E487A" w:rsidR="000341A4" w:rsidP="00FC79F6" w:rsidRDefault="000341A4" w14:paraId="56329F19" w14:textId="77777777">
      <w:pPr>
        <w:pStyle w:val="Puesto"/>
        <w:tabs>
          <w:tab w:val="left" w:pos="2730"/>
          <w:tab w:val="center" w:pos="4419"/>
        </w:tabs>
        <w:outlineLvl w:val="0"/>
        <w:rPr>
          <w:rStyle w:val="Textoennegrita"/>
          <w:b/>
          <w:bCs/>
          <w:lang w:val="es-ES"/>
        </w:rPr>
      </w:pPr>
    </w:p>
    <w:p w:rsidRPr="000E487A" w:rsidR="00D645CF" w:rsidP="00FC79F6" w:rsidRDefault="00D00142" w14:paraId="587C9FEE" w14:textId="1949C48D">
      <w:pPr>
        <w:pStyle w:val="Puesto"/>
        <w:tabs>
          <w:tab w:val="left" w:pos="2730"/>
          <w:tab w:val="center" w:pos="4419"/>
        </w:tabs>
        <w:outlineLvl w:val="0"/>
        <w:rPr>
          <w:rStyle w:val="Textoennegrita"/>
          <w:b/>
          <w:bCs/>
          <w:lang w:val="es-ES"/>
        </w:rPr>
      </w:pPr>
      <w:r w:rsidRPr="000E487A">
        <w:rPr>
          <w:rStyle w:val="Textoennegrita"/>
          <w:b/>
          <w:bCs/>
          <w:lang w:val="es-ES"/>
        </w:rPr>
        <w:t xml:space="preserve">RESOLUCION </w:t>
      </w:r>
      <w:proofErr w:type="spellStart"/>
      <w:r w:rsidRPr="000E487A">
        <w:rPr>
          <w:rStyle w:val="Textoennegrita"/>
          <w:b/>
          <w:bCs/>
          <w:lang w:val="es-ES"/>
        </w:rPr>
        <w:t>N°</w:t>
      </w:r>
      <w:proofErr w:type="spellEnd"/>
      <w:r w:rsidRPr="000E487A" w:rsidR="000341A4">
        <w:rPr>
          <w:rStyle w:val="Textoennegrita"/>
          <w:b/>
          <w:bCs/>
          <w:lang w:val="es-ES"/>
        </w:rPr>
        <w:t xml:space="preserve"> </w:t>
      </w:r>
      <w:r w:rsidRPr="000E487A" w:rsidR="004A5CA2">
        <w:rPr>
          <w:rStyle w:val="Textoennegrita"/>
          <w:b/>
          <w:bCs/>
          <w:lang w:val="es-ES"/>
        </w:rPr>
        <w:t>1</w:t>
      </w:r>
      <w:r w:rsidRPr="000E487A" w:rsidR="005E0EF8">
        <w:rPr>
          <w:rStyle w:val="Textoennegrita"/>
          <w:b/>
          <w:bCs/>
          <w:lang w:val="es-ES"/>
        </w:rPr>
        <w:t>7</w:t>
      </w:r>
      <w:r w:rsidRPr="000E487A" w:rsidR="007B4FD4">
        <w:rPr>
          <w:rStyle w:val="Textoennegrita"/>
          <w:b/>
          <w:bCs/>
          <w:lang w:val="es-ES"/>
        </w:rPr>
        <w:t>9</w:t>
      </w:r>
      <w:r w:rsidRPr="000E487A">
        <w:rPr>
          <w:rStyle w:val="Textoennegrita"/>
          <w:b/>
          <w:bCs/>
          <w:lang w:val="es-ES"/>
        </w:rPr>
        <w:t>/2</w:t>
      </w:r>
      <w:r w:rsidRPr="000E487A" w:rsidR="006C6213">
        <w:rPr>
          <w:rStyle w:val="Textoennegrita"/>
          <w:b/>
          <w:bCs/>
          <w:lang w:val="es-ES"/>
        </w:rPr>
        <w:t>3</w:t>
      </w:r>
    </w:p>
    <w:p w:rsidR="000E487A" w:rsidP="000E487A" w:rsidRDefault="000E487A" w14:paraId="1393D22E" w14:textId="77777777">
      <w:pPr>
        <w:jc w:val="both"/>
        <w:outlineLvl w:val="0"/>
        <w:rPr>
          <w:rFonts w:ascii="Times New Roman" w:hAnsi="Times New Roman"/>
          <w:b/>
          <w:bCs/>
          <w:sz w:val="24"/>
          <w:szCs w:val="24"/>
          <w:lang w:val="es-ES"/>
        </w:rPr>
      </w:pPr>
    </w:p>
    <w:p w:rsidRPr="000E487A" w:rsidR="000E487A" w:rsidP="000E487A" w:rsidRDefault="000E487A" w14:paraId="214EAEA9" w14:textId="467BB9CD">
      <w:pPr>
        <w:jc w:val="both"/>
        <w:outlineLvl w:val="0"/>
        <w:rPr>
          <w:rFonts w:ascii="Times New Roman" w:hAnsi="Times New Roman" w:eastAsia="Times New Roman"/>
          <w:b/>
          <w:bCs/>
          <w:sz w:val="24"/>
          <w:szCs w:val="24"/>
        </w:rPr>
      </w:pPr>
      <w:r w:rsidRPr="000E487A">
        <w:rPr>
          <w:rFonts w:ascii="Times New Roman" w:hAnsi="Times New Roman"/>
          <w:b/>
          <w:bCs/>
          <w:sz w:val="24"/>
          <w:szCs w:val="24"/>
        </w:rPr>
        <w:t>Vistos:</w:t>
      </w:r>
    </w:p>
    <w:p w:rsidRPr="000E487A" w:rsidR="000E487A" w:rsidP="5A69B0B7" w:rsidRDefault="000E487A" w14:paraId="2FC53EA7" w14:textId="1CF7AA91">
      <w:pPr>
        <w:pStyle w:val="paragraph"/>
        <w:spacing w:before="0" w:beforeAutospacing="off" w:after="0" w:afterAutospacing="off"/>
        <w:jc w:val="both"/>
        <w:textAlignment w:val="baseline"/>
        <w:rPr>
          <w:b w:val="1"/>
          <w:bCs w:val="1"/>
        </w:rPr>
      </w:pPr>
      <w:r w:rsidR="000E487A">
        <w:rPr/>
        <w:t xml:space="preserve">Que, </w:t>
      </w:r>
      <w:r w:rsidRPr="5A69B0B7" w:rsidR="000E487A">
        <w:rPr>
          <w:lang w:val="es-PE"/>
        </w:rPr>
        <w:t xml:space="preserve">con fecha 11 de agosto de 2023, </w:t>
      </w:r>
      <w:r w:rsidRPr="5A69B0B7" w:rsidR="0E9964D5">
        <w:rPr>
          <w:b w:val="1"/>
          <w:bCs w:val="1"/>
        </w:rPr>
        <w:t>.....................................................................</w:t>
      </w:r>
      <w:r w:rsidRPr="5A69B0B7" w:rsidR="000E487A">
        <w:rPr>
          <w:b w:val="1"/>
          <w:bCs w:val="1"/>
        </w:rPr>
        <w:t xml:space="preserve"> </w:t>
      </w:r>
      <w:r w:rsidR="000E487A">
        <w:rPr/>
        <w:t xml:space="preserve">interpone </w:t>
      </w:r>
      <w:r w:rsidR="000E487A">
        <w:rPr/>
        <w:t xml:space="preserve">reclamación ante esta Defensoría del Asegurado (DEFASEG) contra </w:t>
      </w:r>
      <w:r w:rsidRPr="5A69B0B7" w:rsidR="11AC0386">
        <w:rPr>
          <w:b w:val="1"/>
          <w:bCs w:val="1"/>
        </w:rPr>
        <w:t>........................................</w:t>
      </w:r>
      <w:r w:rsidR="000E487A">
        <w:rPr/>
        <w:t>, solicitando se le</w:t>
      </w:r>
      <w:r w:rsidR="000E487A">
        <w:rPr/>
        <w:t xml:space="preserve"> otorgue la cobertura del</w:t>
      </w:r>
      <w:r w:rsidRPr="5A69B0B7" w:rsidR="000E487A">
        <w:rPr>
          <w:b w:val="1"/>
          <w:bCs w:val="1"/>
        </w:rPr>
        <w:t xml:space="preserve"> SEGURO DE PROTECCIÓN DE TARJETAS PLUS.</w:t>
      </w:r>
    </w:p>
    <w:p w:rsidR="000E487A" w:rsidP="000E487A" w:rsidRDefault="000E487A" w14:paraId="2A835575" w14:textId="77777777">
      <w:pPr>
        <w:jc w:val="both"/>
        <w:rPr>
          <w:rFonts w:ascii="Times New Roman" w:hAnsi="Times New Roman"/>
          <w:sz w:val="24"/>
          <w:szCs w:val="24"/>
          <w:lang w:val="es-MX"/>
        </w:rPr>
      </w:pPr>
    </w:p>
    <w:p w:rsidRPr="000E487A" w:rsidR="000E487A" w:rsidP="000E487A" w:rsidRDefault="000E487A" w14:paraId="7A3675DA" w14:textId="4DD61F80">
      <w:pPr>
        <w:jc w:val="both"/>
        <w:rPr>
          <w:rFonts w:ascii="Times New Roman" w:hAnsi="Times New Roman" w:eastAsia="Arial Unicode MS"/>
          <w:sz w:val="24"/>
          <w:szCs w:val="24"/>
        </w:rPr>
      </w:pPr>
      <w:r w:rsidRPr="000E487A">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0E487A">
          <w:rPr>
            <w:rStyle w:val="Hipervnculo"/>
            <w:rFonts w:ascii="Times New Roman" w:hAnsi="Times New Roman" w:eastAsia="Arial Unicode MS"/>
            <w:sz w:val="24"/>
            <w:szCs w:val="24"/>
          </w:rPr>
          <w:t>http://www.defaseg.com.pe/reglamento</w:t>
        </w:r>
      </w:hyperlink>
      <w:r w:rsidRPr="000E487A">
        <w:rPr>
          <w:rFonts w:ascii="Times New Roman" w:hAnsi="Times New Roman" w:eastAsia="Arial Unicode MS"/>
          <w:sz w:val="24"/>
          <w:szCs w:val="24"/>
        </w:rPr>
        <w:t>);</w:t>
      </w:r>
    </w:p>
    <w:p w:rsidRPr="000E487A" w:rsidR="000E487A" w:rsidP="000E487A" w:rsidRDefault="000E487A" w14:paraId="3510040C" w14:textId="77777777">
      <w:pPr>
        <w:tabs>
          <w:tab w:val="num" w:pos="720"/>
        </w:tabs>
        <w:jc w:val="both"/>
        <w:rPr>
          <w:rFonts w:ascii="Times New Roman" w:hAnsi="Times New Roman"/>
          <w:sz w:val="24"/>
          <w:szCs w:val="24"/>
        </w:rPr>
      </w:pPr>
      <w:r w:rsidRPr="000E487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0E487A" w:rsidR="000E487A" w:rsidP="000E487A" w:rsidRDefault="000E487A" w14:paraId="14DF84B6" w14:textId="4EE5994E">
      <w:pPr>
        <w:jc w:val="both"/>
        <w:rPr>
          <w:rFonts w:ascii="Times New Roman" w:hAnsi="Times New Roman" w:eastAsia="Times New Roman"/>
          <w:sz w:val="24"/>
          <w:szCs w:val="24"/>
          <w:lang w:val="es-ES"/>
        </w:rPr>
      </w:pPr>
      <w:r w:rsidRPr="5A69B0B7" w:rsidR="000E487A">
        <w:rPr>
          <w:rFonts w:ascii="Times New Roman" w:hAnsi="Times New Roman"/>
          <w:sz w:val="24"/>
          <w:szCs w:val="24"/>
        </w:rPr>
        <w:t xml:space="preserve">Que, con fecha 23 de agosto de 2023 se corrió traslado de la reclamación a </w:t>
      </w:r>
      <w:r w:rsidRPr="5A69B0B7" w:rsidR="11AC0386">
        <w:rPr>
          <w:rFonts w:ascii="Times New Roman" w:hAnsi="Times New Roman"/>
          <w:sz w:val="24"/>
          <w:szCs w:val="24"/>
        </w:rPr>
        <w:t>........................................</w:t>
      </w:r>
      <w:r w:rsidRPr="5A69B0B7" w:rsidR="000E487A">
        <w:rPr>
          <w:rFonts w:ascii="Times New Roman" w:hAnsi="Times New Roman"/>
          <w:sz w:val="24"/>
          <w:szCs w:val="24"/>
        </w:rPr>
        <w:t xml:space="preserve">, siendo que con fecha 04 de septiembre de 2023 la aseguradora absolvió el respectivo trámite, </w:t>
      </w:r>
      <w:r w:rsidRPr="5A69B0B7" w:rsidR="000E487A">
        <w:rPr>
          <w:rFonts w:ascii="Times New Roman" w:hAnsi="Times New Roman"/>
          <w:sz w:val="24"/>
          <w:szCs w:val="24"/>
        </w:rPr>
        <w:t xml:space="preserve">presentando sus descargos y la documentación correspondiente. </w:t>
      </w:r>
    </w:p>
    <w:p w:rsidRPr="000E487A" w:rsidR="000E487A" w:rsidP="000E487A" w:rsidRDefault="000E487A" w14:paraId="4C130C12" w14:textId="77777777">
      <w:pPr>
        <w:tabs>
          <w:tab w:val="num" w:pos="720"/>
        </w:tabs>
        <w:jc w:val="both"/>
        <w:rPr>
          <w:rFonts w:ascii="Times New Roman" w:hAnsi="Times New Roman"/>
          <w:sz w:val="24"/>
          <w:szCs w:val="24"/>
        </w:rPr>
      </w:pPr>
      <w:r w:rsidRPr="000E487A">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0E487A">
        <w:rPr>
          <w:rFonts w:ascii="Times New Roman" w:hAnsi="Times New Roman" w:eastAsia="Arial Unicode MS"/>
          <w:sz w:val="24"/>
          <w:szCs w:val="24"/>
        </w:rPr>
        <w:t>de la DEFASEG</w:t>
      </w:r>
      <w:r w:rsidRPr="000E487A">
        <w:rPr>
          <w:rFonts w:ascii="Times New Roman" w:hAnsi="Times New Roman"/>
          <w:sz w:val="24"/>
          <w:szCs w:val="24"/>
        </w:rPr>
        <w:t>.</w:t>
      </w:r>
    </w:p>
    <w:p w:rsidRPr="000E487A" w:rsidR="000E487A" w:rsidP="000E487A" w:rsidRDefault="000E487A" w14:paraId="7E3CB8B1" w14:textId="4DAD0CF0">
      <w:pPr>
        <w:jc w:val="both"/>
        <w:rPr>
          <w:rStyle w:val="normaltextrun"/>
          <w:rFonts w:ascii="Times New Roman" w:hAnsi="Times New Roman"/>
          <w:sz w:val="24"/>
          <w:szCs w:val="24"/>
        </w:rPr>
      </w:pPr>
      <w:r w:rsidRPr="5A69B0B7" w:rsidR="000E487A">
        <w:rPr>
          <w:rFonts w:ascii="Times New Roman" w:hAnsi="Times New Roman"/>
          <w:sz w:val="24"/>
          <w:szCs w:val="24"/>
        </w:rPr>
        <w:t xml:space="preserve">Que, la reclamación interpuesta se sustenta resumidamente en los hechos y fundamentos siguientes: </w:t>
      </w:r>
      <w:bookmarkStart w:name="_Hlk102725553" w:id="0"/>
      <w:r w:rsidRPr="5A69B0B7" w:rsidR="000E487A">
        <w:rPr>
          <w:rFonts w:ascii="Times New Roman" w:hAnsi="Times New Roman"/>
          <w:sz w:val="24"/>
          <w:szCs w:val="24"/>
        </w:rPr>
        <w:t>a)</w:t>
      </w:r>
      <w:bookmarkEnd w:id="0"/>
      <w:r w:rsidRPr="5A69B0B7" w:rsidR="000E487A">
        <w:rPr>
          <w:rFonts w:ascii="Times New Roman" w:hAnsi="Times New Roman"/>
          <w:sz w:val="24"/>
          <w:szCs w:val="24"/>
        </w:rPr>
        <w:t xml:space="preserve"> Respecto al reclamo </w:t>
      </w:r>
      <w:r w:rsidRPr="5A69B0B7" w:rsidR="000E487A">
        <w:rPr>
          <w:rFonts w:ascii="Times New Roman" w:hAnsi="Times New Roman"/>
          <w:sz w:val="24"/>
          <w:szCs w:val="24"/>
        </w:rPr>
        <w:t>N°</w:t>
      </w:r>
      <w:r w:rsidRPr="5A69B0B7" w:rsidR="6F9659BD">
        <w:rPr>
          <w:rFonts w:ascii="Times New Roman" w:hAnsi="Times New Roman"/>
          <w:sz w:val="24"/>
          <w:szCs w:val="24"/>
        </w:rPr>
        <w:t>......................................................</w:t>
      </w:r>
      <w:r w:rsidRPr="5A69B0B7" w:rsidR="000E487A">
        <w:rPr>
          <w:rFonts w:ascii="Times New Roman" w:hAnsi="Times New Roman"/>
          <w:sz w:val="24"/>
          <w:szCs w:val="24"/>
        </w:rPr>
        <w:t xml:space="preserve"> presentado por la señora Sandoval por el siniestro N°1000994161, </w:t>
      </w:r>
      <w:r w:rsidRPr="5A69B0B7" w:rsidR="11AC0386">
        <w:rPr>
          <w:rFonts w:ascii="Times New Roman" w:hAnsi="Times New Roman"/>
          <w:sz w:val="24"/>
          <w:szCs w:val="24"/>
        </w:rPr>
        <w:t>........................................</w:t>
      </w:r>
      <w:r w:rsidRPr="5A69B0B7" w:rsidR="000E487A">
        <w:rPr>
          <w:rFonts w:ascii="Times New Roman" w:hAnsi="Times New Roman"/>
          <w:sz w:val="24"/>
          <w:szCs w:val="24"/>
        </w:rPr>
        <w:t xml:space="preserve"> le indica que el caso es improcedente; b) no se encuentra de acuerdo  con dicha resolución dado que según lo que se indica comercialmente en su oferta de seguro sí corresponde la cobertura por el siniestro ocurrido contra su persona el 30 de Junio, donde sufrió el robo / sustracción de su tarjeta de débito (Cuenta de Ahorros nro. </w:t>
      </w:r>
      <w:r w:rsidRPr="5A69B0B7" w:rsidR="7BF002A9">
        <w:rPr>
          <w:rFonts w:ascii="Times New Roman" w:hAnsi="Times New Roman"/>
          <w:sz w:val="24"/>
          <w:szCs w:val="24"/>
        </w:rPr>
        <w:t>.......................................</w:t>
      </w:r>
      <w:r w:rsidRPr="5A69B0B7" w:rsidR="000E487A">
        <w:rPr>
          <w:rFonts w:ascii="Times New Roman" w:hAnsi="Times New Roman"/>
          <w:sz w:val="24"/>
          <w:szCs w:val="24"/>
        </w:rPr>
        <w:t xml:space="preserve">) en las inmediaciones de la oficina BCP de Damascos - La Molina; c) se realizaron transacciones no reconocidas por un monto total de S/ 4,056.00 (Cuenta de Ahorros nro. </w:t>
      </w:r>
      <w:r w:rsidRPr="5A69B0B7" w:rsidR="2FFCF20B">
        <w:rPr>
          <w:rFonts w:ascii="Times New Roman" w:hAnsi="Times New Roman"/>
          <w:sz w:val="24"/>
          <w:szCs w:val="24"/>
        </w:rPr>
        <w:t>.......................................</w:t>
      </w:r>
      <w:r w:rsidRPr="5A69B0B7" w:rsidR="000E487A">
        <w:rPr>
          <w:rFonts w:ascii="Times New Roman" w:hAnsi="Times New Roman"/>
          <w:sz w:val="24"/>
          <w:szCs w:val="24"/>
        </w:rPr>
        <w:t xml:space="preserve">, como se observa en el detalle de las operaciones brindadas por el banco BCP, las transacciones fueron realizadas en un lapso de 20 min., tiempo en el cual se percató que su cuenta había sido vulnerada y acudió de inmediato al banco donde se generó el bloqueo de la tarjeta y el ingreso de los reclamos; d)  estas transacciones no se corresponden con las operaciones que suele hacer regularmente,  son totalmente atípicas y en un lapso de tiempo inaudito. </w:t>
      </w:r>
      <w:r w:rsidRPr="5A69B0B7" w:rsidR="000E487A">
        <w:rPr>
          <w:rFonts w:ascii="Times New Roman" w:hAnsi="Times New Roman"/>
          <w:sz w:val="24"/>
          <w:szCs w:val="24"/>
        </w:rPr>
        <w:t>Tal cual también figura en la denuncia policial; e) el monto sustraído de sus cuentas está cubierto por la póliza y significan prácticamente todos sus ahorros.</w:t>
      </w:r>
    </w:p>
    <w:p w:rsidRPr="000E487A" w:rsidR="000E487A" w:rsidP="000E487A" w:rsidRDefault="000E487A" w14:paraId="7A864B65" w14:textId="77777777">
      <w:pPr>
        <w:jc w:val="both"/>
        <w:rPr>
          <w:rFonts w:ascii="Times New Roman" w:hAnsi="Times New Roman"/>
          <w:i/>
          <w:iCs/>
          <w:sz w:val="24"/>
          <w:szCs w:val="24"/>
        </w:rPr>
      </w:pPr>
    </w:p>
    <w:p w:rsidR="000E487A" w:rsidP="000E487A" w:rsidRDefault="000E487A" w14:paraId="01A5B13F" w14:textId="526AE632">
      <w:pPr>
        <w:jc w:val="both"/>
        <w:rPr>
          <w:rFonts w:ascii="Times New Roman" w:hAnsi="Times New Roman"/>
          <w:sz w:val="24"/>
          <w:szCs w:val="24"/>
        </w:rPr>
      </w:pPr>
      <w:r w:rsidRPr="5A69B0B7" w:rsidR="000E487A">
        <w:rPr>
          <w:rFonts w:ascii="Times New Roman" w:hAnsi="Times New Roman"/>
          <w:sz w:val="24"/>
          <w:szCs w:val="24"/>
        </w:rPr>
        <w:t xml:space="preserve">Que, por su parte, </w:t>
      </w:r>
      <w:r w:rsidRPr="5A69B0B7" w:rsidR="11AC0386">
        <w:rPr>
          <w:rFonts w:ascii="Times New Roman" w:hAnsi="Times New Roman"/>
          <w:sz w:val="24"/>
          <w:szCs w:val="24"/>
        </w:rPr>
        <w:t>........................................</w:t>
      </w:r>
      <w:r w:rsidRPr="5A69B0B7" w:rsidR="000E487A">
        <w:rPr>
          <w:rFonts w:ascii="Times New Roman" w:hAnsi="Times New Roman"/>
          <w:sz w:val="24"/>
          <w:szCs w:val="24"/>
        </w:rPr>
        <w:t xml:space="preserve"> solicita en sus descargos que la reclamación sea desestimada, atendiendo resumidamente a lo siguiente: </w:t>
      </w:r>
      <w:r w:rsidRPr="5A69B0B7" w:rsidR="000E487A">
        <w:rPr>
          <w:rStyle w:val="normaltextrun"/>
          <w:rFonts w:ascii="Times New Roman" w:hAnsi="Times New Roman"/>
          <w:sz w:val="24"/>
          <w:szCs w:val="24"/>
          <w:lang w:eastAsia="es-MX"/>
        </w:rPr>
        <w:t>a)</w:t>
      </w:r>
      <w:r w:rsidRPr="5A69B0B7" w:rsidR="000E487A">
        <w:rPr>
          <w:rFonts w:ascii="Times New Roman" w:hAnsi="Times New Roman"/>
          <w:sz w:val="24"/>
          <w:szCs w:val="24"/>
        </w:rPr>
        <w:t xml:space="preserve"> La controversia del presente caso se centra en determinar si las operaciones no reconocidas por un total de S/ 4,056.00 por medio de cajero automático y agente bancario (debido al “cambiazo” sufrido por la señora Sandoval de su tarjeta de débito BCP) se encuentran o no dentro de las coberturas de la póliza contratada. Así, tal como nuestra representada comunicó a la asegurada, en el presente caso nos encontramos frente a un supuesto de “no seguro”; b) el certificado del seguro contratado por la asegurada establecía de manera clara la individualización de los riesgos asumidos por nuestra representada; c) analizando la denuncia policial interpuesta y presentada por la señora Sandoval, así como lo indicado al momento de reportar el siniestro a nuestra representada, se pudo apreciar que el hecho ocurrido en su perjuicio fue una estafa en la modalidad de “cambiazo” y posterior uso indebido de su tarjeta de débito del BCP a través de cajeros automáticos y un agente bancario; d)  las operaciones no reconocidas por su persona fueron las siguientes: i)  Retiro de efectivo por cajero automático por la suma de S/ 2,740.00 </w:t>
      </w:r>
      <w:r w:rsidRPr="5A69B0B7" w:rsidR="000E487A">
        <w:rPr>
          <w:rFonts w:ascii="Times New Roman" w:hAnsi="Times New Roman"/>
          <w:sz w:val="24"/>
          <w:szCs w:val="24"/>
        </w:rPr>
        <w:t>ii</w:t>
      </w:r>
      <w:r w:rsidRPr="5A69B0B7" w:rsidR="000E487A">
        <w:rPr>
          <w:rFonts w:ascii="Times New Roman" w:hAnsi="Times New Roman"/>
          <w:sz w:val="24"/>
          <w:szCs w:val="24"/>
        </w:rPr>
        <w:t xml:space="preserve">)  Adelanto de sueldo por cajero automático por la suma de S/ 1,150.00 (esto fue un ingreso, no una pérdida), </w:t>
      </w:r>
      <w:r w:rsidRPr="5A69B0B7" w:rsidR="000E487A">
        <w:rPr>
          <w:rFonts w:ascii="Times New Roman" w:hAnsi="Times New Roman"/>
          <w:sz w:val="24"/>
          <w:szCs w:val="24"/>
        </w:rPr>
        <w:t>iii</w:t>
      </w:r>
      <w:r w:rsidRPr="5A69B0B7" w:rsidR="000E487A">
        <w:rPr>
          <w:rFonts w:ascii="Times New Roman" w:hAnsi="Times New Roman"/>
          <w:sz w:val="24"/>
          <w:szCs w:val="24"/>
        </w:rPr>
        <w:t xml:space="preserve">)  Transferencia bancaria por cajero automático por la suma de S/ 1,100.00 y </w:t>
      </w:r>
      <w:r w:rsidRPr="5A69B0B7" w:rsidR="000E487A">
        <w:rPr>
          <w:rFonts w:ascii="Times New Roman" w:hAnsi="Times New Roman"/>
          <w:sz w:val="24"/>
          <w:szCs w:val="24"/>
        </w:rPr>
        <w:t>iv</w:t>
      </w:r>
      <w:r w:rsidRPr="5A69B0B7" w:rsidR="000E487A">
        <w:rPr>
          <w:rFonts w:ascii="Times New Roman" w:hAnsi="Times New Roman"/>
          <w:sz w:val="24"/>
          <w:szCs w:val="24"/>
        </w:rPr>
        <w:t xml:space="preserve">)  Retiro de efectivo por agente bancario por la suma de S/ 216.00; e) haciendo un sencillo contraste entre las operaciones no reconocidas, el evento ocurrido y las coberturas contratadas, nuestra representada concluyó válidamente que ninguno de estos merecía cobertura, toda vez que se tratan de riesgos no asegurados, de acuerdo con el siguiente detalle: 1)  Retiro de efectivo por cajero automático por la suma de S/ 2,740.00: No procede la cobertura ya que esta solo aplica para casos de secuestro y no para fraudes en la modalidad de “cambiazo”, 2)  Adelanto de sueldo por cajero automático por la suma de S/ 1,150.00 (esto fue un ingreso, no una pérdida), 3)  Transferencia bancaria por cajero automático por la suma de S/ 1,100.00: No procede la cobertura ya que esta solo aplica para canales virtuales y el cajero automático es un canal físico dispuesto así por el propio BCP y 4) Retiro de efectivo por agente bancario por la suma de S/ 216.00: No procede la cobertura porque no es un riesgo expresamente señalado; f)  se encuentra acreditado que el evento ocurrido y los consumos no reconocidos por parte de la asegurada no configuran ninguno de los riesgos expresamente cubiertos por su seguro, motivo por el cual nuestra representada procedió válidamente con el rechazo de la cobertura reclamada; g) respecto a lo alegado por la señora Sandoval en su reclamo sobre que en realidad sus pérdidas económicas sí tendrían cobertura de acuerdo con la información que se ofrece en la web, tenemos a bien precisar que la asegurada se encuentra en un error, pues ha presentado en su reclamo las coberturas de un seguro distinto al que tiene contratado. En efecto, se debe tener en cuenta que nuestra compañía comercializa dos tipos de seguros para tarjetas en el mercado: i) Un seguro de protección de tarjetas (póliza </w:t>
      </w:r>
      <w:r w:rsidRPr="5A69B0B7" w:rsidR="000E487A">
        <w:rPr>
          <w:rFonts w:ascii="Times New Roman" w:hAnsi="Times New Roman"/>
          <w:sz w:val="24"/>
          <w:szCs w:val="24"/>
        </w:rPr>
        <w:t>N°</w:t>
      </w:r>
      <w:r w:rsidRPr="5A69B0B7" w:rsidR="000E487A">
        <w:rPr>
          <w:rFonts w:ascii="Times New Roman" w:hAnsi="Times New Roman"/>
          <w:sz w:val="24"/>
          <w:szCs w:val="24"/>
        </w:rPr>
        <w:t xml:space="preserve"> </w:t>
      </w:r>
      <w:r w:rsidRPr="5A69B0B7" w:rsidR="444B5D19">
        <w:rPr>
          <w:rFonts w:ascii="Times New Roman" w:hAnsi="Times New Roman"/>
          <w:sz w:val="24"/>
          <w:szCs w:val="24"/>
        </w:rPr>
        <w:t>.........................</w:t>
      </w:r>
      <w:r w:rsidRPr="5A69B0B7" w:rsidR="000E487A">
        <w:rPr>
          <w:rFonts w:ascii="Times New Roman" w:hAnsi="Times New Roman"/>
          <w:sz w:val="24"/>
          <w:szCs w:val="24"/>
        </w:rPr>
        <w:t xml:space="preserve">); y </w:t>
      </w:r>
      <w:r w:rsidRPr="5A69B0B7" w:rsidR="000E487A">
        <w:rPr>
          <w:rFonts w:ascii="Times New Roman" w:hAnsi="Times New Roman"/>
          <w:sz w:val="24"/>
          <w:szCs w:val="24"/>
        </w:rPr>
        <w:t>ii</w:t>
      </w:r>
      <w:r w:rsidRPr="5A69B0B7" w:rsidR="000E487A">
        <w:rPr>
          <w:rFonts w:ascii="Times New Roman" w:hAnsi="Times New Roman"/>
          <w:sz w:val="24"/>
          <w:szCs w:val="24"/>
        </w:rPr>
        <w:t xml:space="preserve">) Un seguro de protección de tarjetas PLUS (póliza </w:t>
      </w:r>
      <w:r w:rsidRPr="5A69B0B7" w:rsidR="000E487A">
        <w:rPr>
          <w:rFonts w:ascii="Times New Roman" w:hAnsi="Times New Roman"/>
          <w:sz w:val="24"/>
          <w:szCs w:val="24"/>
        </w:rPr>
        <w:t>N°</w:t>
      </w:r>
      <w:r w:rsidRPr="5A69B0B7" w:rsidR="000E487A">
        <w:rPr>
          <w:rFonts w:ascii="Times New Roman" w:hAnsi="Times New Roman"/>
          <w:sz w:val="24"/>
          <w:szCs w:val="24"/>
        </w:rPr>
        <w:t xml:space="preserve"> </w:t>
      </w:r>
      <w:r w:rsidRPr="5A69B0B7" w:rsidR="4894F042">
        <w:rPr>
          <w:rFonts w:ascii="Times New Roman" w:hAnsi="Times New Roman"/>
          <w:sz w:val="24"/>
          <w:szCs w:val="24"/>
        </w:rPr>
        <w:t>.........................</w:t>
      </w:r>
      <w:r w:rsidRPr="5A69B0B7" w:rsidR="000E487A">
        <w:rPr>
          <w:rFonts w:ascii="Times New Roman" w:hAnsi="Times New Roman"/>
          <w:sz w:val="24"/>
          <w:szCs w:val="24"/>
        </w:rPr>
        <w:t xml:space="preserve">). Es el segundo seguro el que tiene contratado la señora Sandoval desde marzo del 2022.  Las coberturas presentadas en su reclamo por la asegurada corresponden en realidad a la póliza </w:t>
      </w:r>
      <w:r w:rsidRPr="5A69B0B7" w:rsidR="000E487A">
        <w:rPr>
          <w:rFonts w:ascii="Times New Roman" w:hAnsi="Times New Roman"/>
          <w:sz w:val="24"/>
          <w:szCs w:val="24"/>
        </w:rPr>
        <w:t>N°</w:t>
      </w:r>
      <w:r w:rsidRPr="5A69B0B7" w:rsidR="000E487A">
        <w:rPr>
          <w:rFonts w:ascii="Times New Roman" w:hAnsi="Times New Roman"/>
          <w:sz w:val="24"/>
          <w:szCs w:val="24"/>
        </w:rPr>
        <w:t xml:space="preserve"> </w:t>
      </w:r>
      <w:r w:rsidRPr="5A69B0B7" w:rsidR="444B5D19">
        <w:rPr>
          <w:rFonts w:ascii="Times New Roman" w:hAnsi="Times New Roman"/>
          <w:sz w:val="24"/>
          <w:szCs w:val="24"/>
        </w:rPr>
        <w:t>.........................</w:t>
      </w:r>
      <w:r w:rsidRPr="5A69B0B7" w:rsidR="000E487A">
        <w:rPr>
          <w:rFonts w:ascii="Times New Roman" w:hAnsi="Times New Roman"/>
          <w:sz w:val="24"/>
          <w:szCs w:val="24"/>
        </w:rPr>
        <w:t>, pero este seguro no es el que tiene contratado en el presente caso.</w:t>
      </w:r>
      <w:r w:rsidRPr="5A69B0B7" w:rsidR="000E487A">
        <w:rPr>
          <w:rFonts w:ascii="Times New Roman" w:hAnsi="Times New Roman"/>
          <w:i w:val="1"/>
          <w:iCs w:val="1"/>
          <w:sz w:val="24"/>
          <w:szCs w:val="24"/>
        </w:rPr>
        <w:t xml:space="preserve"> </w:t>
      </w:r>
    </w:p>
    <w:p w:rsidRPr="000E487A" w:rsidR="000E487A" w:rsidP="000E487A" w:rsidRDefault="000E487A" w14:paraId="5BF3D849" w14:textId="21E24CB6">
      <w:pPr>
        <w:jc w:val="both"/>
        <w:rPr>
          <w:rFonts w:ascii="Times New Roman" w:hAnsi="Times New Roman"/>
          <w:sz w:val="24"/>
          <w:szCs w:val="24"/>
        </w:rPr>
      </w:pPr>
      <w:r w:rsidRPr="000E487A">
        <w:rPr>
          <w:rStyle w:val="Textoennegrita"/>
          <w:rFonts w:ascii="Times New Roman" w:hAnsi="Times New Roman"/>
          <w:sz w:val="24"/>
          <w:szCs w:val="24"/>
        </w:rPr>
        <w:t>Considerando:</w:t>
      </w:r>
    </w:p>
    <w:p w:rsidRPr="000E487A" w:rsidR="000E487A" w:rsidP="000E487A" w:rsidRDefault="000E487A" w14:paraId="5B4B993B" w14:textId="77777777">
      <w:pPr>
        <w:jc w:val="both"/>
        <w:rPr>
          <w:rFonts w:ascii="Times New Roman" w:hAnsi="Times New Roman"/>
          <w:sz w:val="24"/>
          <w:szCs w:val="24"/>
        </w:rPr>
      </w:pPr>
      <w:r w:rsidRPr="000E487A">
        <w:rPr>
          <w:rFonts w:ascii="Times New Roman" w:hAnsi="Times New Roman"/>
          <w:b/>
          <w:sz w:val="24"/>
          <w:szCs w:val="24"/>
          <w:u w:val="single"/>
        </w:rPr>
        <w:t>Primero</w:t>
      </w:r>
      <w:r w:rsidRPr="000E487A">
        <w:rPr>
          <w:rFonts w:ascii="Times New Roman" w:hAnsi="Times New Roman"/>
          <w:b/>
          <w:sz w:val="24"/>
          <w:szCs w:val="24"/>
        </w:rPr>
        <w:t xml:space="preserve">: </w:t>
      </w:r>
      <w:r w:rsidRPr="000E487A">
        <w:rPr>
          <w:rFonts w:ascii="Times New Roman" w:hAnsi="Times New Roman"/>
          <w:sz w:val="24"/>
          <w:szCs w:val="24"/>
        </w:rPr>
        <w:t>Conforme a su Reglamento, la</w:t>
      </w:r>
      <w:r w:rsidRPr="000E487A">
        <w:rPr>
          <w:rFonts w:ascii="Times New Roman" w:hAnsi="Times New Roman"/>
          <w:b/>
          <w:bCs/>
          <w:sz w:val="24"/>
          <w:szCs w:val="24"/>
        </w:rPr>
        <w:t xml:space="preserve"> </w:t>
      </w:r>
      <w:r w:rsidRPr="000E487A">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w:t>
      </w:r>
      <w:r w:rsidRPr="000E487A">
        <w:rPr>
          <w:rFonts w:ascii="Times New Roman" w:hAnsi="Times New Roman"/>
          <w:sz w:val="24"/>
          <w:szCs w:val="24"/>
        </w:rPr>
        <w:lastRenderedPageBreak/>
        <w:t xml:space="preserve">respecto de rechazos o liquidación de cobertura de siniestros; entendiéndose por “asegurados” y “usuarios de seguros” a los asegurados propiamente dichos, a los contratantes del respectivo seguro y/o a los beneficiarios nombrados en las pólizas. </w:t>
      </w:r>
    </w:p>
    <w:p w:rsidRPr="000E487A" w:rsidR="000E487A" w:rsidP="000E487A" w:rsidRDefault="000E487A" w14:paraId="520160E8" w14:textId="77777777">
      <w:pPr>
        <w:jc w:val="both"/>
        <w:rPr>
          <w:rFonts w:ascii="Times New Roman" w:hAnsi="Times New Roman"/>
          <w:bCs/>
          <w:sz w:val="24"/>
          <w:szCs w:val="24"/>
        </w:rPr>
      </w:pPr>
      <w:r w:rsidRPr="000E487A">
        <w:rPr>
          <w:rFonts w:ascii="Times New Roman" w:hAnsi="Times New Roman"/>
          <w:b/>
          <w:bCs/>
          <w:sz w:val="24"/>
          <w:szCs w:val="24"/>
          <w:u w:val="single"/>
        </w:rPr>
        <w:t>Segundo</w:t>
      </w:r>
      <w:r w:rsidRPr="000E487A">
        <w:rPr>
          <w:rFonts w:ascii="Times New Roman" w:hAnsi="Times New Roman"/>
          <w:b/>
          <w:bCs/>
          <w:sz w:val="24"/>
          <w:szCs w:val="24"/>
        </w:rPr>
        <w:t>:</w:t>
      </w:r>
      <w:r w:rsidRPr="000E487A">
        <w:rPr>
          <w:rFonts w:ascii="Times New Roman" w:hAnsi="Times New Roman"/>
          <w:bCs/>
          <w:sz w:val="24"/>
          <w:szCs w:val="24"/>
        </w:rPr>
        <w:t xml:space="preserve"> </w:t>
      </w:r>
      <w:r w:rsidRPr="000E487A">
        <w:rPr>
          <w:rFonts w:ascii="Times New Roman" w:hAnsi="Times New Roman"/>
          <w:sz w:val="24"/>
          <w:szCs w:val="24"/>
        </w:rPr>
        <w:t xml:space="preserve">Asimismo, de acuerdo a </w:t>
      </w:r>
      <w:r w:rsidRPr="000E487A">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E487A" w:rsidR="000E487A" w:rsidP="000E487A" w:rsidRDefault="000E487A" w14:paraId="170D972C" w14:textId="77777777">
      <w:pPr>
        <w:jc w:val="both"/>
        <w:rPr>
          <w:rFonts w:ascii="Times New Roman" w:hAnsi="Times New Roman"/>
          <w:sz w:val="24"/>
          <w:szCs w:val="24"/>
          <w:lang w:val="es-ES"/>
        </w:rPr>
      </w:pPr>
      <w:r w:rsidRPr="000E487A">
        <w:rPr>
          <w:rFonts w:ascii="Times New Roman" w:hAnsi="Times New Roman"/>
          <w:b/>
          <w:bCs/>
          <w:sz w:val="24"/>
          <w:szCs w:val="24"/>
          <w:u w:val="single"/>
        </w:rPr>
        <w:t>Tercero</w:t>
      </w:r>
      <w:r w:rsidRPr="000E487A">
        <w:rPr>
          <w:rFonts w:ascii="Times New Roman" w:hAnsi="Times New Roman"/>
          <w:b/>
          <w:bCs/>
          <w:sz w:val="24"/>
          <w:szCs w:val="24"/>
        </w:rPr>
        <w:t>:</w:t>
      </w:r>
      <w:r w:rsidRPr="000E487A">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E487A" w:rsidR="000E487A" w:rsidP="000E487A" w:rsidRDefault="000E487A" w14:paraId="1CFB656A" w14:textId="77777777">
      <w:pPr>
        <w:jc w:val="both"/>
        <w:rPr>
          <w:rFonts w:ascii="Times New Roman" w:hAnsi="Times New Roman"/>
          <w:sz w:val="24"/>
          <w:szCs w:val="24"/>
        </w:rPr>
      </w:pPr>
      <w:r w:rsidRPr="000E487A">
        <w:rPr>
          <w:rFonts w:ascii="Times New Roman" w:hAnsi="Times New Roman"/>
          <w:b/>
          <w:sz w:val="24"/>
          <w:szCs w:val="24"/>
          <w:u w:val="single"/>
        </w:rPr>
        <w:t>Cuarto</w:t>
      </w:r>
      <w:r w:rsidRPr="000E487A">
        <w:rPr>
          <w:rFonts w:ascii="Times New Roman" w:hAnsi="Times New Roman"/>
          <w:b/>
          <w:sz w:val="24"/>
          <w:szCs w:val="24"/>
        </w:rPr>
        <w:t>:</w:t>
      </w:r>
      <w:r w:rsidRPr="000E487A">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E487A" w:rsidR="000E487A" w:rsidP="000E487A" w:rsidRDefault="000E487A" w14:paraId="6D68CC62" w14:textId="77777777">
      <w:pPr>
        <w:jc w:val="both"/>
        <w:rPr>
          <w:rFonts w:ascii="Times New Roman" w:hAnsi="Times New Roman"/>
          <w:sz w:val="24"/>
          <w:szCs w:val="24"/>
        </w:rPr>
      </w:pPr>
      <w:r w:rsidRPr="000E487A">
        <w:rPr>
          <w:rFonts w:ascii="Times New Roman" w:hAnsi="Times New Roman"/>
          <w:b/>
          <w:bCs/>
          <w:sz w:val="24"/>
          <w:szCs w:val="24"/>
          <w:u w:val="single"/>
        </w:rPr>
        <w:t>Quinto</w:t>
      </w:r>
      <w:r w:rsidRPr="000E487A">
        <w:rPr>
          <w:rFonts w:ascii="Times New Roman" w:hAnsi="Times New Roman"/>
          <w:b/>
          <w:bCs/>
          <w:sz w:val="24"/>
          <w:szCs w:val="24"/>
        </w:rPr>
        <w:t xml:space="preserve">: </w:t>
      </w:r>
      <w:r w:rsidRPr="000E487A">
        <w:rPr>
          <w:rFonts w:ascii="Times New Roman" w:hAnsi="Times New Roman"/>
          <w:bCs/>
          <w:sz w:val="24"/>
          <w:szCs w:val="24"/>
        </w:rPr>
        <w:t>Que, conforme al</w:t>
      </w:r>
      <w:r w:rsidRPr="000E487A">
        <w:rPr>
          <w:rFonts w:ascii="Times New Roman" w:hAnsi="Times New Roman"/>
          <w:b/>
          <w:bCs/>
          <w:sz w:val="24"/>
          <w:szCs w:val="24"/>
        </w:rPr>
        <w:t xml:space="preserve"> </w:t>
      </w:r>
      <w:r w:rsidRPr="000E487A">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0E487A" w:rsidR="000E487A" w:rsidP="000E487A" w:rsidRDefault="000E487A" w14:paraId="06E81451" w14:textId="0F8F7EA9">
      <w:pPr>
        <w:jc w:val="both"/>
        <w:rPr>
          <w:rFonts w:ascii="Times New Roman" w:hAnsi="Times New Roman"/>
          <w:sz w:val="24"/>
          <w:szCs w:val="24"/>
        </w:rPr>
      </w:pPr>
      <w:r w:rsidRPr="5A69B0B7" w:rsidR="000E487A">
        <w:rPr>
          <w:rFonts w:ascii="Times New Roman" w:hAnsi="Times New Roman"/>
          <w:b w:val="1"/>
          <w:bCs w:val="1"/>
          <w:sz w:val="24"/>
          <w:szCs w:val="24"/>
          <w:u w:val="single"/>
        </w:rPr>
        <w:t>Sexto</w:t>
      </w:r>
      <w:r w:rsidRPr="5A69B0B7" w:rsidR="000E487A">
        <w:rPr>
          <w:rFonts w:ascii="Times New Roman" w:hAnsi="Times New Roman"/>
          <w:b w:val="1"/>
          <w:bCs w:val="1"/>
          <w:sz w:val="24"/>
          <w:szCs w:val="24"/>
        </w:rPr>
        <w:t xml:space="preserve">: </w:t>
      </w:r>
      <w:r w:rsidRPr="5A69B0B7" w:rsidR="000E487A">
        <w:rPr>
          <w:rFonts w:ascii="Times New Roman" w:hAnsi="Times New Roman"/>
          <w:sz w:val="24"/>
          <w:szCs w:val="24"/>
        </w:rPr>
        <w:t xml:space="preserve">Sobre la base de los términos contenidos en la reclamación y en la absolución de </w:t>
      </w:r>
      <w:r w:rsidRPr="5A69B0B7" w:rsidR="000E487A">
        <w:rPr>
          <w:rFonts w:ascii="Times New Roman" w:hAnsi="Times New Roman"/>
          <w:sz w:val="24"/>
          <w:szCs w:val="24"/>
        </w:rPr>
        <w:t>la misma</w:t>
      </w:r>
      <w:r w:rsidRPr="5A69B0B7" w:rsidR="000E487A">
        <w:rPr>
          <w:rFonts w:ascii="Times New Roman" w:hAnsi="Times New Roman"/>
          <w:sz w:val="24"/>
          <w:szCs w:val="24"/>
        </w:rPr>
        <w:t xml:space="preserve">, la cuestión controvertida radica en determinar si es legítima o no la negativa de </w:t>
      </w:r>
      <w:r w:rsidRPr="5A69B0B7" w:rsidR="11AC0386">
        <w:rPr>
          <w:rFonts w:ascii="Times New Roman" w:hAnsi="Times New Roman"/>
          <w:sz w:val="24"/>
          <w:szCs w:val="24"/>
        </w:rPr>
        <w:t>........................................</w:t>
      </w:r>
      <w:r w:rsidRPr="5A69B0B7" w:rsidR="000E487A">
        <w:rPr>
          <w:rFonts w:ascii="Times New Roman" w:hAnsi="Times New Roman"/>
          <w:sz w:val="24"/>
          <w:szCs w:val="24"/>
        </w:rPr>
        <w:t xml:space="preserve"> de otorgar cobertura del seguro de protección de tarjetas.</w:t>
      </w:r>
    </w:p>
    <w:p w:rsidRPr="000E487A" w:rsidR="000E487A" w:rsidP="000E487A" w:rsidRDefault="000E487A" w14:paraId="501A96EE" w14:textId="4B12D2D4">
      <w:pPr>
        <w:jc w:val="both"/>
        <w:rPr>
          <w:rFonts w:ascii="Times New Roman" w:hAnsi="Times New Roman"/>
          <w:sz w:val="24"/>
          <w:szCs w:val="24"/>
        </w:rPr>
      </w:pPr>
      <w:r w:rsidRPr="5A69B0B7" w:rsidR="000E487A">
        <w:rPr>
          <w:rFonts w:ascii="Times New Roman" w:hAnsi="Times New Roman"/>
          <w:b w:val="1"/>
          <w:bCs w:val="1"/>
          <w:sz w:val="24"/>
          <w:szCs w:val="24"/>
          <w:u w:val="single"/>
        </w:rPr>
        <w:t>Séptimo</w:t>
      </w:r>
      <w:r w:rsidRPr="5A69B0B7" w:rsidR="000E487A">
        <w:rPr>
          <w:rFonts w:ascii="Times New Roman" w:hAnsi="Times New Roman"/>
          <w:b w:val="1"/>
          <w:bCs w:val="1"/>
          <w:sz w:val="24"/>
          <w:szCs w:val="24"/>
        </w:rPr>
        <w:t>:</w:t>
      </w:r>
      <w:r w:rsidRPr="5A69B0B7" w:rsidR="000E487A">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5A69B0B7" w:rsidR="11AC0386">
        <w:rPr>
          <w:rFonts w:ascii="Times New Roman" w:hAnsi="Times New Roman"/>
          <w:sz w:val="24"/>
          <w:szCs w:val="24"/>
        </w:rPr>
        <w:t>........................................</w:t>
      </w:r>
      <w:r w:rsidRPr="5A69B0B7" w:rsidR="000E487A">
        <w:rPr>
          <w:rFonts w:ascii="Times New Roman" w:hAnsi="Times New Roman"/>
          <w:sz w:val="24"/>
          <w:szCs w:val="24"/>
        </w:rPr>
        <w:t xml:space="preserve">, empresa esta última distinta al señalado banco.  </w:t>
      </w:r>
      <w:r w:rsidRPr="5A69B0B7" w:rsidR="000E487A">
        <w:rPr>
          <w:rFonts w:ascii="Times New Roman" w:hAnsi="Times New Roman"/>
          <w:sz w:val="24"/>
          <w:szCs w:val="24"/>
        </w:rPr>
        <w:t xml:space="preserve">Conforme a ello, cualquier disconformidad de la reclamante respecto al servicio financiero recibido, son ajenas a la relación contractual que mantiene con </w:t>
      </w:r>
      <w:r w:rsidRPr="5A69B0B7" w:rsidR="11AC0386">
        <w:rPr>
          <w:rFonts w:ascii="Times New Roman" w:hAnsi="Times New Roman"/>
          <w:sz w:val="24"/>
          <w:szCs w:val="24"/>
        </w:rPr>
        <w:t>........................................</w:t>
      </w:r>
      <w:r w:rsidRPr="5A69B0B7" w:rsidR="000E487A">
        <w:rPr>
          <w:rFonts w:ascii="Times New Roman" w:hAnsi="Times New Roman"/>
          <w:sz w:val="24"/>
          <w:szCs w:val="24"/>
        </w:rPr>
        <w:t>, independientemente que la póliza se haya contratado a través de la señalada empresa financiera.</w:t>
      </w:r>
    </w:p>
    <w:p w:rsidRPr="000E487A" w:rsidR="000E487A" w:rsidP="000E487A" w:rsidRDefault="000E487A" w14:paraId="1D4788A8" w14:textId="77777777">
      <w:pPr>
        <w:jc w:val="both"/>
        <w:rPr>
          <w:rFonts w:ascii="Times New Roman" w:hAnsi="Times New Roman"/>
          <w:sz w:val="24"/>
          <w:szCs w:val="24"/>
          <w:lang w:val="es-ES"/>
        </w:rPr>
      </w:pPr>
      <w:r w:rsidRPr="000E487A">
        <w:rPr>
          <w:rFonts w:ascii="Times New Roman" w:hAnsi="Times New Roman"/>
          <w:b/>
          <w:sz w:val="24"/>
          <w:szCs w:val="24"/>
          <w:u w:val="single"/>
        </w:rPr>
        <w:t>Octavo</w:t>
      </w:r>
      <w:r w:rsidRPr="000E487A">
        <w:rPr>
          <w:rFonts w:ascii="Times New Roman" w:hAnsi="Times New Roman"/>
          <w:b/>
          <w:sz w:val="24"/>
          <w:szCs w:val="24"/>
        </w:rPr>
        <w:t>:</w:t>
      </w:r>
      <w:r w:rsidRPr="000E487A">
        <w:rPr>
          <w:rFonts w:ascii="Times New Roman" w:hAnsi="Times New Roman"/>
          <w:sz w:val="24"/>
          <w:szCs w:val="24"/>
        </w:rPr>
        <w:t xml:space="preserve"> En primer lugar, la póliza de seguro contratada contempla las siguientes coberturas:</w:t>
      </w:r>
    </w:p>
    <w:p w:rsidRPr="000E487A" w:rsidR="000E487A" w:rsidP="000E487A" w:rsidRDefault="000E487A" w14:paraId="5C526667" w14:textId="77777777">
      <w:pPr>
        <w:jc w:val="both"/>
        <w:rPr>
          <w:rFonts w:ascii="Times New Roman" w:hAnsi="Times New Roman"/>
          <w:sz w:val="24"/>
          <w:szCs w:val="24"/>
        </w:rPr>
      </w:pPr>
    </w:p>
    <w:p w:rsidRPr="000E487A" w:rsidR="000E487A" w:rsidP="00681314" w:rsidRDefault="000E487A" w14:paraId="602F614C" w14:textId="5732AB21">
      <w:pPr>
        <w:tabs>
          <w:tab w:val="left" w:pos="2160"/>
        </w:tabs>
        <w:jc w:val="center"/>
        <w:rPr>
          <w:rFonts w:ascii="Times New Roman" w:hAnsi="Times New Roman"/>
          <w:sz w:val="24"/>
          <w:szCs w:val="24"/>
        </w:rPr>
      </w:pPr>
      <w:r w:rsidRPr="000E487A">
        <w:rPr>
          <w:rFonts w:ascii="Times New Roman" w:hAnsi="Times New Roman"/>
          <w:noProof/>
          <w:sz w:val="24"/>
          <w:szCs w:val="24"/>
        </w:rPr>
        <w:lastRenderedPageBreak/>
        <w:drawing>
          <wp:inline distT="0" distB="0" distL="0" distR="0" wp14:anchorId="5E9DBFE5" wp14:editId="25ED0EBF">
            <wp:extent cx="4962525" cy="1931555"/>
            <wp:effectExtent l="0" t="0" r="0" b="0"/>
            <wp:docPr id="1933910781"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10781" name="Imagen 3"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3414" cy="1935793"/>
                    </a:xfrm>
                    <a:prstGeom prst="rect">
                      <a:avLst/>
                    </a:prstGeom>
                    <a:noFill/>
                    <a:ln>
                      <a:noFill/>
                    </a:ln>
                  </pic:spPr>
                </pic:pic>
              </a:graphicData>
            </a:graphic>
          </wp:inline>
        </w:drawing>
      </w:r>
    </w:p>
    <w:p w:rsidRPr="000E487A" w:rsidR="000E487A" w:rsidP="000E487A" w:rsidRDefault="000E487A" w14:paraId="709D7B0F" w14:textId="1339EDD6">
      <w:pPr>
        <w:jc w:val="both"/>
        <w:rPr>
          <w:rFonts w:ascii="Times New Roman" w:hAnsi="Times New Roman"/>
          <w:noProof/>
          <w:sz w:val="24"/>
          <w:szCs w:val="24"/>
        </w:rPr>
      </w:pPr>
      <w:r w:rsidRPr="5A69B0B7" w:rsidR="000E487A">
        <w:rPr>
          <w:rFonts w:ascii="Times New Roman" w:hAnsi="Times New Roman"/>
          <w:noProof/>
          <w:sz w:val="24"/>
          <w:szCs w:val="24"/>
        </w:rPr>
        <w:t xml:space="preserve">En este caso, conforme a lo sustentando por la reclamante, con fecha 30 de junio de 2023 </w:t>
      </w:r>
      <w:r w:rsidRPr="5A69B0B7" w:rsidR="00850CD6">
        <w:rPr>
          <w:rFonts w:ascii="Times New Roman" w:hAnsi="Times New Roman"/>
          <w:noProof/>
          <w:sz w:val="24"/>
          <w:szCs w:val="24"/>
        </w:rPr>
        <w:t>le cambiaron</w:t>
      </w:r>
      <w:r w:rsidRPr="5A69B0B7" w:rsidR="000E487A">
        <w:rPr>
          <w:rFonts w:ascii="Times New Roman" w:hAnsi="Times New Roman"/>
          <w:noProof/>
          <w:sz w:val="24"/>
          <w:szCs w:val="24"/>
        </w:rPr>
        <w:t xml:space="preserve"> su tarjeta:</w:t>
      </w:r>
    </w:p>
    <w:p w:rsidR="5A69B0B7" w:rsidP="5A69B0B7" w:rsidRDefault="5A69B0B7" w14:paraId="155102AE" w14:textId="3CE11E6D">
      <w:pPr>
        <w:jc w:val="both"/>
        <w:rPr>
          <w:rFonts w:ascii="Times New Roman" w:hAnsi="Times New Roman"/>
          <w:noProof/>
          <w:sz w:val="24"/>
          <w:szCs w:val="24"/>
        </w:rPr>
      </w:pPr>
    </w:p>
    <w:p w:rsidRPr="000E487A" w:rsidR="000E487A" w:rsidP="000E487A" w:rsidRDefault="000E487A" w14:paraId="6486D52D" w14:textId="579B42D6">
      <w:pPr>
        <w:jc w:val="center"/>
      </w:pPr>
      <w:r w:rsidR="4ECCAAEA">
        <w:rPr/>
        <w:t xml:space="preserve">........................................................................................................................... </w:t>
      </w:r>
    </w:p>
    <w:p w:rsidR="3CBC08C5" w:rsidP="5A69B0B7" w:rsidRDefault="3CBC08C5" w14:paraId="0B4D7983" w14:textId="429458A9">
      <w:pPr>
        <w:jc w:val="center"/>
      </w:pPr>
      <w:r w:rsidR="3CBC08C5">
        <w:rPr/>
        <w:t xml:space="preserve">                                                                                                                                                                                                                                     </w:t>
      </w:r>
    </w:p>
    <w:p w:rsidRPr="000E487A" w:rsidR="000E487A" w:rsidP="000E487A" w:rsidRDefault="000E487A" w14:paraId="4BD341D0" w14:textId="22F17AC2">
      <w:pPr>
        <w:jc w:val="both"/>
        <w:rPr>
          <w:rFonts w:ascii="Times New Roman" w:hAnsi="Times New Roman"/>
          <w:noProof/>
          <w:sz w:val="24"/>
          <w:szCs w:val="24"/>
        </w:rPr>
      </w:pPr>
      <w:r w:rsidRPr="000E487A">
        <w:rPr>
          <w:rFonts w:ascii="Times New Roman" w:hAnsi="Times New Roman"/>
          <w:noProof/>
          <w:sz w:val="24"/>
          <w:szCs w:val="24"/>
        </w:rPr>
        <w:t>A consecuencia de ello, le realiazon las siguientes operaciones que no reconoce:</w:t>
      </w:r>
    </w:p>
    <w:p w:rsidRPr="000E487A" w:rsidR="000E487A" w:rsidP="00D74A40" w:rsidRDefault="00D74A40" w14:paraId="02909CC9" w14:textId="1AFBB812">
      <w:pPr>
        <w:jc w:val="center"/>
        <w:rPr>
          <w:rFonts w:ascii="Times New Roman" w:hAnsi="Times New Roman"/>
          <w:noProof/>
          <w:sz w:val="24"/>
          <w:szCs w:val="24"/>
        </w:rPr>
      </w:pPr>
      <w:r>
        <w:rPr>
          <w:noProof/>
        </w:rPr>
        <w:drawing>
          <wp:inline distT="0" distB="0" distL="0" distR="0" wp14:anchorId="45D137B9" wp14:editId="6E7A98C5">
            <wp:extent cx="3819525" cy="1933991"/>
            <wp:effectExtent l="0" t="0" r="0" b="9525"/>
            <wp:docPr id="191289661"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9661" name="Imagen 3"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4982" cy="1941818"/>
                    </a:xfrm>
                    <a:prstGeom prst="rect">
                      <a:avLst/>
                    </a:prstGeom>
                    <a:noFill/>
                    <a:ln>
                      <a:noFill/>
                    </a:ln>
                  </pic:spPr>
                </pic:pic>
              </a:graphicData>
            </a:graphic>
          </wp:inline>
        </w:drawing>
      </w:r>
    </w:p>
    <w:p w:rsidRPr="000E487A" w:rsidR="000E487A" w:rsidP="000E487A" w:rsidRDefault="000E487A" w14:paraId="196A7767" w14:textId="015F5D0D">
      <w:pPr>
        <w:jc w:val="both"/>
        <w:rPr>
          <w:rFonts w:ascii="Times New Roman" w:hAnsi="Times New Roman"/>
          <w:noProof/>
          <w:sz w:val="24"/>
          <w:szCs w:val="24"/>
        </w:rPr>
      </w:pPr>
      <w:r w:rsidRPr="000E487A">
        <w:rPr>
          <w:rFonts w:ascii="Times New Roman" w:hAnsi="Times New Roman"/>
          <w:noProof/>
          <w:sz w:val="24"/>
          <w:szCs w:val="24"/>
        </w:rPr>
        <w:t>En primer lugar, precisar que el adelanto de suelto es un ingreso de dinero no una perdida, por lo tanto no será analizado a fin de verificar si el evento es un riesgo coberturado o no.</w:t>
      </w:r>
    </w:p>
    <w:p w:rsidRPr="000E487A" w:rsidR="000E487A" w:rsidP="000E487A" w:rsidRDefault="000E487A" w14:paraId="7D65E008" w14:textId="0216D875">
      <w:pPr>
        <w:jc w:val="both"/>
        <w:rPr>
          <w:rFonts w:ascii="Times New Roman" w:hAnsi="Times New Roman"/>
          <w:noProof/>
          <w:sz w:val="24"/>
          <w:szCs w:val="24"/>
        </w:rPr>
      </w:pPr>
      <w:r w:rsidRPr="000E487A">
        <w:rPr>
          <w:rFonts w:ascii="Times New Roman" w:hAnsi="Times New Roman"/>
          <w:noProof/>
          <w:sz w:val="24"/>
          <w:szCs w:val="24"/>
        </w:rPr>
        <w:lastRenderedPageBreak/>
        <w:t xml:space="preserve">Que, no existió </w:t>
      </w:r>
      <w:r w:rsidR="00850CD6">
        <w:rPr>
          <w:rFonts w:ascii="Times New Roman" w:hAnsi="Times New Roman"/>
          <w:noProof/>
          <w:sz w:val="24"/>
          <w:szCs w:val="24"/>
        </w:rPr>
        <w:t>alguna</w:t>
      </w:r>
      <w:r w:rsidRPr="000E487A">
        <w:rPr>
          <w:rFonts w:ascii="Times New Roman" w:hAnsi="Times New Roman"/>
          <w:noProof/>
          <w:sz w:val="24"/>
          <w:szCs w:val="24"/>
        </w:rPr>
        <w:t xml:space="preserve"> compra no renocida en locales comerciales (supuesto 1), tampoco estamos ante compras por internet (supuesto2). Por otro lado, la transferencia que se realizó fue a través del cajero automático no a través de canales virtuales (supuesto 3). Asimismo, no se sustrajo dinero tras </w:t>
      </w:r>
      <w:r w:rsidR="000562FD">
        <w:rPr>
          <w:rFonts w:ascii="Times New Roman" w:hAnsi="Times New Roman"/>
          <w:noProof/>
          <w:sz w:val="24"/>
          <w:szCs w:val="24"/>
        </w:rPr>
        <w:t xml:space="preserve">ser </w:t>
      </w:r>
      <w:r w:rsidRPr="000E487A">
        <w:rPr>
          <w:rFonts w:ascii="Times New Roman" w:hAnsi="Times New Roman"/>
          <w:noProof/>
          <w:sz w:val="24"/>
          <w:szCs w:val="24"/>
        </w:rPr>
        <w:t>retirado de un cajeor automático (supuesto 5).</w:t>
      </w:r>
    </w:p>
    <w:p w:rsidRPr="000E487A" w:rsidR="000E487A" w:rsidP="000E487A" w:rsidRDefault="000E487A" w14:paraId="3045D941" w14:textId="162CB665">
      <w:pPr>
        <w:jc w:val="both"/>
        <w:rPr>
          <w:rFonts w:ascii="Times New Roman" w:hAnsi="Times New Roman"/>
          <w:noProof/>
          <w:sz w:val="24"/>
          <w:szCs w:val="24"/>
        </w:rPr>
      </w:pPr>
      <w:r w:rsidRPr="000E487A">
        <w:rPr>
          <w:rFonts w:ascii="Times New Roman" w:hAnsi="Times New Roman"/>
          <w:noProof/>
          <w:sz w:val="24"/>
          <w:szCs w:val="24"/>
        </w:rPr>
        <w:t xml:space="preserve">Finalmente, los retiros de dinero fueron consecuencia del cambiazo de la tarjeta no existiendo un uso forzado del plástico a consecuencia de un secuestro (supuesto 4). Además, no se precisa que este cubierto el retiro </w:t>
      </w:r>
      <w:r w:rsidR="00136F62">
        <w:rPr>
          <w:rFonts w:ascii="Times New Roman" w:hAnsi="Times New Roman"/>
          <w:noProof/>
          <w:sz w:val="24"/>
          <w:szCs w:val="24"/>
        </w:rPr>
        <w:t xml:space="preserve">de dinero </w:t>
      </w:r>
      <w:r w:rsidRPr="000E487A">
        <w:rPr>
          <w:rFonts w:ascii="Times New Roman" w:hAnsi="Times New Roman"/>
          <w:noProof/>
          <w:sz w:val="24"/>
          <w:szCs w:val="24"/>
        </w:rPr>
        <w:t>a través de un agente.</w:t>
      </w:r>
    </w:p>
    <w:p w:rsidRPr="000E487A" w:rsidR="000E487A" w:rsidP="000E487A" w:rsidRDefault="000E487A" w14:paraId="02AC5ED2" w14:textId="77777777">
      <w:pPr>
        <w:jc w:val="both"/>
        <w:rPr>
          <w:rFonts w:ascii="Times New Roman" w:hAnsi="Times New Roman"/>
          <w:sz w:val="24"/>
          <w:szCs w:val="24"/>
        </w:rPr>
      </w:pPr>
      <w:r w:rsidRPr="000E487A">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0E487A" w:rsidR="000E487A" w:rsidP="000E487A" w:rsidRDefault="000E487A" w14:paraId="03C40FDC" w14:textId="77777777">
      <w:pPr>
        <w:jc w:val="both"/>
        <w:rPr>
          <w:rFonts w:ascii="Times New Roman" w:hAnsi="Times New Roman"/>
          <w:sz w:val="24"/>
          <w:szCs w:val="24"/>
        </w:rPr>
      </w:pPr>
      <w:r w:rsidRPr="000E487A">
        <w:rPr>
          <w:rFonts w:ascii="Times New Roman" w:hAnsi="Times New Roman"/>
          <w:sz w:val="24"/>
          <w:szCs w:val="24"/>
        </w:rPr>
        <w:t xml:space="preserve">Al respecto, es aplicable lo sancionado en la sétima regla interpretativa contenida en el artículo IV de la Ley Nro. 29946 – Ley del Contrato de Seguro: </w:t>
      </w:r>
      <w:r w:rsidRPr="000E487A">
        <w:rPr>
          <w:rFonts w:ascii="Times New Roman" w:hAnsi="Times New Roman"/>
          <w:b/>
          <w:bCs/>
          <w:i/>
          <w:iCs/>
          <w:sz w:val="24"/>
          <w:szCs w:val="24"/>
        </w:rPr>
        <w:t>“La cobertura,</w:t>
      </w:r>
      <w:r w:rsidRPr="000E487A">
        <w:rPr>
          <w:rFonts w:ascii="Times New Roman" w:hAnsi="Times New Roman"/>
          <w:i/>
          <w:iCs/>
          <w:sz w:val="24"/>
          <w:szCs w:val="24"/>
        </w:rPr>
        <w:t xml:space="preserve"> exclusiones </w:t>
      </w:r>
      <w:r w:rsidRPr="000E487A">
        <w:rPr>
          <w:rFonts w:ascii="Times New Roman" w:hAnsi="Times New Roman"/>
          <w:b/>
          <w:bCs/>
          <w:i/>
          <w:iCs/>
          <w:sz w:val="24"/>
          <w:szCs w:val="24"/>
        </w:rPr>
        <w:t xml:space="preserve">y, en general, la extensión del riesgo, </w:t>
      </w:r>
      <w:r w:rsidRPr="000E487A">
        <w:rPr>
          <w:rFonts w:ascii="Times New Roman" w:hAnsi="Times New Roman"/>
          <w:i/>
          <w:iCs/>
          <w:sz w:val="24"/>
          <w:szCs w:val="24"/>
        </w:rPr>
        <w:t xml:space="preserve">así como los derechos de los beneficiarios, previstos en el contrato de seguro, </w:t>
      </w:r>
      <w:r w:rsidRPr="000E487A">
        <w:rPr>
          <w:rFonts w:ascii="Times New Roman" w:hAnsi="Times New Roman"/>
          <w:b/>
          <w:bCs/>
          <w:i/>
          <w:iCs/>
          <w:sz w:val="24"/>
          <w:szCs w:val="24"/>
        </w:rPr>
        <w:t xml:space="preserve">deben interpretarse literalmente” </w:t>
      </w:r>
      <w:r w:rsidRPr="000E487A">
        <w:rPr>
          <w:rFonts w:ascii="Times New Roman" w:hAnsi="Times New Roman"/>
          <w:sz w:val="24"/>
          <w:szCs w:val="24"/>
        </w:rPr>
        <w:t>(lo destacado es nuestro); y, en este sentido, carece de sustento pretender que la aseguradora deba otorgar cobertura a riesgos que no han sido aceptados.</w:t>
      </w:r>
    </w:p>
    <w:p w:rsidRPr="000E487A" w:rsidR="000E487A" w:rsidP="000E487A" w:rsidRDefault="000E487A" w14:paraId="2454E08B" w14:textId="77777777">
      <w:pPr>
        <w:jc w:val="both"/>
        <w:rPr>
          <w:rStyle w:val="Textoennegrita"/>
          <w:rFonts w:ascii="Times New Roman" w:hAnsi="Times New Roman"/>
          <w:b w:val="0"/>
          <w:bCs w:val="0"/>
          <w:noProof/>
          <w:sz w:val="24"/>
          <w:szCs w:val="24"/>
        </w:rPr>
      </w:pPr>
      <w:r w:rsidRPr="000E487A">
        <w:rPr>
          <w:rFonts w:ascii="Times New Roman" w:hAnsi="Times New Roman"/>
          <w:noProof/>
          <w:sz w:val="24"/>
          <w:szCs w:val="24"/>
        </w:rPr>
        <w:t xml:space="preserve">Que, no </w:t>
      </w:r>
      <w:r w:rsidRPr="000E487A">
        <w:rPr>
          <w:rStyle w:val="Textoennegrita"/>
          <w:rFonts w:ascii="Times New Roman" w:hAnsi="Times New Roman"/>
          <w:b w:val="0"/>
          <w:sz w:val="24"/>
          <w:szCs w:val="24"/>
        </w:rPr>
        <w:t xml:space="preserve">se desconoce que se hayan realizado operaciones no autorizadas, lo que sucede es que dichos supuestos no se encuentran como un riesgo </w:t>
      </w:r>
      <w:proofErr w:type="spellStart"/>
      <w:r w:rsidRPr="000E487A">
        <w:rPr>
          <w:rStyle w:val="Textoennegrita"/>
          <w:rFonts w:ascii="Times New Roman" w:hAnsi="Times New Roman"/>
          <w:b w:val="0"/>
          <w:sz w:val="24"/>
          <w:szCs w:val="24"/>
        </w:rPr>
        <w:t>coberturado</w:t>
      </w:r>
      <w:proofErr w:type="spellEnd"/>
      <w:r w:rsidRPr="000E487A">
        <w:rPr>
          <w:rStyle w:val="Textoennegrita"/>
          <w:rFonts w:ascii="Times New Roman" w:hAnsi="Times New Roman"/>
          <w:b w:val="0"/>
          <w:sz w:val="24"/>
          <w:szCs w:val="24"/>
        </w:rPr>
        <w:t xml:space="preserve"> en la póliza contrada.</w:t>
      </w:r>
    </w:p>
    <w:p w:rsidRPr="000E487A" w:rsidR="000E487A" w:rsidP="000E487A" w:rsidRDefault="000E487A" w14:paraId="42CF71B6" w14:textId="77777777">
      <w:pPr>
        <w:tabs>
          <w:tab w:val="left" w:pos="2160"/>
        </w:tabs>
        <w:jc w:val="both"/>
        <w:rPr>
          <w:rStyle w:val="Textoennegrita"/>
          <w:rFonts w:ascii="Times New Roman" w:hAnsi="Times New Roman"/>
          <w:b w:val="0"/>
          <w:sz w:val="24"/>
          <w:szCs w:val="24"/>
        </w:rPr>
      </w:pPr>
      <w:r w:rsidRPr="000E487A">
        <w:rPr>
          <w:rStyle w:val="Textoennegrita"/>
          <w:rFonts w:ascii="Times New Roman" w:hAnsi="Times New Roman"/>
          <w:b w:val="0"/>
          <w:sz w:val="24"/>
          <w:szCs w:val="24"/>
        </w:rPr>
        <w:t>Consecuentemente, en el presente caso no se ha probado ninguno de los supuestos de hecho que materializarían la cobertura</w:t>
      </w:r>
      <w:r w:rsidRPr="000E487A">
        <w:rPr>
          <w:rFonts w:ascii="Times New Roman" w:hAnsi="Times New Roman"/>
          <w:sz w:val="24"/>
          <w:szCs w:val="24"/>
          <w:lang w:val="es-MX"/>
        </w:rPr>
        <w:t xml:space="preserve"> del Seguro Contratado</w:t>
      </w:r>
      <w:r w:rsidRPr="000E487A">
        <w:rPr>
          <w:rStyle w:val="Textoennegrita"/>
          <w:rFonts w:ascii="Times New Roman" w:hAnsi="Times New Roman"/>
          <w:b w:val="0"/>
          <w:sz w:val="24"/>
          <w:szCs w:val="24"/>
        </w:rPr>
        <w:t>, esto es, no se ha demostrado la existencia de un siniestro que deba ser indemnizado bajo el Seguro contratado.</w:t>
      </w:r>
    </w:p>
    <w:p w:rsidRPr="000E487A" w:rsidR="000E487A" w:rsidP="000E487A" w:rsidRDefault="000E487A" w14:paraId="58E7B673" w14:textId="77777777">
      <w:pPr>
        <w:tabs>
          <w:tab w:val="left" w:pos="2386"/>
        </w:tabs>
        <w:jc w:val="both"/>
        <w:outlineLvl w:val="0"/>
        <w:rPr>
          <w:rFonts w:ascii="Times New Roman" w:hAnsi="Times New Roman"/>
          <w:b/>
          <w:sz w:val="24"/>
          <w:szCs w:val="24"/>
          <w:lang w:val="es-ES"/>
        </w:rPr>
      </w:pPr>
      <w:r w:rsidRPr="000E487A">
        <w:rPr>
          <w:rFonts w:ascii="Times New Roman" w:hAnsi="Times New Roman"/>
          <w:b/>
          <w:sz w:val="24"/>
          <w:szCs w:val="24"/>
        </w:rPr>
        <w:t>Atendiendo a lo expresado, este órgano resolutivo unipersonal concluye su apreciación razonada y conjunta al amparo de lo establecido en el Reglamento de la DEFASEG, por lo que resuelve:</w:t>
      </w:r>
    </w:p>
    <w:p w:rsidRPr="000E487A" w:rsidR="000E487A" w:rsidP="000E487A" w:rsidRDefault="000E487A" w14:paraId="1678FAB1" w14:textId="4C70B724">
      <w:pPr>
        <w:tabs>
          <w:tab w:val="left" w:pos="708"/>
          <w:tab w:val="left" w:pos="2160"/>
        </w:tabs>
        <w:jc w:val="both"/>
        <w:rPr>
          <w:rFonts w:ascii="Times New Roman" w:hAnsi="Times New Roman" w:eastAsia="Times New Roman"/>
          <w:sz w:val="24"/>
          <w:szCs w:val="24"/>
        </w:rPr>
      </w:pPr>
      <w:r w:rsidRPr="5A69B0B7" w:rsidR="000E487A">
        <w:rPr>
          <w:rFonts w:ascii="Times New Roman" w:hAnsi="Times New Roman"/>
          <w:sz w:val="24"/>
          <w:szCs w:val="24"/>
        </w:rPr>
        <w:t xml:space="preserve">Declarar </w:t>
      </w:r>
      <w:r w:rsidRPr="5A69B0B7" w:rsidR="000E487A">
        <w:rPr>
          <w:rFonts w:ascii="Times New Roman" w:hAnsi="Times New Roman"/>
          <w:b w:val="1"/>
          <w:bCs w:val="1"/>
          <w:sz w:val="24"/>
          <w:szCs w:val="24"/>
        </w:rPr>
        <w:t>INFUNDADA</w:t>
      </w:r>
      <w:r w:rsidRPr="5A69B0B7" w:rsidR="000E487A">
        <w:rPr>
          <w:rFonts w:ascii="Times New Roman" w:hAnsi="Times New Roman"/>
          <w:sz w:val="24"/>
          <w:szCs w:val="24"/>
        </w:rPr>
        <w:t xml:space="preserve"> la reclamación interpuesta por </w:t>
      </w:r>
      <w:r w:rsidRPr="5A69B0B7" w:rsidR="0E9964D5">
        <w:rPr>
          <w:rFonts w:ascii="Times New Roman" w:hAnsi="Times New Roman"/>
          <w:b w:val="1"/>
          <w:bCs w:val="1"/>
          <w:sz w:val="24"/>
          <w:szCs w:val="24"/>
        </w:rPr>
        <w:t>.....................................................................</w:t>
      </w:r>
      <w:r w:rsidRPr="5A69B0B7" w:rsidR="000E487A">
        <w:rPr>
          <w:rFonts w:ascii="Times New Roman" w:hAnsi="Times New Roman"/>
          <w:b w:val="1"/>
          <w:bCs w:val="1"/>
          <w:sz w:val="24"/>
          <w:szCs w:val="24"/>
        </w:rPr>
        <w:t xml:space="preserve"> </w:t>
      </w:r>
      <w:r w:rsidRPr="5A69B0B7" w:rsidR="000E487A">
        <w:rPr>
          <w:rFonts w:ascii="Times New Roman" w:hAnsi="Times New Roman"/>
          <w:sz w:val="24"/>
          <w:szCs w:val="24"/>
        </w:rPr>
        <w:t xml:space="preserve">contra </w:t>
      </w:r>
      <w:r w:rsidRPr="5A69B0B7" w:rsidR="11AC0386">
        <w:rPr>
          <w:rFonts w:ascii="Times New Roman" w:hAnsi="Times New Roman"/>
          <w:b w:val="1"/>
          <w:bCs w:val="1"/>
          <w:sz w:val="24"/>
          <w:szCs w:val="24"/>
        </w:rPr>
        <w:t>........................................</w:t>
      </w:r>
      <w:r w:rsidRPr="5A69B0B7" w:rsidR="000E487A">
        <w:rPr>
          <w:rFonts w:ascii="Times New Roman" w:hAnsi="Times New Roman"/>
          <w:sz w:val="24"/>
          <w:szCs w:val="24"/>
          <w:lang w:eastAsia="ar-SA"/>
        </w:rPr>
        <w:t xml:space="preserve"> dejando a salvo el derecho del reclamante de acudir a otras instancias que considere pertinentes.</w:t>
      </w:r>
    </w:p>
    <w:p w:rsidRPr="000E487A" w:rsidR="00FE0AE9" w:rsidP="0097444E" w:rsidRDefault="00D00142" w14:paraId="22FB6411" w14:textId="1B536A9C">
      <w:pPr>
        <w:jc w:val="right"/>
        <w:rPr>
          <w:rFonts w:ascii="Times New Roman" w:hAnsi="Times New Roman"/>
          <w:sz w:val="24"/>
          <w:szCs w:val="24"/>
        </w:rPr>
      </w:pPr>
      <w:r w:rsidRPr="000E487A">
        <w:rPr>
          <w:rFonts w:ascii="Times New Roman" w:hAnsi="Times New Roman"/>
          <w:sz w:val="24"/>
          <w:szCs w:val="24"/>
        </w:rPr>
        <w:t>Lima,</w:t>
      </w:r>
      <w:r w:rsidRPr="000E487A" w:rsidR="0034229F">
        <w:rPr>
          <w:rFonts w:ascii="Times New Roman" w:hAnsi="Times New Roman"/>
          <w:sz w:val="24"/>
          <w:szCs w:val="24"/>
        </w:rPr>
        <w:t xml:space="preserve"> </w:t>
      </w:r>
      <w:r w:rsidRPr="000E487A" w:rsidR="005E0EF8">
        <w:rPr>
          <w:rFonts w:ascii="Times New Roman" w:hAnsi="Times New Roman"/>
          <w:sz w:val="24"/>
          <w:szCs w:val="24"/>
        </w:rPr>
        <w:t>14</w:t>
      </w:r>
      <w:r w:rsidRPr="000E487A" w:rsidR="00B3136B">
        <w:rPr>
          <w:rFonts w:ascii="Times New Roman" w:hAnsi="Times New Roman"/>
          <w:sz w:val="24"/>
          <w:szCs w:val="24"/>
        </w:rPr>
        <w:t xml:space="preserve"> </w:t>
      </w:r>
      <w:r w:rsidRPr="000E487A">
        <w:rPr>
          <w:rFonts w:ascii="Times New Roman" w:hAnsi="Times New Roman"/>
          <w:sz w:val="24"/>
          <w:szCs w:val="24"/>
        </w:rPr>
        <w:t>de</w:t>
      </w:r>
      <w:r w:rsidRPr="000E487A" w:rsidR="00EF70E2">
        <w:rPr>
          <w:rFonts w:ascii="Times New Roman" w:hAnsi="Times New Roman"/>
          <w:sz w:val="24"/>
          <w:szCs w:val="24"/>
        </w:rPr>
        <w:t xml:space="preserve"> </w:t>
      </w:r>
      <w:r w:rsidRPr="000E487A" w:rsidR="005E0EF8">
        <w:rPr>
          <w:rFonts w:ascii="Times New Roman" w:hAnsi="Times New Roman"/>
          <w:sz w:val="24"/>
          <w:szCs w:val="24"/>
        </w:rPr>
        <w:t>septiembre</w:t>
      </w:r>
      <w:r w:rsidRPr="000E487A">
        <w:rPr>
          <w:rFonts w:ascii="Times New Roman" w:hAnsi="Times New Roman"/>
          <w:sz w:val="24"/>
          <w:szCs w:val="24"/>
        </w:rPr>
        <w:t xml:space="preserve"> de 202</w:t>
      </w:r>
      <w:r w:rsidRPr="000E487A" w:rsidR="006C6213">
        <w:rPr>
          <w:rFonts w:ascii="Times New Roman" w:hAnsi="Times New Roman"/>
          <w:sz w:val="24"/>
          <w:szCs w:val="24"/>
        </w:rPr>
        <w:t>3</w:t>
      </w:r>
    </w:p>
    <w:p w:rsidRPr="000E487A" w:rsidR="00D066E9" w:rsidP="001D5079" w:rsidRDefault="00487E42" w14:paraId="07DA551C" w14:textId="2F682B5B">
      <w:pPr>
        <w:jc w:val="both"/>
        <w:rPr>
          <w:rFonts w:ascii="Times New Roman" w:hAnsi="Times New Roman"/>
          <w:b/>
          <w:bCs/>
          <w:i/>
          <w:iCs/>
          <w:sz w:val="24"/>
          <w:szCs w:val="24"/>
        </w:rPr>
      </w:pPr>
      <w:r w:rsidRPr="000E487A">
        <w:rPr>
          <w:rFonts w:ascii="Times New Roman" w:hAnsi="Times New Roman"/>
          <w:b/>
          <w:bCs/>
          <w:i/>
          <w:iCs/>
          <w:sz w:val="24"/>
          <w:szCs w:val="24"/>
        </w:rPr>
        <w:t>La Secretaria Técnica, como Órgano Resolutivo Unipersonal, emite la presente resolución.</w:t>
      </w:r>
    </w:p>
    <w:p w:rsidRPr="000E487A" w:rsidR="00487E42" w:rsidP="001D5079" w:rsidRDefault="00487E42" w14:paraId="2D80A377" w14:textId="0DAFEFD0">
      <w:pPr>
        <w:spacing w:line="360" w:lineRule="auto"/>
        <w:jc w:val="center"/>
        <w:rPr>
          <w:rFonts w:ascii="Times New Roman" w:hAnsi="Times New Roman"/>
          <w:b/>
          <w:bCs/>
          <w:sz w:val="24"/>
          <w:szCs w:val="24"/>
        </w:rPr>
      </w:pPr>
      <w:r w:rsidRPr="000E487A">
        <w:rPr>
          <w:rFonts w:ascii="Times New Roman" w:hAnsi="Times New Roman"/>
          <w:b/>
          <w:bCs/>
          <w:sz w:val="24"/>
          <w:szCs w:val="24"/>
        </w:rPr>
        <w:t>Alicia Martín López – Secretar</w:t>
      </w:r>
      <w:r w:rsidRPr="000E487A" w:rsidR="003179C7">
        <w:rPr>
          <w:rFonts w:ascii="Times New Roman" w:hAnsi="Times New Roman"/>
          <w:b/>
          <w:bCs/>
          <w:sz w:val="24"/>
          <w:szCs w:val="24"/>
        </w:rPr>
        <w:t>i</w:t>
      </w:r>
      <w:r w:rsidRPr="000E487A">
        <w:rPr>
          <w:rFonts w:ascii="Times New Roman" w:hAnsi="Times New Roman"/>
          <w:b/>
          <w:bCs/>
          <w:sz w:val="24"/>
          <w:szCs w:val="24"/>
        </w:rPr>
        <w:t>a Técnica</w:t>
      </w:r>
    </w:p>
    <w:p w:rsidRPr="000E487A"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7BF5" w:rsidP="00722F1A" w:rsidRDefault="00DC7BF5" w14:paraId="793ED671" w14:textId="77777777">
      <w:pPr>
        <w:spacing w:after="0" w:line="240" w:lineRule="auto"/>
      </w:pPr>
      <w:r>
        <w:separator/>
      </w:r>
    </w:p>
  </w:endnote>
  <w:endnote w:type="continuationSeparator" w:id="0">
    <w:p w:rsidR="00DC7BF5" w:rsidP="00722F1A" w:rsidRDefault="00DC7BF5" w14:paraId="276561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7BF5" w:rsidP="00722F1A" w:rsidRDefault="00DC7BF5" w14:paraId="350E7A47" w14:textId="77777777">
      <w:pPr>
        <w:spacing w:after="0" w:line="240" w:lineRule="auto"/>
      </w:pPr>
      <w:r>
        <w:separator/>
      </w:r>
    </w:p>
  </w:footnote>
  <w:footnote w:type="continuationSeparator" w:id="0">
    <w:p w:rsidR="00DC7BF5" w:rsidP="00722F1A" w:rsidRDefault="00DC7BF5" w14:paraId="49F0F67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2FD"/>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29AE"/>
    <w:rsid w:val="000E487A"/>
    <w:rsid w:val="000F44AD"/>
    <w:rsid w:val="000F52F7"/>
    <w:rsid w:val="00123B3A"/>
    <w:rsid w:val="00136C86"/>
    <w:rsid w:val="00136F62"/>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572C"/>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654A0"/>
    <w:rsid w:val="00570097"/>
    <w:rsid w:val="00571328"/>
    <w:rsid w:val="00571642"/>
    <w:rsid w:val="005745B9"/>
    <w:rsid w:val="00574E09"/>
    <w:rsid w:val="00584164"/>
    <w:rsid w:val="00584BAE"/>
    <w:rsid w:val="00584D4D"/>
    <w:rsid w:val="005A5404"/>
    <w:rsid w:val="005A6F5E"/>
    <w:rsid w:val="005B1319"/>
    <w:rsid w:val="005B7527"/>
    <w:rsid w:val="005C2472"/>
    <w:rsid w:val="005D470E"/>
    <w:rsid w:val="005E076E"/>
    <w:rsid w:val="005E0EF8"/>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81314"/>
    <w:rsid w:val="00693F67"/>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2CE4"/>
    <w:rsid w:val="007A4A6D"/>
    <w:rsid w:val="007A51E2"/>
    <w:rsid w:val="007B4101"/>
    <w:rsid w:val="007B48E1"/>
    <w:rsid w:val="007B4FD4"/>
    <w:rsid w:val="007C066E"/>
    <w:rsid w:val="007C1D34"/>
    <w:rsid w:val="007C2EAB"/>
    <w:rsid w:val="007D3EB0"/>
    <w:rsid w:val="007D442E"/>
    <w:rsid w:val="007E38B7"/>
    <w:rsid w:val="007E7546"/>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0CD6"/>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302"/>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5252C"/>
    <w:rsid w:val="00D52D69"/>
    <w:rsid w:val="00D63CFD"/>
    <w:rsid w:val="00D645CF"/>
    <w:rsid w:val="00D66F3E"/>
    <w:rsid w:val="00D74A40"/>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C7BF5"/>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2F1E310"/>
    <w:rsid w:val="077F5E56"/>
    <w:rsid w:val="0E9964D5"/>
    <w:rsid w:val="11AC0386"/>
    <w:rsid w:val="2FFCF20B"/>
    <w:rsid w:val="366A130A"/>
    <w:rsid w:val="3CBC08C5"/>
    <w:rsid w:val="444B5D19"/>
    <w:rsid w:val="4894F042"/>
    <w:rsid w:val="4B6A1285"/>
    <w:rsid w:val="4ECCAAEA"/>
    <w:rsid w:val="58A10596"/>
    <w:rsid w:val="5A69B0B7"/>
    <w:rsid w:val="61FC6227"/>
    <w:rsid w:val="6F9659BD"/>
    <w:rsid w:val="7BF002A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78091127">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7341756">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4FAEE89-C8DD-4748-A588-EA307B231883}"/>
</file>

<file path=customXml/itemProps3.xml><?xml version="1.0" encoding="utf-8"?>
<ds:datastoreItem xmlns:ds="http://schemas.openxmlformats.org/officeDocument/2006/customXml" ds:itemID="{1D1804CF-E65B-48E7-8F6C-B93E461AC2D7}"/>
</file>

<file path=customXml/itemProps4.xml><?xml version="1.0" encoding="utf-8"?>
<ds:datastoreItem xmlns:ds="http://schemas.openxmlformats.org/officeDocument/2006/customXml" ds:itemID="{537E6027-AB19-40CE-992B-BC892FACDBE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572</cp:revision>
  <cp:lastPrinted>2023-09-15T14:31:00Z</cp:lastPrinted>
  <dcterms:created xsi:type="dcterms:W3CDTF">2022-12-22T22:59:00Z</dcterms:created>
  <dcterms:modified xsi:type="dcterms:W3CDTF">2025-07-02T21:54:00Z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