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55043" w:rsidR="007A1D6A" w:rsidP="000D4627" w:rsidRDefault="00F15FBA" w14:paraId="2EB47530" w14:textId="3CDE9B52">
      <w:pPr>
        <w:pStyle w:val="Ttulo"/>
        <w:outlineLvl w:val="0"/>
        <w:rPr>
          <w:lang w:val="es-PE"/>
        </w:rPr>
      </w:pPr>
      <w:r w:rsidRPr="00B55043">
        <w:rPr>
          <w:lang w:val="es-PE"/>
        </w:rPr>
        <w:t xml:space="preserve">RESOLUCIÓN </w:t>
      </w:r>
      <w:proofErr w:type="spellStart"/>
      <w:r w:rsidRPr="00B55043">
        <w:rPr>
          <w:lang w:val="es-PE"/>
        </w:rPr>
        <w:t>N</w:t>
      </w:r>
      <w:r w:rsidRPr="00B55043" w:rsidR="001631D6">
        <w:rPr>
          <w:lang w:val="es-PE"/>
        </w:rPr>
        <w:t>°</w:t>
      </w:r>
      <w:proofErr w:type="spellEnd"/>
      <w:r w:rsidRPr="00B55043" w:rsidR="001631D6">
        <w:rPr>
          <w:lang w:val="es-PE"/>
        </w:rPr>
        <w:t xml:space="preserve"> </w:t>
      </w:r>
      <w:r w:rsidRPr="00B55043" w:rsidR="006E066A">
        <w:rPr>
          <w:lang w:val="es-PE"/>
        </w:rPr>
        <w:t>20</w:t>
      </w:r>
      <w:r w:rsidRPr="00B55043" w:rsidR="00DC70D7">
        <w:rPr>
          <w:lang w:val="es-PE"/>
        </w:rPr>
        <w:t>5</w:t>
      </w:r>
      <w:r w:rsidRPr="00B55043" w:rsidR="001631D6">
        <w:rPr>
          <w:lang w:val="es-PE"/>
        </w:rPr>
        <w:t>/2</w:t>
      </w:r>
      <w:r w:rsidRPr="00B55043" w:rsidR="00BD063F">
        <w:rPr>
          <w:lang w:val="es-PE"/>
        </w:rPr>
        <w:t>3</w:t>
      </w:r>
    </w:p>
    <w:p w:rsidRPr="00B55043" w:rsidR="00B55043" w:rsidP="00B55043" w:rsidRDefault="00B55043" w14:paraId="57964F7D" w14:textId="77777777">
      <w:pPr>
        <w:rPr>
          <w:b/>
          <w:bCs/>
          <w:lang w:val="es-PE"/>
        </w:rPr>
      </w:pPr>
    </w:p>
    <w:p w:rsidRPr="00B55043" w:rsidR="00B55043" w:rsidP="00B55043" w:rsidRDefault="00B55043" w14:paraId="3C746087" w14:textId="77777777">
      <w:pPr>
        <w:jc w:val="both"/>
        <w:outlineLvl w:val="0"/>
        <w:rPr>
          <w:b/>
          <w:bCs/>
          <w:lang w:val="es-PE"/>
        </w:rPr>
      </w:pPr>
      <w:r w:rsidRPr="00B55043">
        <w:rPr>
          <w:b/>
          <w:bCs/>
          <w:lang w:val="es-PE"/>
        </w:rPr>
        <w:t>Vistos:</w:t>
      </w:r>
    </w:p>
    <w:p w:rsidRPr="00B55043" w:rsidR="00B55043" w:rsidP="00B55043" w:rsidRDefault="00B55043" w14:paraId="57A7E705" w14:textId="77777777">
      <w:pPr>
        <w:jc w:val="both"/>
        <w:rPr>
          <w:b/>
          <w:bCs/>
          <w:lang w:val="es-PE"/>
        </w:rPr>
      </w:pPr>
    </w:p>
    <w:p w:rsidRPr="00B55043" w:rsidR="00B55043" w:rsidP="14B98DCC" w:rsidRDefault="00B55043" w14:paraId="5F568BB2" w14:textId="334DB011">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14B98DCC" w:rsidR="00B55043">
        <w:rPr>
          <w:lang w:val="es-PE"/>
        </w:rPr>
        <w:t xml:space="preserve">Que, con fecha 08 de agosto de 2023 doña </w:t>
      </w:r>
      <w:r w:rsidRPr="14B98DCC" w:rsidR="5DF7188F">
        <w:rPr>
          <w:lang w:val="es-PE"/>
        </w:rPr>
        <w:t>..................................................................................</w:t>
      </w:r>
      <w:r w:rsidRPr="14B98DCC" w:rsidR="00B55043">
        <w:rPr>
          <w:lang w:val="es-PE"/>
        </w:rPr>
        <w:t xml:space="preserve"> interpone reclamación ante esta Defensoría del Asegurado (DEFASEG) solicitando que </w:t>
      </w:r>
      <w:r w:rsidRPr="14B98DCC" w:rsidR="109E6066">
        <w:rPr>
          <w:lang w:val="es-PE"/>
        </w:rPr>
        <w:t>....................................</w:t>
      </w:r>
      <w:r w:rsidRPr="14B98DCC" w:rsidR="00B55043">
        <w:rPr>
          <w:lang w:val="es-PE"/>
        </w:rPr>
        <w:t xml:space="preserve"> otorgue la cobertura de SOAT del vehículo de placa </w:t>
      </w:r>
      <w:r w:rsidRPr="14B98DCC" w:rsidR="68B81842">
        <w:rPr>
          <w:lang w:val="es-PE"/>
        </w:rPr>
        <w:t>.................</w:t>
      </w:r>
      <w:r w:rsidRPr="14B98DCC" w:rsidR="00B55043">
        <w:rPr>
          <w:lang w:val="es-PE"/>
        </w:rPr>
        <w:t xml:space="preserve"> por el fallecimiento del señor </w:t>
      </w:r>
      <w:r w:rsidRPr="14B98DCC" w:rsidR="53A7AAED">
        <w:rPr>
          <w:lang w:val="es-PE"/>
        </w:rPr>
        <w:t>...............................................</w:t>
      </w:r>
      <w:r w:rsidRPr="14B98DCC" w:rsidR="00B55043">
        <w:rPr>
          <w:lang w:val="es-PE"/>
        </w:rPr>
        <w:t xml:space="preserve">, quien era conductor del vehículo de placa </w:t>
      </w:r>
      <w:r w:rsidRPr="14B98DCC" w:rsidR="02AA5506">
        <w:rPr>
          <w:lang w:val="es-PE"/>
        </w:rPr>
        <w:t>................</w:t>
      </w:r>
      <w:r w:rsidRPr="14B98DCC" w:rsidR="00B55043">
        <w:rPr>
          <w:lang w:val="es-PE"/>
        </w:rPr>
        <w:t xml:space="preserve"> que no contaba con SOAT, con motivo del accidente de tránsito en el que participaron ambas unidades vehiculares, ocurrido el 24 de octubre de 2022. </w:t>
      </w:r>
    </w:p>
    <w:p w:rsidRPr="00B55043" w:rsidR="00B55043" w:rsidP="00B55043" w:rsidRDefault="00B55043" w14:paraId="163A268D"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B55043" w:rsidR="00B55043" w:rsidP="00B55043" w:rsidRDefault="00B55043" w14:paraId="4FE59E80" w14:textId="77777777">
      <w:pPr>
        <w:jc w:val="both"/>
        <w:rPr>
          <w:rFonts w:eastAsia="Arial Unicode MS"/>
          <w:lang w:val="es-PE"/>
        </w:rPr>
      </w:pPr>
      <w:r w:rsidRPr="00B55043">
        <w:rPr>
          <w:rFonts w:eastAsia="Arial Unicode MS"/>
          <w:lang w:val="es-PE"/>
        </w:rPr>
        <w:t>Que, la señalada reclamación cumplió con los requisitos de materia, cuantía y oportunidad establecidos en el Reglamento de la DEFASEG (http://www.defaseg.com.pe/reglamento.html);</w:t>
      </w:r>
    </w:p>
    <w:p w:rsidRPr="00B55043" w:rsidR="00B55043" w:rsidP="00B55043" w:rsidRDefault="00B55043" w14:paraId="36FE85F1" w14:textId="77777777">
      <w:pPr>
        <w:tabs>
          <w:tab w:val="left" w:pos="2160"/>
        </w:tabs>
        <w:jc w:val="both"/>
        <w:rPr>
          <w:lang w:val="es-PE"/>
        </w:rPr>
      </w:pPr>
    </w:p>
    <w:p w:rsidRPr="00B55043" w:rsidR="00B55043" w:rsidP="00B55043" w:rsidRDefault="00B55043" w14:paraId="5D65488A" w14:textId="690C07E2">
      <w:pPr>
        <w:tabs>
          <w:tab w:val="num" w:pos="720"/>
        </w:tabs>
        <w:jc w:val="both"/>
        <w:rPr>
          <w:lang w:val="es-PE"/>
        </w:rPr>
      </w:pPr>
      <w:r w:rsidRPr="14B98DCC" w:rsidR="00B55043">
        <w:rPr>
          <w:lang w:val="es-PE"/>
        </w:rPr>
        <w:t xml:space="preserve">Que, habiéndose corrido traslado de la respectiva reclamación, </w:t>
      </w:r>
      <w:r w:rsidRPr="14B98DCC" w:rsidR="77681784">
        <w:rPr>
          <w:lang w:val="es-PE"/>
        </w:rPr>
        <w:t>..............</w:t>
      </w:r>
      <w:r w:rsidRPr="14B98DCC" w:rsidR="00B55043">
        <w:rPr>
          <w:lang w:val="es-PE"/>
        </w:rPr>
        <w:t xml:space="preserve"> presentó sus descargos el 13 de setiembre de 2023;</w:t>
      </w:r>
    </w:p>
    <w:p w:rsidRPr="00B55043" w:rsidR="00B55043" w:rsidP="00B55043" w:rsidRDefault="00B55043" w14:paraId="119CB5BF" w14:textId="77777777">
      <w:pPr>
        <w:tabs>
          <w:tab w:val="num" w:pos="720"/>
        </w:tabs>
        <w:jc w:val="both"/>
        <w:rPr>
          <w:lang w:val="es-PE"/>
        </w:rPr>
      </w:pPr>
    </w:p>
    <w:p w:rsidRPr="00B55043" w:rsidR="00B55043" w:rsidP="00B55043" w:rsidRDefault="00B55043" w14:paraId="43F50B2C" w14:textId="77777777">
      <w:pPr>
        <w:tabs>
          <w:tab w:val="num" w:pos="720"/>
        </w:tabs>
        <w:jc w:val="both"/>
        <w:rPr>
          <w:lang w:val="es-PE"/>
        </w:rPr>
      </w:pPr>
      <w:r w:rsidRPr="00B55043">
        <w:rPr>
          <w:lang w:val="es-PE"/>
        </w:rPr>
        <w:t>Que, el 25 de setiembre de 2023 se realizó la correspondiente audiencia virtual de vista con la participación de ambas partes, las que sustentaron sus respectivas posiciones absolviendo las preguntas formuladas por este colegiado.</w:t>
      </w:r>
    </w:p>
    <w:p w:rsidRPr="00B55043" w:rsidR="00B55043" w:rsidP="00B55043" w:rsidRDefault="00B55043" w14:paraId="2ABA65F6" w14:textId="77777777">
      <w:pPr>
        <w:tabs>
          <w:tab w:val="num" w:pos="720"/>
        </w:tabs>
        <w:jc w:val="both"/>
        <w:rPr>
          <w:lang w:val="es-PE"/>
        </w:rPr>
      </w:pPr>
    </w:p>
    <w:p w:rsidRPr="00B55043" w:rsidR="00B55043" w:rsidP="00B55043" w:rsidRDefault="00B55043" w14:paraId="4BE65313" w14:textId="39BE70A0">
      <w:pPr>
        <w:jc w:val="both"/>
        <w:rPr>
          <w:lang w:val="es-PE"/>
        </w:rPr>
      </w:pPr>
      <w:r w:rsidRPr="14B98DCC" w:rsidR="00B55043">
        <w:rPr>
          <w:lang w:val="es-PE"/>
        </w:rPr>
        <w:t>Que, la parte reclamante sustenta su reclamo resumidamente en lo siguiente: a) el 24 de octubre de 2022 se suscitó un accidente de tránsito entre el vehículo de placa</w:t>
      </w:r>
      <w:r w:rsidRPr="14B98DCC" w:rsidR="577B9304">
        <w:rPr>
          <w:lang w:val="es-PE"/>
        </w:rPr>
        <w:t>...............</w:t>
      </w:r>
      <w:r w:rsidRPr="14B98DCC" w:rsidR="00B55043">
        <w:rPr>
          <w:lang w:val="es-PE"/>
        </w:rPr>
        <w:t xml:space="preserve"> con seguro SOAT en </w:t>
      </w:r>
      <w:r w:rsidRPr="14B98DCC" w:rsidR="109E6066">
        <w:rPr>
          <w:lang w:val="es-PE"/>
        </w:rPr>
        <w:t>....................................</w:t>
      </w:r>
      <w:r w:rsidRPr="14B98DCC" w:rsidR="00B55043">
        <w:rPr>
          <w:lang w:val="es-PE"/>
        </w:rPr>
        <w:t xml:space="preserve"> y el vehículo de placa </w:t>
      </w:r>
      <w:r w:rsidRPr="14B98DCC" w:rsidR="02AA5506">
        <w:rPr>
          <w:lang w:val="es-PE"/>
        </w:rPr>
        <w:t>................</w:t>
      </w:r>
      <w:r w:rsidRPr="14B98DCC" w:rsidR="00B55043">
        <w:rPr>
          <w:lang w:val="es-PE"/>
        </w:rPr>
        <w:t xml:space="preserve">, sin seguro SOAT vigente al momento del accidente; b) el segundo vehículo era conducido por el señor </w:t>
      </w:r>
      <w:r w:rsidRPr="14B98DCC" w:rsidR="53A7AAED">
        <w:rPr>
          <w:lang w:val="es-PE"/>
        </w:rPr>
        <w:t>...............................................</w:t>
      </w:r>
      <w:r w:rsidRPr="14B98DCC" w:rsidR="00B55043">
        <w:rPr>
          <w:lang w:val="es-PE"/>
        </w:rPr>
        <w:t>, quien falleció a causa del accidente; c) el 15 de abril de 2023 solicitó la cobertura de fallecimiento y gastos de sepelio, la cual fue rechazada con fecha 04 de mayo de 2023; d) el SOAT tiene por objeto asegurar la cobertura de los gastos e indemnizaciones de las víctimas de accidentes, por lo que el SOAT del vehículo</w:t>
      </w:r>
      <w:r w:rsidRPr="14B98DCC" w:rsidR="577B9304">
        <w:rPr>
          <w:lang w:val="es-PE"/>
        </w:rPr>
        <w:t>...............</w:t>
      </w:r>
      <w:r w:rsidRPr="14B98DCC" w:rsidR="00B55043">
        <w:rPr>
          <w:lang w:val="es-PE"/>
        </w:rPr>
        <w:t xml:space="preserve"> debe otorgar cobertura a las víctimas del accidente, sea que se encuentre en el vehículo que no contaba con SOAT, tal como fue determinado en la Casación </w:t>
      </w:r>
      <w:r w:rsidRPr="14B98DCC" w:rsidR="00B55043">
        <w:rPr>
          <w:lang w:val="es-PE"/>
        </w:rPr>
        <w:t>N°</w:t>
      </w:r>
      <w:r w:rsidRPr="14B98DCC" w:rsidR="00B55043">
        <w:rPr>
          <w:lang w:val="es-PE"/>
        </w:rPr>
        <w:t xml:space="preserve"> 10192-2016 LIMA, por lo que solicita se le otorguen las coberturas reclamadas.</w:t>
      </w:r>
    </w:p>
    <w:p w:rsidRPr="00B55043" w:rsidR="00B55043" w:rsidP="00B55043" w:rsidRDefault="00B55043" w14:paraId="5E0DEF65" w14:textId="77777777">
      <w:pPr>
        <w:jc w:val="both"/>
        <w:rPr>
          <w:lang w:val="es-PE"/>
        </w:rPr>
      </w:pPr>
    </w:p>
    <w:p w:rsidRPr="00B55043" w:rsidR="00B55043" w:rsidP="00B55043" w:rsidRDefault="00B55043" w14:paraId="57A5DA52" w14:textId="119A6370">
      <w:pPr>
        <w:tabs>
          <w:tab w:val="left" w:pos="2160"/>
        </w:tabs>
        <w:jc w:val="both"/>
        <w:rPr>
          <w:lang w:val="es-PE"/>
        </w:rPr>
      </w:pPr>
      <w:r w:rsidRPr="14B98DCC" w:rsidR="00B55043">
        <w:rPr>
          <w:lang w:val="es-PE"/>
        </w:rPr>
        <w:t xml:space="preserve">Que, por su parte, conforme a lo expresado en sus descargos y a lo manifestado en la audiencia de vista, </w:t>
      </w:r>
      <w:r w:rsidRPr="14B98DCC" w:rsidR="109E6066">
        <w:rPr>
          <w:lang w:val="es-PE"/>
        </w:rPr>
        <w:t>....................................</w:t>
      </w:r>
      <w:r w:rsidRPr="14B98DCC" w:rsidR="00B55043">
        <w:rPr>
          <w:lang w:val="es-PE"/>
        </w:rPr>
        <w:t xml:space="preserve"> expresa resumidamente lo siguiente: a) el siniestro fue rechazado teniendo en cuenta lo establecido en el artículo 17 del Reglamento Nacional de Responsabilidad Civil y Seguros Obligatorios debido a que la víctima iba como pasajero del vehículo menor (motocicleta) de placa </w:t>
      </w:r>
      <w:r w:rsidRPr="14B98DCC" w:rsidR="02AA5506">
        <w:rPr>
          <w:lang w:val="es-PE"/>
        </w:rPr>
        <w:t>................</w:t>
      </w:r>
      <w:r w:rsidRPr="14B98DCC" w:rsidR="00B55043">
        <w:rPr>
          <w:lang w:val="es-PE"/>
        </w:rPr>
        <w:t xml:space="preserve"> que no contaba con SOAT de </w:t>
      </w:r>
      <w:r w:rsidRPr="14B98DCC" w:rsidR="77681784">
        <w:rPr>
          <w:lang w:val="es-PE"/>
        </w:rPr>
        <w:t>..............</w:t>
      </w:r>
      <w:r w:rsidRPr="14B98DCC" w:rsidR="00B55043">
        <w:rPr>
          <w:lang w:val="es-PE"/>
        </w:rPr>
        <w:t>; c) respecto a la jurisprudencia que se ha adjuntado al reclamo, la misma no resulta ser vinculante; por lo que han rechazado el siniestro de acuerdo a derecho.</w:t>
      </w:r>
    </w:p>
    <w:p w:rsidRPr="00B55043" w:rsidR="00B55043" w:rsidP="00B55043" w:rsidRDefault="00B55043" w14:paraId="10B55375" w14:textId="77777777">
      <w:pPr>
        <w:tabs>
          <w:tab w:val="left" w:pos="2160"/>
        </w:tabs>
        <w:jc w:val="both"/>
        <w:rPr>
          <w:lang w:val="es-PE"/>
        </w:rPr>
      </w:pPr>
    </w:p>
    <w:p w:rsidRPr="00B55043" w:rsidR="00B55043" w:rsidP="00B55043" w:rsidRDefault="00B55043" w14:paraId="174F76EA" w14:textId="77777777">
      <w:pPr>
        <w:tabs>
          <w:tab w:val="left" w:pos="2160"/>
        </w:tabs>
        <w:jc w:val="both"/>
        <w:rPr>
          <w:lang w:val="es-PE"/>
        </w:rPr>
      </w:pPr>
      <w:r w:rsidRPr="00B55043">
        <w:rPr>
          <w:lang w:val="es-PE"/>
        </w:rPr>
        <w:t xml:space="preserve">Asimismo, con fecha 27 de setiembre de 2023, la aseguradora presentó jurisprudencia, en particular la Sentencia de Casación </w:t>
      </w:r>
      <w:proofErr w:type="spellStart"/>
      <w:r w:rsidRPr="00B55043">
        <w:rPr>
          <w:lang w:val="es-PE"/>
        </w:rPr>
        <w:t>Nº</w:t>
      </w:r>
      <w:proofErr w:type="spellEnd"/>
      <w:r w:rsidRPr="00B55043">
        <w:rPr>
          <w:lang w:val="es-PE"/>
        </w:rPr>
        <w:t xml:space="preserve"> 19147-2015 LIMA, emitida en sentido contrario a la Casación invocada por la reclamante, añadiendo que frente a fallos contradictorios se necesita un pleno casatorio de la corte suprema para definir la interpretación del artículo 17 antes citado. </w:t>
      </w:r>
      <w:proofErr w:type="gramStart"/>
      <w:r w:rsidRPr="00B55043">
        <w:rPr>
          <w:lang w:val="es-PE"/>
        </w:rPr>
        <w:t>Asimismo</w:t>
      </w:r>
      <w:proofErr w:type="gramEnd"/>
      <w:r w:rsidRPr="00B55043">
        <w:rPr>
          <w:lang w:val="es-PE"/>
        </w:rPr>
        <w:t xml:space="preserve"> adjunta un Oficio de la SBS sobre la interpretación del mencionado artículo. </w:t>
      </w:r>
    </w:p>
    <w:p w:rsidRPr="00B55043" w:rsidR="00B55043" w:rsidP="00B55043" w:rsidRDefault="00B55043" w14:paraId="14AB99DE" w14:textId="77777777">
      <w:pPr>
        <w:tabs>
          <w:tab w:val="left" w:pos="2160"/>
        </w:tabs>
        <w:jc w:val="both"/>
        <w:rPr>
          <w:lang w:val="es-PE"/>
        </w:rPr>
      </w:pPr>
    </w:p>
    <w:p w:rsidRPr="00B55043" w:rsidR="00B55043" w:rsidP="00B55043" w:rsidRDefault="00B55043" w14:paraId="163A9871" w14:textId="77777777">
      <w:pPr>
        <w:jc w:val="both"/>
        <w:outlineLvl w:val="0"/>
        <w:rPr>
          <w:lang w:val="es-PE"/>
        </w:rPr>
      </w:pPr>
      <w:r w:rsidRPr="00B55043">
        <w:rPr>
          <w:rStyle w:val="Textoennegrita"/>
          <w:lang w:val="es-PE"/>
        </w:rPr>
        <w:t>Considerando:</w:t>
      </w:r>
    </w:p>
    <w:p w:rsidRPr="00B55043" w:rsidR="00B55043" w:rsidP="00B55043" w:rsidRDefault="00B55043" w14:paraId="60F6E2C4" w14:textId="77777777">
      <w:pPr>
        <w:jc w:val="both"/>
        <w:rPr>
          <w:lang w:val="es-PE"/>
        </w:rPr>
      </w:pPr>
    </w:p>
    <w:p w:rsidRPr="00B55043" w:rsidR="00B55043" w:rsidP="00B55043" w:rsidRDefault="00B55043" w14:paraId="7A66707C" w14:textId="77777777">
      <w:pPr>
        <w:jc w:val="both"/>
        <w:rPr>
          <w:lang w:val="es-PE"/>
        </w:rPr>
      </w:pPr>
      <w:r w:rsidRPr="00B55043">
        <w:rPr>
          <w:b/>
          <w:u w:val="single"/>
          <w:lang w:val="es-PE"/>
        </w:rPr>
        <w:t>Primero</w:t>
      </w:r>
      <w:r w:rsidRPr="00B55043">
        <w:rPr>
          <w:b/>
          <w:lang w:val="es-PE"/>
        </w:rPr>
        <w:t xml:space="preserve">: </w:t>
      </w:r>
      <w:r w:rsidRPr="00B55043">
        <w:rPr>
          <w:lang w:val="es-PE"/>
        </w:rPr>
        <w:t>Que, conforme a su Reglamento, la</w:t>
      </w:r>
      <w:r w:rsidRPr="00B55043">
        <w:rPr>
          <w:b/>
          <w:bCs/>
          <w:lang w:val="es-PE"/>
        </w:rPr>
        <w:t xml:space="preserve"> </w:t>
      </w:r>
      <w:r w:rsidRPr="00B55043">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B55043" w:rsidR="00B55043" w:rsidP="00B55043" w:rsidRDefault="00B55043" w14:paraId="46F64BD8" w14:textId="77777777">
      <w:pPr>
        <w:jc w:val="both"/>
        <w:rPr>
          <w:rStyle w:val="Textoennegrita"/>
          <w:b w:val="0"/>
        </w:rPr>
      </w:pPr>
    </w:p>
    <w:p w:rsidRPr="00B55043" w:rsidR="00B55043" w:rsidP="00B55043" w:rsidRDefault="00B55043" w14:paraId="71C86E9D" w14:textId="77777777">
      <w:pPr>
        <w:jc w:val="both"/>
        <w:rPr>
          <w:rStyle w:val="Textoennegrita"/>
          <w:b w:val="0"/>
          <w:bCs w:val="0"/>
          <w:lang w:val="es-PE"/>
        </w:rPr>
      </w:pPr>
      <w:r w:rsidRPr="00B55043">
        <w:rPr>
          <w:rStyle w:val="Textoennegrita"/>
          <w:u w:val="single"/>
          <w:lang w:val="es-PE"/>
        </w:rPr>
        <w:t>Segundo</w:t>
      </w:r>
      <w:r w:rsidRPr="00B55043">
        <w:rPr>
          <w:rStyle w:val="Textoennegrita"/>
          <w:lang w:val="es-PE"/>
        </w:rPr>
        <w:t xml:space="preserve">: </w:t>
      </w:r>
      <w:r w:rsidRPr="00B55043">
        <w:rPr>
          <w:lang w:val="es-PE"/>
        </w:rPr>
        <w:t xml:space="preserve">Asimismo, de acuerdo a </w:t>
      </w:r>
      <w:r w:rsidRPr="00B55043">
        <w:rPr>
          <w:rStyle w:val="Textoennegrita"/>
          <w:b w:val="0"/>
          <w:bCs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ser las pretensiones indemnizatorias por daños y perjuicios, por reembolso de gastos, o idoneidad de servicios, son ajenas a la competencia funcional de esta Defensoría.</w:t>
      </w:r>
    </w:p>
    <w:p w:rsidRPr="00B55043" w:rsidR="00B55043" w:rsidP="00B55043" w:rsidRDefault="00B55043" w14:paraId="31487260" w14:textId="77777777">
      <w:pPr>
        <w:jc w:val="both"/>
      </w:pPr>
    </w:p>
    <w:p w:rsidRPr="00B55043" w:rsidR="00B55043" w:rsidP="00B55043" w:rsidRDefault="00B55043" w14:paraId="435891BC" w14:textId="77777777">
      <w:pPr>
        <w:jc w:val="both"/>
      </w:pPr>
      <w:r w:rsidRPr="00B55043">
        <w:rPr>
          <w:rStyle w:val="Textoennegrita"/>
          <w:u w:val="single"/>
          <w:lang w:val="es-PE"/>
        </w:rPr>
        <w:t>Tercero</w:t>
      </w:r>
      <w:r w:rsidRPr="00B55043">
        <w:rPr>
          <w:rStyle w:val="Textoennegrita"/>
          <w:lang w:val="es-PE"/>
        </w:rPr>
        <w:t>:</w:t>
      </w:r>
      <w:r w:rsidRPr="00B55043">
        <w:rPr>
          <w:lang w:val="es-PE"/>
        </w:rPr>
        <w:t xml:space="preserve"> </w:t>
      </w:r>
      <w:r w:rsidRPr="00B55043">
        <w:t>Que, tratándose en particular del  Seguro Obligatorio de Accidentes de Tránsito – SOAT debe considerarse los alcances de su respectiva regulación normativa, esto es,  el Decreto Supremo Nro. 024-2002-MTC aprobó el Texto Único Ordenado (T.U.O.) del Reglamento Nacional de Responsabilidad Civil y Seguros Obligatorios por Accidentes de Tránsito (Reglamento SOAT), siendo que el artículo I de la Ley Nro. 29946 – Ley del Contrato de Seguro, establece que sus disposiciones son supletorias en materia de seguros obligatorios, como es el caso del SOAT.</w:t>
      </w:r>
    </w:p>
    <w:p w:rsidRPr="00B55043" w:rsidR="00B55043" w:rsidP="00B55043" w:rsidRDefault="00B55043" w14:paraId="37DBB05D" w14:textId="77777777">
      <w:pPr>
        <w:jc w:val="both"/>
        <w:rPr>
          <w:b/>
          <w:u w:val="single"/>
          <w:lang w:val="es-PE"/>
        </w:rPr>
      </w:pPr>
    </w:p>
    <w:p w:rsidRPr="00B55043" w:rsidR="00B55043" w:rsidP="00B55043" w:rsidRDefault="00B55043" w14:paraId="0209BC2D" w14:textId="77777777">
      <w:pPr>
        <w:tabs>
          <w:tab w:val="left" w:pos="2160"/>
        </w:tabs>
        <w:jc w:val="both"/>
        <w:rPr>
          <w:lang w:val="es-PE"/>
        </w:rPr>
      </w:pPr>
      <w:r w:rsidRPr="00B55043">
        <w:rPr>
          <w:b/>
          <w:u w:val="single"/>
          <w:lang w:val="es-PE"/>
        </w:rPr>
        <w:t>Cuarto</w:t>
      </w:r>
      <w:r w:rsidRPr="00B55043">
        <w:rPr>
          <w:b/>
          <w:lang w:val="es-PE"/>
        </w:rPr>
        <w:t>:</w:t>
      </w:r>
      <w:r w:rsidRPr="00B55043">
        <w:rPr>
          <w:lang w:val="es-PE"/>
        </w:rPr>
        <w:t xml:space="preserve"> Que, conforme a los términos del rechazo, así como al reclamo y su absolución, y a lo tratado en la audiencia de vista, la solución de la presente controversia consiste en determinar si el rechazo de siniestro informado por la aseguradora resulta o no legítima. </w:t>
      </w:r>
    </w:p>
    <w:p w:rsidRPr="00B55043" w:rsidR="00B55043" w:rsidP="00B55043" w:rsidRDefault="00B55043" w14:paraId="4A84BC66" w14:textId="77777777">
      <w:pPr>
        <w:tabs>
          <w:tab w:val="left" w:pos="2160"/>
        </w:tabs>
        <w:jc w:val="both"/>
        <w:rPr>
          <w:lang w:val="es-PE"/>
        </w:rPr>
      </w:pPr>
    </w:p>
    <w:p w:rsidRPr="00B55043" w:rsidR="00B55043" w:rsidP="00B55043" w:rsidRDefault="00B55043" w14:paraId="613C7BC8" w14:textId="77777777">
      <w:pPr>
        <w:tabs>
          <w:tab w:val="left" w:pos="2160"/>
        </w:tabs>
        <w:jc w:val="both"/>
        <w:rPr>
          <w:lang w:val="es-PE"/>
        </w:rPr>
      </w:pPr>
      <w:r w:rsidRPr="00B55043">
        <w:rPr>
          <w:lang w:val="es-PE"/>
        </w:rPr>
        <w:t xml:space="preserve">Al respecto, esta Defensoría tiene a bien señalar que ya se ha pronunciado en el sentido que la aseguradora contratante del SOAT de una unidad </w:t>
      </w:r>
      <w:proofErr w:type="gramStart"/>
      <w:r w:rsidRPr="00B55043">
        <w:rPr>
          <w:lang w:val="es-PE"/>
        </w:rPr>
        <w:t>vehicular,</w:t>
      </w:r>
      <w:proofErr w:type="gramEnd"/>
      <w:r w:rsidRPr="00B55043">
        <w:rPr>
          <w:lang w:val="es-PE"/>
        </w:rPr>
        <w:t xml:space="preserve"> no está obligada a otorgar cobertura a los ocupantes de la segunda unidad vehicular que omitió contratar el SOAT, tanto en las Resoluciones 039/19 y 128/19 del año 2019, como previamente en la Resolución 062/2010 emitida en el año 2010, motivo por el cual los argumentos expuestos en dicha resolución que resultan aplicables al presente caso.</w:t>
      </w:r>
    </w:p>
    <w:p w:rsidRPr="00B55043" w:rsidR="00B55043" w:rsidP="00B55043" w:rsidRDefault="00B55043" w14:paraId="6865999F" w14:textId="77777777">
      <w:pPr>
        <w:tabs>
          <w:tab w:val="left" w:pos="2160"/>
        </w:tabs>
        <w:jc w:val="both"/>
        <w:rPr>
          <w:lang w:val="es-PE"/>
        </w:rPr>
      </w:pPr>
    </w:p>
    <w:p w:rsidRPr="00B55043" w:rsidR="00B55043" w:rsidP="00B55043" w:rsidRDefault="00B55043" w14:paraId="1CC34D2B" w14:textId="77777777">
      <w:pPr>
        <w:tabs>
          <w:tab w:val="left" w:pos="2160"/>
        </w:tabs>
        <w:jc w:val="both"/>
        <w:rPr>
          <w:lang w:val="es-PE"/>
        </w:rPr>
      </w:pPr>
      <w:r w:rsidRPr="00B55043">
        <w:rPr>
          <w:lang w:val="es-PE"/>
        </w:rPr>
        <w:t>Para ello, resulta pertinente transcribir el artículo 17º del Reglamento Nacional de Responsabilidad Civil y Seguros Obligatorios por Accidentes de Tránsito (según texto final conforme al Decreto Supremo Nro. 001-2004-MTC), cuyos alcances se analizarán en esta resolución:</w:t>
      </w:r>
    </w:p>
    <w:p w:rsidRPr="00B55043" w:rsidR="00B55043" w:rsidP="00B55043" w:rsidRDefault="00B55043" w14:paraId="0B742D63" w14:textId="77777777">
      <w:pPr>
        <w:pStyle w:val="NormalWeb"/>
        <w:jc w:val="both"/>
        <w:rPr>
          <w:lang w:val="es-PE"/>
        </w:rPr>
      </w:pPr>
    </w:p>
    <w:p w:rsidRPr="00B55043" w:rsidR="00B55043" w:rsidP="00B55043" w:rsidRDefault="00B55043" w14:paraId="02FDDC60" w14:textId="77777777">
      <w:pPr>
        <w:pStyle w:val="NormalWeb"/>
        <w:ind w:left="720"/>
        <w:jc w:val="both"/>
        <w:rPr>
          <w:i/>
          <w:color w:val="000000"/>
        </w:rPr>
      </w:pPr>
      <w:r w:rsidRPr="00B55043">
        <w:rPr>
          <w:i/>
          <w:lang w:val="es-PE"/>
        </w:rPr>
        <w:t>“</w:t>
      </w:r>
      <w:r w:rsidRPr="00B55043">
        <w:rPr>
          <w:i/>
          <w:color w:val="000000"/>
        </w:rPr>
        <w:t xml:space="preserve">Artículo 17: En caso de accidentes de tránsito en que hayan participado dos o más vehículos, </w:t>
      </w:r>
      <w:r w:rsidRPr="00B55043">
        <w:rPr>
          <w:b/>
          <w:i/>
          <w:color w:val="000000"/>
        </w:rPr>
        <w:t xml:space="preserve">cada compañía de seguros será responsable de las </w:t>
      </w:r>
      <w:r w:rsidRPr="00B55043">
        <w:rPr>
          <w:b/>
          <w:i/>
          <w:color w:val="000000"/>
        </w:rPr>
        <w:lastRenderedPageBreak/>
        <w:t>indemnizaciones correspondientes a las personas transportadas en el vehículo por ella asegurado</w:t>
      </w:r>
      <w:r w:rsidRPr="00B55043">
        <w:rPr>
          <w:i/>
          <w:color w:val="000000"/>
        </w:rPr>
        <w:t>.</w:t>
      </w:r>
    </w:p>
    <w:p w:rsidRPr="00B55043" w:rsidR="00B55043" w:rsidP="00B55043" w:rsidRDefault="00B55043" w14:paraId="5FFC0532" w14:textId="77777777">
      <w:pPr>
        <w:pStyle w:val="NormalWeb"/>
        <w:ind w:left="720"/>
        <w:jc w:val="both"/>
        <w:rPr>
          <w:i/>
          <w:color w:val="000000"/>
        </w:rPr>
      </w:pPr>
      <w:r w:rsidRPr="00B55043">
        <w:rPr>
          <w:i/>
          <w:color w:val="000000"/>
        </w:rPr>
        <w:t xml:space="preserve">     En caso de </w:t>
      </w:r>
      <w:r w:rsidRPr="00B55043">
        <w:rPr>
          <w:b/>
          <w:i/>
          <w:color w:val="000000"/>
        </w:rPr>
        <w:t>peatones o terceros no ocupantes</w:t>
      </w:r>
      <w:r w:rsidRPr="00B55043">
        <w:rPr>
          <w:i/>
          <w:color w:val="000000"/>
        </w:rPr>
        <w:t xml:space="preserve"> de vehículos automotores, las compañías de seguros intervinientes serán responsables solidariamente de las indemnizaciones que correspondan a dichas personas o su (s) beneficiario (s).</w:t>
      </w:r>
    </w:p>
    <w:p w:rsidRPr="00B55043" w:rsidR="00B55043" w:rsidP="00B55043" w:rsidRDefault="00B55043" w14:paraId="62604374" w14:textId="77777777">
      <w:pPr>
        <w:pStyle w:val="NormalWeb"/>
        <w:ind w:left="720"/>
        <w:jc w:val="both"/>
        <w:rPr>
          <w:i/>
          <w:color w:val="000000"/>
        </w:rPr>
      </w:pPr>
      <w:r w:rsidRPr="00B55043">
        <w:rPr>
          <w:i/>
          <w:color w:val="000000"/>
        </w:rPr>
        <w:t>     En este último caso, la compañía de seguros que hubiere pagado tendrá derecho a repetir contra las demás para exigirles su correspondiente participación sin perjuicio de los convenios que para el efecto puedan celebrar las compañías de seguros involucradas.</w:t>
      </w:r>
    </w:p>
    <w:p w:rsidRPr="00B55043" w:rsidR="00B55043" w:rsidP="00B55043" w:rsidRDefault="00B55043" w14:paraId="049564A2" w14:textId="29AC352E">
      <w:pPr>
        <w:pStyle w:val="NormalWeb"/>
        <w:ind w:left="720"/>
        <w:jc w:val="both"/>
        <w:rPr>
          <w:i/>
          <w:color w:val="000000"/>
        </w:rPr>
      </w:pPr>
      <w:r w:rsidRPr="00B55043">
        <w:rPr>
          <w:i/>
          <w:color w:val="000000"/>
        </w:rPr>
        <w:t xml:space="preserve">     En el caso que alguno de los vehículos que participa en el accidente de </w:t>
      </w:r>
      <w:r w:rsidRPr="00B55043">
        <w:rPr>
          <w:b/>
          <w:i/>
          <w:color w:val="000000"/>
        </w:rPr>
        <w:t>tránsito no contase con el Seguro Obligatorio de Accidentes de Tránsito, el propietario, el conductor</w:t>
      </w:r>
      <w:r w:rsidRPr="00B55043">
        <w:rPr>
          <w:i/>
          <w:color w:val="000000"/>
        </w:rPr>
        <w:t xml:space="preserve"> y en su caso, el prestador del servicio de transporte </w:t>
      </w:r>
      <w:r w:rsidRPr="00B55043">
        <w:rPr>
          <w:b/>
          <w:i/>
          <w:color w:val="000000"/>
        </w:rPr>
        <w:t>responden solidariamente</w:t>
      </w:r>
      <w:r w:rsidRPr="00B55043">
        <w:rPr>
          <w:i/>
          <w:color w:val="000000"/>
        </w:rPr>
        <w:t xml:space="preserve"> frente a los ocupantes de dicho vehículo, terceros no ocupantes, establecimientos de salud y compañías de seguros por el monto de los gastos incurridos y/o indemnizaciones que éstos hubieren pagado a los accidentados frente a los cuales, los sujetos antes mencionados, resulten responsables.” </w:t>
      </w:r>
      <w:r w:rsidRPr="00B55043">
        <w:rPr>
          <w:color w:val="000000"/>
        </w:rPr>
        <w:t>(los resaltados son nuestros)</w:t>
      </w:r>
    </w:p>
    <w:p w:rsidRPr="00B55043" w:rsidR="00B55043" w:rsidP="00B55043" w:rsidRDefault="00B55043" w14:paraId="72425704" w14:textId="77777777">
      <w:pPr>
        <w:tabs>
          <w:tab w:val="left" w:pos="2160"/>
        </w:tabs>
        <w:jc w:val="both"/>
        <w:rPr>
          <w:lang w:val="es-PE"/>
        </w:rPr>
      </w:pPr>
      <w:r w:rsidRPr="00B55043">
        <w:rPr>
          <w:b/>
          <w:u w:val="single"/>
          <w:lang w:val="es-PE"/>
        </w:rPr>
        <w:t>Quinto:</w:t>
      </w:r>
      <w:r w:rsidRPr="00B55043">
        <w:rPr>
          <w:lang w:val="es-PE"/>
        </w:rPr>
        <w:t xml:space="preserve"> El artículo 17 antes referido regula los siguientes supuestos de un accidente entre más de dos vehículos motorizados (vehículos obligados a contratar la cobertura del </w:t>
      </w:r>
      <w:proofErr w:type="gramStart"/>
      <w:r w:rsidRPr="00B55043">
        <w:rPr>
          <w:lang w:val="es-PE"/>
        </w:rPr>
        <w:t>SOAT  tal</w:t>
      </w:r>
      <w:proofErr w:type="gramEnd"/>
      <w:r w:rsidRPr="00B55043">
        <w:rPr>
          <w:lang w:val="es-PE"/>
        </w:rPr>
        <w:t xml:space="preserve"> como lo dispone el artículo 3 del citado dispositivo):</w:t>
      </w:r>
    </w:p>
    <w:p w:rsidRPr="00B55043" w:rsidR="00B55043" w:rsidP="00B55043" w:rsidRDefault="00B55043" w14:paraId="76112F2F" w14:textId="77777777">
      <w:pPr>
        <w:tabs>
          <w:tab w:val="left" w:pos="2160"/>
        </w:tabs>
        <w:jc w:val="both"/>
        <w:rPr>
          <w:lang w:val="es-PE"/>
        </w:rPr>
      </w:pPr>
    </w:p>
    <w:p w:rsidRPr="00B55043" w:rsidR="00B55043" w:rsidP="00B55043" w:rsidRDefault="00B55043" w14:paraId="0C4C0C4C" w14:textId="77777777">
      <w:pPr>
        <w:pStyle w:val="Prrafodelista"/>
        <w:numPr>
          <w:ilvl w:val="0"/>
          <w:numId w:val="17"/>
        </w:numPr>
        <w:tabs>
          <w:tab w:val="left" w:pos="2160"/>
        </w:tabs>
        <w:jc w:val="both"/>
        <w:rPr>
          <w:lang w:val="es-PE"/>
        </w:rPr>
      </w:pPr>
      <w:r w:rsidRPr="00B55043">
        <w:t>Todos los vehículos involucrados en el accidente cuentan con SOAT (supuesto considerado implícitamente en el primer párrafo del artículo 17)</w:t>
      </w:r>
    </w:p>
    <w:p w:rsidRPr="00B55043" w:rsidR="00B55043" w:rsidP="00B55043" w:rsidRDefault="00B55043" w14:paraId="5C807A94" w14:textId="77777777">
      <w:pPr>
        <w:pStyle w:val="Prrafodelista"/>
        <w:tabs>
          <w:tab w:val="left" w:pos="2160"/>
        </w:tabs>
        <w:ind w:left="360"/>
        <w:jc w:val="both"/>
      </w:pPr>
      <w:r w:rsidRPr="00B55043">
        <w:t>En dicho supuesto la norma dispone que “</w:t>
      </w:r>
      <w:r w:rsidRPr="00B55043">
        <w:rPr>
          <w:i/>
          <w:color w:val="000000"/>
        </w:rPr>
        <w:t xml:space="preserve">cada compañía de seguros será responsable de las indemnizaciones correspondientes a las personas transportadas en el vehículo por ella </w:t>
      </w:r>
      <w:proofErr w:type="gramStart"/>
      <w:r w:rsidRPr="00B55043">
        <w:rPr>
          <w:i/>
          <w:color w:val="000000"/>
        </w:rPr>
        <w:t>asegurado”</w:t>
      </w:r>
      <w:r w:rsidRPr="00B55043">
        <w:t xml:space="preserve">  .</w:t>
      </w:r>
      <w:proofErr w:type="gramEnd"/>
      <w:r w:rsidRPr="00B55043">
        <w:t xml:space="preserve"> </w:t>
      </w:r>
    </w:p>
    <w:p w:rsidRPr="00B55043" w:rsidR="00B55043" w:rsidP="00B55043" w:rsidRDefault="00B55043" w14:paraId="47EB57BB" w14:textId="77777777">
      <w:pPr>
        <w:pStyle w:val="Prrafodelista"/>
        <w:tabs>
          <w:tab w:val="left" w:pos="2160"/>
        </w:tabs>
        <w:ind w:left="360"/>
        <w:jc w:val="both"/>
        <w:rPr>
          <w:color w:val="000000"/>
        </w:rPr>
      </w:pPr>
      <w:r w:rsidRPr="00B55043">
        <w:t>Adicionalmente se añade en el segundo párrafo que respecto de los peatones o terceros no ocupantes (los que por su sola definición no serían ni el chofer ni las personas transportadas en los vehículos motorizados)</w:t>
      </w:r>
      <w:r w:rsidRPr="00B55043">
        <w:rPr>
          <w:i/>
          <w:color w:val="000000"/>
        </w:rPr>
        <w:t xml:space="preserve">, “las compañías de seguros intervinientes serán responsables solidariamente de las indemnizaciones que correspondan a dichas personas o su (s) beneficiario (s)”; </w:t>
      </w:r>
      <w:r w:rsidRPr="00B55043">
        <w:rPr>
          <w:color w:val="000000"/>
        </w:rPr>
        <w:t xml:space="preserve">y en el tercer párrafo se establece que la aseguradora que asumió el gasto en exceso a su participación podrá repetir contra las demás conforme se indica en dicho artículo. </w:t>
      </w:r>
    </w:p>
    <w:p w:rsidRPr="00B55043" w:rsidR="00B55043" w:rsidP="00B55043" w:rsidRDefault="00B55043" w14:paraId="2A918437" w14:textId="77777777">
      <w:pPr>
        <w:pStyle w:val="Prrafodelista"/>
        <w:tabs>
          <w:tab w:val="left" w:pos="2160"/>
        </w:tabs>
        <w:ind w:left="360"/>
        <w:jc w:val="both"/>
      </w:pPr>
    </w:p>
    <w:p w:rsidRPr="00B55043" w:rsidR="00B55043" w:rsidP="00B55043" w:rsidRDefault="00B55043" w14:paraId="2B89FF4F" w14:textId="77777777">
      <w:pPr>
        <w:pStyle w:val="Prrafodelista"/>
        <w:numPr>
          <w:ilvl w:val="0"/>
          <w:numId w:val="17"/>
        </w:numPr>
        <w:tabs>
          <w:tab w:val="left" w:pos="2160"/>
        </w:tabs>
        <w:jc w:val="both"/>
      </w:pPr>
      <w:r w:rsidRPr="00B55043">
        <w:t>Uno de los vehículos obligados a contratar el SOAT no cumplió con su obligación (supuesto establecido en el cuarto párrafo del artículo 17)</w:t>
      </w:r>
    </w:p>
    <w:p w:rsidRPr="00B55043" w:rsidR="00B55043" w:rsidP="00B55043" w:rsidRDefault="00B55043" w14:paraId="68143E8E" w14:textId="77777777">
      <w:pPr>
        <w:pStyle w:val="Prrafodelista"/>
        <w:tabs>
          <w:tab w:val="left" w:pos="2160"/>
        </w:tabs>
        <w:ind w:left="360"/>
        <w:jc w:val="both"/>
        <w:rPr>
          <w:color w:val="000000"/>
        </w:rPr>
      </w:pPr>
      <w:r w:rsidRPr="00B55043">
        <w:t>En este supuesto la norma señala que “</w:t>
      </w:r>
      <w:r w:rsidRPr="00B55043">
        <w:rPr>
          <w:i/>
          <w:color w:val="000000"/>
        </w:rPr>
        <w:t xml:space="preserve">el propietario, el conductor y en su caso, </w:t>
      </w:r>
      <w:proofErr w:type="gramStart"/>
      <w:r w:rsidRPr="00B55043">
        <w:rPr>
          <w:i/>
          <w:color w:val="000000"/>
        </w:rPr>
        <w:t>el prestador del servicio de transporte responden solidariamente</w:t>
      </w:r>
      <w:proofErr w:type="gramEnd"/>
      <w:r w:rsidRPr="00B55043">
        <w:rPr>
          <w:i/>
          <w:color w:val="000000"/>
        </w:rPr>
        <w:t xml:space="preserve"> </w:t>
      </w:r>
      <w:r w:rsidRPr="00B55043">
        <w:rPr>
          <w:b/>
          <w:i/>
          <w:color w:val="000000"/>
        </w:rPr>
        <w:t xml:space="preserve">frente a los ocupantes de </w:t>
      </w:r>
      <w:r w:rsidRPr="00B55043">
        <w:rPr>
          <w:b/>
          <w:i/>
          <w:color w:val="000000"/>
          <w:u w:val="single"/>
        </w:rPr>
        <w:t xml:space="preserve">dicho </w:t>
      </w:r>
      <w:r w:rsidRPr="00B55043">
        <w:rPr>
          <w:b/>
          <w:i/>
          <w:color w:val="000000"/>
        </w:rPr>
        <w:t>vehículo, terceros no ocupantes</w:t>
      </w:r>
      <w:r w:rsidRPr="00B55043">
        <w:rPr>
          <w:i/>
          <w:color w:val="000000"/>
        </w:rPr>
        <w:t xml:space="preserve">, establecimientos de salud y compañías de seguros por el monto de los gastos incurridos y/o indemnizaciones que éstos hubieren pagado a los accidentados frente a los cuales, los sujetos antes mencionados, resulten responsables”. </w:t>
      </w:r>
      <w:r w:rsidRPr="00B55043">
        <w:rPr>
          <w:color w:val="000000"/>
        </w:rPr>
        <w:t>(El resaltado y subrayado es nuestro).</w:t>
      </w:r>
    </w:p>
    <w:p w:rsidRPr="00B55043" w:rsidR="00B55043" w:rsidP="00B55043" w:rsidRDefault="00B55043" w14:paraId="6BB0CB03" w14:textId="77777777">
      <w:pPr>
        <w:pStyle w:val="Prrafodelista"/>
        <w:tabs>
          <w:tab w:val="left" w:pos="2160"/>
        </w:tabs>
        <w:ind w:left="360"/>
        <w:jc w:val="both"/>
        <w:rPr>
          <w:color w:val="000000"/>
        </w:rPr>
      </w:pPr>
    </w:p>
    <w:p w:rsidRPr="00B55043" w:rsidR="00B55043" w:rsidP="00B55043" w:rsidRDefault="00B55043" w14:paraId="786934D6" w14:textId="77777777">
      <w:pPr>
        <w:pStyle w:val="Prrafodelista"/>
        <w:tabs>
          <w:tab w:val="left" w:pos="2160"/>
        </w:tabs>
        <w:ind w:left="360"/>
        <w:jc w:val="both"/>
        <w:rPr>
          <w:color w:val="000000"/>
        </w:rPr>
      </w:pPr>
      <w:r w:rsidRPr="00B55043">
        <w:rPr>
          <w:color w:val="000000"/>
        </w:rPr>
        <w:lastRenderedPageBreak/>
        <w:t xml:space="preserve">Como se aprecia de la lectura previa, en dicho supuesto, se sanciona solidariamente a tres personas vinculadas al vehículo que omitió contratar al SOAT: al propietario del vehículo, al conductor </w:t>
      </w:r>
      <w:proofErr w:type="gramStart"/>
      <w:r w:rsidRPr="00B55043">
        <w:rPr>
          <w:color w:val="000000"/>
        </w:rPr>
        <w:t>del mismo</w:t>
      </w:r>
      <w:proofErr w:type="gramEnd"/>
      <w:r w:rsidRPr="00B55043">
        <w:rPr>
          <w:color w:val="000000"/>
        </w:rPr>
        <w:t xml:space="preserve">, o al prestador del servicio de transporte si fuera el caso. </w:t>
      </w:r>
    </w:p>
    <w:p w:rsidRPr="00B55043" w:rsidR="00B55043" w:rsidP="00B55043" w:rsidRDefault="00B55043" w14:paraId="771CF498" w14:textId="77777777">
      <w:pPr>
        <w:pStyle w:val="Prrafodelista"/>
        <w:tabs>
          <w:tab w:val="left" w:pos="2160"/>
        </w:tabs>
        <w:ind w:left="360"/>
        <w:jc w:val="both"/>
        <w:rPr>
          <w:color w:val="000000"/>
        </w:rPr>
      </w:pPr>
    </w:p>
    <w:p w:rsidRPr="00B55043" w:rsidR="00B55043" w:rsidP="00B55043" w:rsidRDefault="00B55043" w14:paraId="2CE058FD" w14:textId="77777777">
      <w:pPr>
        <w:pStyle w:val="Prrafodelista"/>
        <w:tabs>
          <w:tab w:val="left" w:pos="2160"/>
        </w:tabs>
        <w:ind w:left="360"/>
        <w:jc w:val="both"/>
        <w:rPr>
          <w:color w:val="000000"/>
        </w:rPr>
      </w:pPr>
      <w:r w:rsidRPr="00B55043">
        <w:rPr>
          <w:color w:val="000000"/>
        </w:rPr>
        <w:t xml:space="preserve">También se desprende de la parte final de este cuarto párrafo, lo siguiente: </w:t>
      </w:r>
    </w:p>
    <w:p w:rsidRPr="00B55043" w:rsidR="00B55043" w:rsidP="00B55043" w:rsidRDefault="00B55043" w14:paraId="35C2BFCC" w14:textId="77777777">
      <w:pPr>
        <w:pStyle w:val="Prrafodelista"/>
        <w:numPr>
          <w:ilvl w:val="0"/>
          <w:numId w:val="18"/>
        </w:numPr>
        <w:tabs>
          <w:tab w:val="left" w:pos="2160"/>
        </w:tabs>
        <w:jc w:val="both"/>
        <w:rPr>
          <w:color w:val="000000"/>
        </w:rPr>
      </w:pPr>
      <w:r w:rsidRPr="00B55043">
        <w:rPr>
          <w:color w:val="000000"/>
        </w:rPr>
        <w:t xml:space="preserve">Que se distingue entre “ocupantes del vehículo” y entre “terceros no ocupantes”. Un ocupante del vehículo automotor sería, por ejemplo, un pasajero; y un tercero no ocupante sería un peatón o un tercero que se moviliza en un vehículo no automotor (bicicleta, </w:t>
      </w:r>
      <w:proofErr w:type="spellStart"/>
      <w:r w:rsidRPr="00B55043">
        <w:rPr>
          <w:color w:val="000000"/>
        </w:rPr>
        <w:t>etc</w:t>
      </w:r>
      <w:proofErr w:type="spellEnd"/>
      <w:r w:rsidRPr="00B55043">
        <w:rPr>
          <w:color w:val="000000"/>
        </w:rPr>
        <w:t xml:space="preserve">); </w:t>
      </w:r>
    </w:p>
    <w:p w:rsidRPr="00B55043" w:rsidR="00B55043" w:rsidP="00B55043" w:rsidRDefault="00B55043" w14:paraId="0B44BF71" w14:textId="77777777">
      <w:pPr>
        <w:pStyle w:val="Prrafodelista"/>
        <w:numPr>
          <w:ilvl w:val="0"/>
          <w:numId w:val="18"/>
        </w:numPr>
        <w:tabs>
          <w:tab w:val="left" w:pos="2160"/>
        </w:tabs>
        <w:jc w:val="both"/>
        <w:rPr>
          <w:color w:val="000000"/>
        </w:rPr>
      </w:pPr>
      <w:r w:rsidRPr="00B55043">
        <w:rPr>
          <w:color w:val="000000"/>
        </w:rPr>
        <w:t xml:space="preserve">Que las compañías de seguros que hubieran pagado indemnizaciones </w:t>
      </w:r>
      <w:r w:rsidRPr="00B55043">
        <w:rPr>
          <w:i/>
          <w:color w:val="000000"/>
        </w:rPr>
        <w:t>a los terceros no ocupantes respecto de los cuales tienen responsabilidad solidaria</w:t>
      </w:r>
      <w:r w:rsidRPr="00B55043">
        <w:rPr>
          <w:color w:val="000000"/>
        </w:rPr>
        <w:t>, podrán repetir contra el propietario o conductor (o empresa de prestadora del servicio de transporte, si corresponde) por la responsabilidad que a estos últimos les compete.</w:t>
      </w:r>
    </w:p>
    <w:p w:rsidRPr="00B55043" w:rsidR="00B55043" w:rsidP="00B55043" w:rsidRDefault="00B55043" w14:paraId="67710CB8" w14:textId="77777777">
      <w:pPr>
        <w:pStyle w:val="Prrafodelista"/>
        <w:tabs>
          <w:tab w:val="left" w:pos="2160"/>
        </w:tabs>
        <w:ind w:left="0"/>
        <w:jc w:val="both"/>
        <w:rPr>
          <w:color w:val="000000"/>
        </w:rPr>
      </w:pPr>
    </w:p>
    <w:p w:rsidRPr="00B55043" w:rsidR="00B55043" w:rsidP="14B98DCC" w:rsidRDefault="00B55043" w14:paraId="61FC3ABE" w14:textId="66CB3DC6">
      <w:pPr>
        <w:pStyle w:val="Prrafodelista"/>
        <w:tabs>
          <w:tab w:val="left" w:pos="2160"/>
        </w:tabs>
        <w:ind w:left="0"/>
        <w:jc w:val="both"/>
        <w:rPr>
          <w:color w:val="000000" w:themeColor="text1" w:themeTint="FF" w:themeShade="FF"/>
        </w:rPr>
      </w:pPr>
      <w:r w:rsidRPr="14B98DCC" w:rsidR="00B55043">
        <w:rPr>
          <w:color w:val="000000" w:themeColor="text1" w:themeTint="FF" w:themeShade="FF"/>
        </w:rPr>
        <w:t>La reclamante solicita la cobertura respecto del conductor del vehículo que no contaba con</w:t>
      </w:r>
    </w:p>
    <w:p w:rsidRPr="00B55043" w:rsidR="00B55043" w:rsidP="00B55043" w:rsidRDefault="00B55043" w14:paraId="7701D14C" w14:textId="642B49ED">
      <w:pPr>
        <w:pStyle w:val="Prrafodelista"/>
        <w:tabs>
          <w:tab w:val="left" w:pos="2160"/>
        </w:tabs>
        <w:ind w:left="0"/>
        <w:jc w:val="both"/>
        <w:rPr>
          <w:color w:val="000000"/>
        </w:rPr>
      </w:pPr>
      <w:r w:rsidRPr="14B98DCC" w:rsidR="00B55043">
        <w:rPr>
          <w:color w:val="000000" w:themeColor="text1" w:themeTint="FF" w:themeShade="FF"/>
        </w:rPr>
        <w:t xml:space="preserve"> SOAT. No obstante, </w:t>
      </w:r>
      <w:r w:rsidRPr="14B98DCC" w:rsidR="00B55043">
        <w:rPr>
          <w:color w:val="000000" w:themeColor="text1" w:themeTint="FF" w:themeShade="FF"/>
        </w:rPr>
        <w:t>de acuerdo a</w:t>
      </w:r>
      <w:r w:rsidRPr="14B98DCC" w:rsidR="00B55043">
        <w:rPr>
          <w:color w:val="000000" w:themeColor="text1" w:themeTint="FF" w:themeShade="FF"/>
        </w:rPr>
        <w:t xml:space="preserve"> lo expuesto precedentemente el conductor no tenía la condición de “tercero no ocupante, siendo que la ley solo presume la responsabilidad solidaria de las aseguradoras respecto de los “terceros no ocupantes”. </w:t>
      </w:r>
    </w:p>
    <w:p w:rsidRPr="00B55043" w:rsidR="00B55043" w:rsidP="00B55043" w:rsidRDefault="00B55043" w14:paraId="1BC74460" w14:textId="77777777">
      <w:pPr>
        <w:tabs>
          <w:tab w:val="left" w:pos="709"/>
          <w:tab w:val="left" w:pos="2160"/>
        </w:tabs>
        <w:jc w:val="both"/>
        <w:rPr>
          <w:color w:val="000000" w:themeColor="text1"/>
          <w:lang w:val="es-PE" w:eastAsia="es-PE"/>
        </w:rPr>
      </w:pPr>
    </w:p>
    <w:p w:rsidRPr="00B55043" w:rsidR="00B55043" w:rsidP="00B55043" w:rsidRDefault="00B55043" w14:paraId="2586C635" w14:textId="4CE3D3CE">
      <w:pPr>
        <w:tabs>
          <w:tab w:val="left" w:pos="709"/>
          <w:tab w:val="left" w:pos="2160"/>
        </w:tabs>
        <w:jc w:val="both"/>
      </w:pPr>
      <w:r w:rsidRPr="00B55043">
        <w:rPr>
          <w:color w:val="000000" w:themeColor="text1"/>
          <w:lang w:val="es-PE" w:eastAsia="es-PE"/>
        </w:rPr>
        <w:t>En otras palabras, del señalado texto normativo no puede desprenderse que la aseguradora deba cubrir, haciendo efectivas las coberturas de la póliza SOAT contratada por su cliente, los daños soportados por el conductor y/o los ocupantes de la otra unidad vehicular que participó en los hechos, al margen que la calificación de la actuación del conductor de la unidad asegurada sea concluyente, coadyuvante o ajena a lo sucedido.  En tal virtud, corresponde que los damnificados hagan efectiva la cobertura del propio SOAT que hubiese sido contratado, en el presente caso tratándose de la unidad vehicular (moto)</w:t>
      </w:r>
      <w:r w:rsidRPr="00B55043">
        <w:t>.  Si en el presente caso, dicha unidad circulaba en la vía pública sin contar con una póliza SOAT, válida y vigente, ello corresponde a un riesgo asumido consciente o negligentemente por el conductor.</w:t>
      </w:r>
    </w:p>
    <w:p w:rsidRPr="00B55043" w:rsidR="00B55043" w:rsidP="00B55043" w:rsidRDefault="00B55043" w14:paraId="3891A176" w14:textId="404248D3">
      <w:pPr>
        <w:pStyle w:val="NormalWeb"/>
        <w:jc w:val="both"/>
        <w:rPr>
          <w:color w:val="000000"/>
          <w:lang w:val="es-PE"/>
        </w:rPr>
      </w:pPr>
      <w:r w:rsidRPr="00B55043">
        <w:rPr>
          <w:color w:val="000000"/>
        </w:rPr>
        <w:t xml:space="preserve">En efecto, el párrafo en cuestión indica: </w:t>
      </w:r>
      <w:r w:rsidRPr="00B55043">
        <w:rPr>
          <w:i/>
          <w:color w:val="000000"/>
        </w:rPr>
        <w:t xml:space="preserve">“En caso de </w:t>
      </w:r>
      <w:r w:rsidRPr="00B55043">
        <w:rPr>
          <w:b/>
          <w:i/>
          <w:color w:val="000000"/>
        </w:rPr>
        <w:t>peatones o terceros no ocupantes</w:t>
      </w:r>
      <w:r w:rsidRPr="00B55043">
        <w:rPr>
          <w:i/>
          <w:color w:val="000000"/>
        </w:rPr>
        <w:t xml:space="preserve"> de vehículos automotores, las compañías de seguros intervinientes serán responsables solidariamente de las indemnizaciones que correspondan a dichas personas o su (s) beneficiario (s).” </w:t>
      </w:r>
      <w:r w:rsidRPr="00B55043">
        <w:rPr>
          <w:color w:val="000000"/>
        </w:rPr>
        <w:t xml:space="preserve">Si la intención de la norma hubiera sido que dicha responsabilidad solidaria (sin perjuicio del derecho de repetición consagrado en el siguiente párrafo de la norma) se extendiera a los terceros ocupantes del vehículo que omitió contratar el SOAT, hubiera indicado: </w:t>
      </w:r>
      <w:r w:rsidRPr="00B55043">
        <w:rPr>
          <w:i/>
          <w:color w:val="000000"/>
        </w:rPr>
        <w:t xml:space="preserve">“En caso de peatones, terceros no ocupantes </w:t>
      </w:r>
      <w:r w:rsidRPr="00B55043">
        <w:rPr>
          <w:b/>
          <w:i/>
          <w:color w:val="000000"/>
        </w:rPr>
        <w:t>u ocupantes de vehículos automotores participantes en el accidente, incluido el propio conductor del vehículo sin SOAT</w:t>
      </w:r>
      <w:r w:rsidRPr="00B55043">
        <w:rPr>
          <w:i/>
          <w:color w:val="000000"/>
        </w:rPr>
        <w:t>, las compañías de seguros intervinientes serán responsables solidariamente (…)”</w:t>
      </w:r>
      <w:r w:rsidRPr="00B55043">
        <w:rPr>
          <w:color w:val="000000"/>
        </w:rPr>
        <w:t>; pues conforme se recoge en nuestro ordenamiento legal la solidaridad no se presume “s</w:t>
      </w:r>
      <w:r w:rsidRPr="00B55043">
        <w:rPr>
          <w:i/>
          <w:color w:val="000000"/>
          <w:shd w:val="clear" w:color="auto" w:fill="FFFFFF"/>
        </w:rPr>
        <w:t xml:space="preserve">ólo la ley o el título de la obligación la establecen en forma expresa”, </w:t>
      </w:r>
      <w:r w:rsidRPr="00B55043">
        <w:rPr>
          <w:color w:val="000000"/>
          <w:shd w:val="clear" w:color="auto" w:fill="FFFFFF"/>
        </w:rPr>
        <w:t>tal como se señala en el</w:t>
      </w:r>
      <w:r w:rsidRPr="00B55043">
        <w:rPr>
          <w:color w:val="000000"/>
        </w:rPr>
        <w:t xml:space="preserve"> artículo 1183 del Código Civil</w:t>
      </w:r>
      <w:r w:rsidRPr="00B55043">
        <w:rPr>
          <w:i/>
          <w:color w:val="000000"/>
          <w:shd w:val="clear" w:color="auto" w:fill="FFFFFF"/>
        </w:rPr>
        <w:t xml:space="preserve">. </w:t>
      </w:r>
      <w:r w:rsidRPr="00B55043">
        <w:rPr>
          <w:color w:val="000000"/>
          <w:shd w:val="clear" w:color="auto" w:fill="FFFFFF"/>
        </w:rPr>
        <w:t xml:space="preserve">Asimismo, la </w:t>
      </w:r>
      <w:r w:rsidRPr="00B55043">
        <w:rPr>
          <w:color w:val="000000"/>
        </w:rPr>
        <w:t xml:space="preserve">séptima regla de interpretación de la ley del contrato de seguro, señala que </w:t>
      </w:r>
      <w:r w:rsidRPr="00B55043">
        <w:rPr>
          <w:i/>
          <w:color w:val="000000"/>
        </w:rPr>
        <w:t>“</w:t>
      </w:r>
      <w:r w:rsidRPr="00B55043">
        <w:rPr>
          <w:i/>
          <w:color w:val="000000"/>
          <w:lang w:val="es-PE"/>
        </w:rPr>
        <w:t>La cobertura, exclusiones y, en general, la extensión del riesgo así como los derechos de los beneficiarios, previstos en el contrato de seguro, deben interpretarse literalmente”</w:t>
      </w:r>
      <w:r w:rsidRPr="00B55043">
        <w:rPr>
          <w:color w:val="000000"/>
          <w:lang w:val="es-PE"/>
        </w:rPr>
        <w:t xml:space="preserve">; debiendo resaltarse que tanto la Ley del Contrato de Seguro, como el Código Civil son de aplicación supletoria a las normas del SOAT, tal </w:t>
      </w:r>
      <w:r w:rsidRPr="00B55043">
        <w:rPr>
          <w:color w:val="000000"/>
          <w:lang w:val="es-PE"/>
        </w:rPr>
        <w:lastRenderedPageBreak/>
        <w:t xml:space="preserve">como expresamente lo reconoce el artículo I de las Disposiciones Generales de la Ley 29946 y el artículo IX del Título Preliminar del Código Civil. </w:t>
      </w:r>
    </w:p>
    <w:p w:rsidRPr="00B55043" w:rsidR="00B55043" w:rsidP="00B55043" w:rsidRDefault="00B55043" w14:paraId="45EBFA78" w14:textId="77777777">
      <w:pPr>
        <w:pStyle w:val="Prrafodelista"/>
        <w:tabs>
          <w:tab w:val="left" w:pos="2160"/>
        </w:tabs>
        <w:ind w:left="0"/>
        <w:jc w:val="both"/>
        <w:rPr>
          <w:color w:val="000000"/>
          <w:lang w:val="es-PE"/>
        </w:rPr>
      </w:pPr>
      <w:r w:rsidRPr="00B55043">
        <w:rPr>
          <w:color w:val="000000"/>
        </w:rPr>
        <w:t xml:space="preserve">Ello no afecta la finalidad y espíritu del SOAT que es no dejar desprotegidos a los terceros que se ven afectados en un accidente de tránsito, pues respecto de ellos la solidaridad se mantiene. Los terceros no ocupantes podrán accionar contra alguna de las compañías de seguros que tuviera el SOAT de alguna de las unidades vehiculares involucradas en el accidente; y, los ocupantes de un vehículo que debió contar con </w:t>
      </w:r>
      <w:proofErr w:type="gramStart"/>
      <w:r w:rsidRPr="00B55043">
        <w:rPr>
          <w:color w:val="000000"/>
        </w:rPr>
        <w:t>SOAT,</w:t>
      </w:r>
      <w:proofErr w:type="gramEnd"/>
      <w:r w:rsidRPr="00B55043">
        <w:rPr>
          <w:color w:val="000000"/>
        </w:rPr>
        <w:t xml:space="preserve"> pueden accionar contra el propietario o conductor del vehículo que debió preocuparse de contar con un SOAT vigente. No tendría sentido que se interprete que la aseguradora del vehículo que sí contaba con SOAT deba responder solidariamente frente al conductor del vehículo que no contaba con SOAT para luego repetir contra el mismo conductor por el monto asumido, pues no existe duda que el último párrafo del artículo 17 del </w:t>
      </w:r>
      <w:r w:rsidRPr="00B55043">
        <w:t xml:space="preserve">D.S. 024-2002-MTC </w:t>
      </w:r>
      <w:r w:rsidRPr="00B55043">
        <w:rPr>
          <w:color w:val="000000"/>
        </w:rPr>
        <w:t>lo sanciona con dicha responsabilidad solidaria (junto con el propietario y/o el prestador del servicio de transporte, según corresponda).</w:t>
      </w:r>
    </w:p>
    <w:p w:rsidRPr="00B55043" w:rsidR="00B55043" w:rsidP="00B55043" w:rsidRDefault="00B55043" w14:paraId="08F495D4" w14:textId="77777777">
      <w:pPr>
        <w:pStyle w:val="Prrafodelista"/>
        <w:tabs>
          <w:tab w:val="left" w:pos="2160"/>
        </w:tabs>
        <w:ind w:left="0"/>
        <w:jc w:val="both"/>
        <w:rPr>
          <w:color w:val="000000"/>
        </w:rPr>
      </w:pPr>
    </w:p>
    <w:p w:rsidRPr="00B55043" w:rsidR="00B55043" w:rsidP="00B55043" w:rsidRDefault="00B55043" w14:paraId="2A249D64" w14:textId="77777777">
      <w:pPr>
        <w:pStyle w:val="Prrafodelista"/>
        <w:tabs>
          <w:tab w:val="left" w:pos="2160"/>
        </w:tabs>
        <w:ind w:left="0"/>
        <w:jc w:val="both"/>
        <w:rPr>
          <w:color w:val="000000"/>
        </w:rPr>
      </w:pPr>
      <w:r w:rsidRPr="00B55043">
        <w:rPr>
          <w:color w:val="000000"/>
        </w:rPr>
        <w:t>En este sentido, esta Defensoría tiene a bien precisar que mantiene el criterio recogido en la Resolución 062/</w:t>
      </w:r>
      <w:proofErr w:type="gramStart"/>
      <w:r w:rsidRPr="00B55043">
        <w:rPr>
          <w:color w:val="000000"/>
        </w:rPr>
        <w:t>2010,  la</w:t>
      </w:r>
      <w:proofErr w:type="gramEnd"/>
      <w:r w:rsidRPr="00B55043">
        <w:rPr>
          <w:color w:val="000000"/>
        </w:rPr>
        <w:t xml:space="preserve"> misma que fue emitida en el año 2010, cuyos sexto y sétimo considerandos se reproducen a continuación: </w:t>
      </w:r>
    </w:p>
    <w:p w:rsidRPr="00B55043" w:rsidR="00B55043" w:rsidP="00B55043" w:rsidRDefault="00B55043" w14:paraId="59B6C1B8" w14:textId="77777777">
      <w:pPr>
        <w:tabs>
          <w:tab w:val="left" w:pos="2160"/>
        </w:tabs>
        <w:jc w:val="both"/>
        <w:rPr>
          <w:lang w:val="es-PE"/>
        </w:rPr>
      </w:pPr>
    </w:p>
    <w:p w:rsidRPr="00B55043" w:rsidR="00B55043" w:rsidP="00B55043" w:rsidRDefault="00B55043" w14:paraId="5332991E" w14:textId="77777777">
      <w:pPr>
        <w:tabs>
          <w:tab w:val="left" w:pos="2160"/>
        </w:tabs>
        <w:ind w:left="720"/>
        <w:jc w:val="both"/>
        <w:rPr>
          <w:i/>
          <w:lang w:val="es-PE"/>
        </w:rPr>
      </w:pPr>
      <w:r w:rsidRPr="00B55043">
        <w:rPr>
          <w:i/>
          <w:lang w:val="es-PE"/>
        </w:rPr>
        <w:t>“</w:t>
      </w:r>
      <w:r w:rsidRPr="00B55043">
        <w:rPr>
          <w:i/>
          <w:u w:val="single"/>
          <w:lang w:val="es-PE"/>
        </w:rPr>
        <w:t>SEXTO</w:t>
      </w:r>
      <w:r w:rsidRPr="00B55043">
        <w:rPr>
          <w:i/>
          <w:lang w:val="es-PE"/>
        </w:rPr>
        <w:t xml:space="preserve">:  Este Colegiado mantiene el criterio conforme al cual, de la lectura de la norma reproducida en el considerando precedente, y por más que el SOAT sea un seguro de contratación obligatoria y con finalidad social, no puede inferirse o concluirse que, tratándose de accidentes en que hayan participado al menos dos unidades vehiculares (una de las cuales cuenta con SOAT y la otra no), que la aseguradora de la primera de las unidades esté obligada a otorgar cobertura a quienes son los ocupantes de la segunda unidad, siendo que una conclusión semejante es ajena no sólo al texto legal sino a la propia lógica del seguro en que la prima se estructura en función al riesgo asegurado, siendo que dicha interpretación generaría un desincentivo para contratar el SOAT.  Lo que establece claramente la norma bajo comentario (primer párrafo) es </w:t>
      </w:r>
      <w:proofErr w:type="gramStart"/>
      <w:r w:rsidRPr="00B55043">
        <w:rPr>
          <w:i/>
          <w:lang w:val="es-PE"/>
        </w:rPr>
        <w:t>que</w:t>
      </w:r>
      <w:proofErr w:type="gramEnd"/>
      <w:r w:rsidRPr="00B55043">
        <w:rPr>
          <w:i/>
          <w:lang w:val="es-PE"/>
        </w:rPr>
        <w:t xml:space="preserve"> si ambas unidades vehiculares cuenta con SOAT, cada aseguradora otorga cobertura a los ocupantes de la unidad que ha asegurado, y (segundo párrafo) tratándose de peatones o terceros (esto es, no ocupantes) se genera la responsabilidad solidaria entre las aseguradoras.  Y en el caso que una unidad carezca de SOAT (cuarto párrafo), tratándose de sus ocupantes, asumen responsabilidad solidaria el propietario, el conductor y el prestador del servicio de transporte terrestre, de ser el caso; en ese orden de ideas, en el texto no se dispone que dicha solidaridad se haga extensiva a la aseguradora de la unidad que sí cuenta con SOAT.  Siendo que la solidaridad es una excepción a la regla general de responsabilidad simple o parciaria, y que sólo proviene o se instituye mediante pacto o por disposición legal, resulta evidente que la pretendida solidaridad objeto del reclamo no se desprende del tenor del artículo 17 del Reglamento </w:t>
      </w:r>
      <w:r w:rsidRPr="00B55043">
        <w:rPr>
          <w:i/>
        </w:rPr>
        <w:t xml:space="preserve">Nacional de Responsabilidad Civil y Seguros Obligatorios por Accidentes de Tránsito, en particular de su cuarto ý último párrafo, siendo que postular lo contrario corresponde a una interpretación contra </w:t>
      </w:r>
      <w:proofErr w:type="spellStart"/>
      <w:r w:rsidRPr="00B55043">
        <w:rPr>
          <w:i/>
        </w:rPr>
        <w:t>legem</w:t>
      </w:r>
      <w:proofErr w:type="spellEnd"/>
      <w:r w:rsidRPr="00B55043">
        <w:rPr>
          <w:i/>
        </w:rPr>
        <w:t xml:space="preserve">, sine ius, careciendo de todo sustento afirmar que la finalidad (ratio </w:t>
      </w:r>
      <w:proofErr w:type="spellStart"/>
      <w:r w:rsidRPr="00B55043">
        <w:rPr>
          <w:i/>
        </w:rPr>
        <w:t>legis</w:t>
      </w:r>
      <w:proofErr w:type="spellEnd"/>
      <w:r w:rsidRPr="00B55043">
        <w:rPr>
          <w:i/>
        </w:rPr>
        <w:t xml:space="preserve">) del señalado cuarto párrafo es otorgar cobertura inmediata e incondicional a todas las víctimas de una accidente, más aún cuando la norma </w:t>
      </w:r>
      <w:r w:rsidRPr="00B55043">
        <w:rPr>
          <w:i/>
        </w:rPr>
        <w:lastRenderedPageBreak/>
        <w:t>reglamentaria distingue expresamente entre ocupante y peatones o terceros no ocupantes, estableciendo regímenes aplicables distintos.</w:t>
      </w:r>
    </w:p>
    <w:p w:rsidRPr="00B55043" w:rsidR="00B55043" w:rsidP="00B55043" w:rsidRDefault="00B55043" w14:paraId="5728F59B" w14:textId="77777777">
      <w:pPr>
        <w:tabs>
          <w:tab w:val="left" w:pos="2160"/>
        </w:tabs>
        <w:ind w:left="720"/>
        <w:jc w:val="both"/>
        <w:rPr>
          <w:i/>
          <w:lang w:val="es-PE"/>
        </w:rPr>
      </w:pPr>
    </w:p>
    <w:p w:rsidRPr="00B55043" w:rsidR="00B55043" w:rsidP="00B55043" w:rsidRDefault="00B55043" w14:paraId="59630FC0" w14:textId="77777777">
      <w:pPr>
        <w:tabs>
          <w:tab w:val="left" w:pos="2160"/>
        </w:tabs>
        <w:ind w:left="720"/>
        <w:jc w:val="both"/>
        <w:rPr>
          <w:i/>
          <w:lang w:val="es-PE"/>
        </w:rPr>
      </w:pPr>
      <w:r w:rsidRPr="00B55043">
        <w:rPr>
          <w:i/>
          <w:u w:val="single"/>
          <w:lang w:val="es-PE"/>
        </w:rPr>
        <w:t>SÉTIMO</w:t>
      </w:r>
      <w:r w:rsidRPr="00B55043">
        <w:rPr>
          <w:i/>
          <w:lang w:val="es-PE"/>
        </w:rPr>
        <w:t xml:space="preserve">: A mayor abundamiento, este Colegiado estima que la interpretación postulada por la reclamante resulta siendo finalmente contradictoria con la propia obligatoriedad de contratar el SOAT, por lo que de acogerse aquélla se estaría generando un grave desincentivo para dicha contratación y derivaría en un colapso de las aseguradoras dedicadas a otorgar este tipo de coberturas, o en un incremento tan grave del importe de las primas que generaría un seguro de contratación inviable con un mayor impacto de malestar social, ya que las víctimas de un accidente sólo podrían cobrar una indemnización luego de seguir y ganar un proceso judicial, situación que evita el SOAT por su naturaleza de seguro indemnizatorio antes que de responsabilidad civil.  En ese orden de ideas, no puede ni debe confundirse los alcances del artículo 4° y 14° del </w:t>
      </w:r>
      <w:r w:rsidRPr="00B55043">
        <w:rPr>
          <w:i/>
        </w:rPr>
        <w:t xml:space="preserve">Reglamento Nacional de Responsabilidad Civil y Seguros Obligatorios por Accidentes de Tránsito, sobre inmediatez e incondicionalidad del pago indemnizatorio, con un tema de solidaridad para el pago, más </w:t>
      </w:r>
      <w:proofErr w:type="spellStart"/>
      <w:proofErr w:type="gramStart"/>
      <w:r w:rsidRPr="00B55043">
        <w:rPr>
          <w:i/>
        </w:rPr>
        <w:t>aun</w:t>
      </w:r>
      <w:proofErr w:type="spellEnd"/>
      <w:proofErr w:type="gramEnd"/>
      <w:r w:rsidRPr="00B55043">
        <w:rPr>
          <w:i/>
        </w:rPr>
        <w:t xml:space="preserve"> cuando la pretendida solidaridad invocada no ha sido considerada por el legislador, por lo que resulta improcedente postularla vía interpretación.”</w:t>
      </w:r>
    </w:p>
    <w:p w:rsidRPr="00B55043" w:rsidR="00B55043" w:rsidP="00B55043" w:rsidRDefault="00B55043" w14:paraId="48602DCA" w14:textId="77777777">
      <w:pPr>
        <w:tabs>
          <w:tab w:val="left" w:pos="2160"/>
        </w:tabs>
        <w:jc w:val="both"/>
        <w:rPr>
          <w:lang w:val="es-PE"/>
        </w:rPr>
      </w:pPr>
    </w:p>
    <w:p w:rsidRPr="00B55043" w:rsidR="00B55043" w:rsidP="00B55043" w:rsidRDefault="00B55043" w14:paraId="2CC96D95" w14:textId="77777777">
      <w:pPr>
        <w:pStyle w:val="Prrafodelista"/>
        <w:tabs>
          <w:tab w:val="left" w:pos="2160"/>
        </w:tabs>
        <w:ind w:left="0"/>
        <w:jc w:val="both"/>
        <w:rPr>
          <w:color w:val="000000"/>
          <w:lang w:val="es-PE"/>
        </w:rPr>
      </w:pPr>
      <w:r w:rsidRPr="00B55043">
        <w:rPr>
          <w:b/>
          <w:bCs/>
          <w:color w:val="000000"/>
          <w:u w:val="single"/>
        </w:rPr>
        <w:t>Sexto:</w:t>
      </w:r>
      <w:r w:rsidRPr="00B55043">
        <w:rPr>
          <w:color w:val="000000"/>
        </w:rPr>
        <w:t xml:space="preserve"> Cabe señalar que la parte reclamante invoca que existe jurisprudencia que ampara su pretensión y cita la Casación </w:t>
      </w:r>
      <w:proofErr w:type="spellStart"/>
      <w:r w:rsidRPr="00B55043">
        <w:rPr>
          <w:color w:val="000000"/>
        </w:rPr>
        <w:t>Nº</w:t>
      </w:r>
      <w:proofErr w:type="spellEnd"/>
      <w:r w:rsidRPr="00B55043">
        <w:rPr>
          <w:color w:val="000000"/>
        </w:rPr>
        <w:t xml:space="preserve"> 10192-2016.</w:t>
      </w:r>
    </w:p>
    <w:p w:rsidRPr="00B55043" w:rsidR="00B55043" w:rsidP="00B55043" w:rsidRDefault="00B55043" w14:paraId="467DC6BE" w14:textId="77777777">
      <w:pPr>
        <w:pStyle w:val="Prrafodelista"/>
        <w:tabs>
          <w:tab w:val="left" w:pos="2160"/>
        </w:tabs>
        <w:ind w:left="0"/>
        <w:jc w:val="both"/>
        <w:rPr>
          <w:color w:val="000000"/>
        </w:rPr>
      </w:pPr>
    </w:p>
    <w:p w:rsidRPr="00B55043" w:rsidR="00B55043" w:rsidP="00B55043" w:rsidRDefault="00B55043" w14:paraId="623E4A27" w14:textId="77777777">
      <w:pPr>
        <w:pStyle w:val="Prrafodelista"/>
        <w:tabs>
          <w:tab w:val="left" w:pos="2160"/>
        </w:tabs>
        <w:ind w:left="0"/>
        <w:jc w:val="both"/>
        <w:rPr>
          <w:color w:val="000000"/>
        </w:rPr>
      </w:pPr>
      <w:r w:rsidRPr="00B55043">
        <w:rPr>
          <w:color w:val="000000"/>
        </w:rPr>
        <w:t xml:space="preserve">Dicha casación se refiere al supuesto en el que una unidad vehicular contrató SOAT y la otra no, y concluye en el sentido que las aseguradoras deben dar cobertura a los terceros ocupantes del vehículo que no contrató SOAT, declarando fundada la resolución de Indecopi que se pronunció en ese sentido y ordenó el pago de gastos de sepelio a favor de un menor que era ocupante -no conductor- de la unidad que no contaba con SOAT. </w:t>
      </w:r>
    </w:p>
    <w:p w:rsidRPr="00B55043" w:rsidR="00B55043" w:rsidP="00B55043" w:rsidRDefault="00B55043" w14:paraId="0AAF9FED" w14:textId="77777777">
      <w:pPr>
        <w:pStyle w:val="Prrafodelista"/>
        <w:tabs>
          <w:tab w:val="left" w:pos="2160"/>
        </w:tabs>
        <w:ind w:left="0"/>
        <w:jc w:val="both"/>
        <w:rPr>
          <w:color w:val="000000"/>
        </w:rPr>
      </w:pPr>
    </w:p>
    <w:p w:rsidRPr="00B55043" w:rsidR="00B55043" w:rsidP="00B55043" w:rsidRDefault="00B55043" w14:paraId="0E96EDD7" w14:textId="77777777">
      <w:pPr>
        <w:pStyle w:val="Prrafodelista"/>
        <w:tabs>
          <w:tab w:val="left" w:pos="2160"/>
        </w:tabs>
        <w:ind w:left="0"/>
        <w:jc w:val="both"/>
        <w:rPr>
          <w:color w:val="000000"/>
        </w:rPr>
      </w:pPr>
      <w:r w:rsidRPr="00B55043">
        <w:rPr>
          <w:color w:val="000000"/>
        </w:rPr>
        <w:t xml:space="preserve">No obstante, la sentencia </w:t>
      </w:r>
      <w:proofErr w:type="spellStart"/>
      <w:r w:rsidRPr="00B55043">
        <w:rPr>
          <w:color w:val="000000"/>
        </w:rPr>
        <w:t>casatoria</w:t>
      </w:r>
      <w:proofErr w:type="spellEnd"/>
      <w:r w:rsidRPr="00B55043">
        <w:rPr>
          <w:color w:val="000000"/>
        </w:rPr>
        <w:t xml:space="preserve"> no ha sido emitida con carácter vinculante, por lo que no constituye un precedente de observancia obligatoria, sin ahondar en el hecho que fue resulta en mayoría existiendo un voto en minoría que se pronunció en sentido contrario. Sin perjuicio de lo expuesto, se advierte que en dicho expediente se reclama la cobertura de gastos de sepelio de un ocupante no conductor de la moto que no contaba con SOAT (en ella iban el conductor y 3 personas más); siendo por tanto un caso diferente al que nos ocupa en el que se reclama la cobertura respecto del propio conductor de la moto que no contaba con SOAT, y al que la ley sanciona indicando que es él o el propietario quienes deberá responder solidariamente frente a los ocupantes de dicho vehículo o terceros no ocupantes por los gastos incurridos y/o indemnizaciones que se hubieran pagado. Si bien Indecopi y la sentencia </w:t>
      </w:r>
      <w:proofErr w:type="spellStart"/>
      <w:r w:rsidRPr="00B55043">
        <w:rPr>
          <w:color w:val="000000"/>
        </w:rPr>
        <w:t>casatoria</w:t>
      </w:r>
      <w:proofErr w:type="spellEnd"/>
      <w:r w:rsidRPr="00B55043">
        <w:rPr>
          <w:color w:val="000000"/>
        </w:rPr>
        <w:t xml:space="preserve"> consideran en el caso analizado en la casación que la compañía de seguros de la unidad que contrató el SOAT debió pagar al menor pasajero de la unidad que no contrató el SOAT, pudiendo luego repetir contra el conductor, propietario o prestador del servicio de transporte conforme al artículo 17 antes citado; no se refiere al propio conductor; y, no tendría sentido que así fuera, pues mal podría darse cobertura a un conductor que negligentemente conduce un vehículo sin SOAT, indemnizándolo para luego repetir contra el mismo. </w:t>
      </w:r>
    </w:p>
    <w:p w:rsidRPr="00B55043" w:rsidR="00B55043" w:rsidP="00B55043" w:rsidRDefault="00B55043" w14:paraId="4F2F010F" w14:textId="77777777">
      <w:pPr>
        <w:pStyle w:val="Prrafodelista"/>
        <w:tabs>
          <w:tab w:val="left" w:pos="2160"/>
        </w:tabs>
        <w:ind w:left="0"/>
        <w:jc w:val="both"/>
        <w:rPr>
          <w:color w:val="000000"/>
        </w:rPr>
      </w:pPr>
    </w:p>
    <w:p w:rsidRPr="00B55043" w:rsidR="00B55043" w:rsidP="00B55043" w:rsidRDefault="00B55043" w14:paraId="59487FE1" w14:textId="77777777">
      <w:pPr>
        <w:pStyle w:val="Prrafodelista"/>
        <w:tabs>
          <w:tab w:val="left" w:pos="2160"/>
        </w:tabs>
        <w:ind w:left="0"/>
        <w:jc w:val="both"/>
        <w:rPr>
          <w:color w:val="000000"/>
        </w:rPr>
      </w:pPr>
      <w:r w:rsidRPr="00B55043">
        <w:rPr>
          <w:color w:val="000000"/>
        </w:rPr>
        <w:lastRenderedPageBreak/>
        <w:t xml:space="preserve">En efecto, existe jurisprudencia de Indecopi que ratifica dicho criterio, es decir, que el SOAT del vehículo asegurado no alcanza al conductor del vehículo sin SOAT. Por lo que aun cuando este colegiado no coincide con todos los argumentos de dicha jurisprudencia -pues conforme se ha referido en el considerando precedente esta Defensoría  considera que el SOAT de un vehículo no alcanza a los ocupantes y menos al conductor de un vehículo sin SOAT, sino únicamente a lo terceros no ocupantes como sería un peatón-, este colegiado tiene a bien referir dicho antecedente que se refiere al caso en controversia, por lo que a continuación se transcribe el considerando </w:t>
      </w:r>
      <w:proofErr w:type="spellStart"/>
      <w:r w:rsidRPr="00B55043">
        <w:rPr>
          <w:color w:val="000000"/>
        </w:rPr>
        <w:t>Nº</w:t>
      </w:r>
      <w:proofErr w:type="spellEnd"/>
      <w:r w:rsidRPr="00B55043">
        <w:rPr>
          <w:color w:val="000000"/>
        </w:rPr>
        <w:t xml:space="preserve"> 41, parte pertinente del </w:t>
      </w:r>
      <w:proofErr w:type="spellStart"/>
      <w:r w:rsidRPr="00B55043">
        <w:rPr>
          <w:color w:val="000000"/>
        </w:rPr>
        <w:t>Nº</w:t>
      </w:r>
      <w:proofErr w:type="spellEnd"/>
      <w:r w:rsidRPr="00B55043">
        <w:rPr>
          <w:color w:val="000000"/>
        </w:rPr>
        <w:t xml:space="preserve"> 42 y el considerando </w:t>
      </w:r>
      <w:proofErr w:type="spellStart"/>
      <w:r w:rsidRPr="00B55043">
        <w:rPr>
          <w:color w:val="000000"/>
        </w:rPr>
        <w:t>Nº</w:t>
      </w:r>
      <w:proofErr w:type="spellEnd"/>
      <w:r w:rsidRPr="00B55043">
        <w:rPr>
          <w:color w:val="000000"/>
        </w:rPr>
        <w:t xml:space="preserve"> 50 de la Resolución </w:t>
      </w:r>
      <w:proofErr w:type="spellStart"/>
      <w:r w:rsidRPr="00B55043">
        <w:rPr>
          <w:color w:val="000000"/>
        </w:rPr>
        <w:t>Nº</w:t>
      </w:r>
      <w:proofErr w:type="spellEnd"/>
      <w:r w:rsidRPr="00B55043">
        <w:rPr>
          <w:color w:val="000000"/>
        </w:rPr>
        <w:t xml:space="preserve"> 4288-2016/SPC-INDECOPI (cabe señalar que dicho criterio ha sido recogido también en la Resolución </w:t>
      </w:r>
      <w:proofErr w:type="spellStart"/>
      <w:r w:rsidRPr="00B55043">
        <w:rPr>
          <w:color w:val="000000"/>
        </w:rPr>
        <w:t>Nº</w:t>
      </w:r>
      <w:proofErr w:type="spellEnd"/>
      <w:r w:rsidRPr="00B55043">
        <w:rPr>
          <w:color w:val="000000"/>
        </w:rPr>
        <w:t xml:space="preserve"> 3443-2018/SPC-INDECOPI (file:///C:/Users/vaio/Downloads/doc_201902111112035133.pdf)): </w:t>
      </w:r>
    </w:p>
    <w:p w:rsidRPr="00B55043" w:rsidR="00B55043" w:rsidP="00B55043" w:rsidRDefault="00B55043" w14:paraId="4D5EB600" w14:textId="77777777">
      <w:pPr>
        <w:pStyle w:val="Prrafodelista"/>
        <w:tabs>
          <w:tab w:val="left" w:pos="2160"/>
        </w:tabs>
        <w:ind w:left="0"/>
        <w:jc w:val="both"/>
        <w:rPr>
          <w:color w:val="000000"/>
        </w:rPr>
      </w:pPr>
    </w:p>
    <w:p w:rsidRPr="00B55043" w:rsidR="00B55043" w:rsidP="00B55043" w:rsidRDefault="00B55043" w14:paraId="457900FB" w14:textId="77777777">
      <w:pPr>
        <w:pStyle w:val="Prrafodelista"/>
        <w:tabs>
          <w:tab w:val="left" w:pos="2160"/>
        </w:tabs>
        <w:ind w:left="0"/>
        <w:jc w:val="both"/>
        <w:rPr>
          <w:color w:val="000000"/>
        </w:rPr>
      </w:pPr>
    </w:p>
    <w:p w:rsidRPr="00B55043" w:rsidR="00B55043" w:rsidP="00B55043" w:rsidRDefault="00B55043" w14:paraId="4E277500" w14:textId="77777777">
      <w:pPr>
        <w:pStyle w:val="Prrafodelista"/>
        <w:tabs>
          <w:tab w:val="left" w:pos="2160"/>
        </w:tabs>
        <w:jc w:val="both"/>
        <w:rPr>
          <w:i/>
          <w:iCs/>
          <w:color w:val="000000"/>
        </w:rPr>
      </w:pPr>
      <w:r w:rsidRPr="00B55043">
        <w:rPr>
          <w:i/>
          <w:iCs/>
          <w:color w:val="000000"/>
        </w:rPr>
        <w:t xml:space="preserve">“41. En efecto, teniendo en cuenta que es deber de todo conductor contratar el seguro SOAT para su vehículo antes de hacerlo circular, no resulta correcto que ante un siniestro, este conductor, que no cumple con tal obligación legal, reclame a la aseguradora de otro vehículo interviniente en el siniestro (que cuenta con SOAT) una indemnización por los daños materiales y personales que haya sufrido, cuando este, en primera instancia, no ha cumplido con el deber legal antes mencionado, esto es contar y pagar por un SOAT destinado a cubrir a los ocupantes y terceros no ocupantes con relación a su propio vehículo. </w:t>
      </w:r>
    </w:p>
    <w:p w:rsidRPr="00B55043" w:rsidR="00B55043" w:rsidP="00B55043" w:rsidRDefault="00B55043" w14:paraId="5AC05658" w14:textId="77777777">
      <w:pPr>
        <w:pStyle w:val="Prrafodelista"/>
        <w:tabs>
          <w:tab w:val="left" w:pos="2160"/>
        </w:tabs>
        <w:jc w:val="both"/>
        <w:rPr>
          <w:i/>
          <w:iCs/>
          <w:color w:val="000000"/>
        </w:rPr>
      </w:pPr>
      <w:r w:rsidRPr="00B55043">
        <w:rPr>
          <w:i/>
          <w:iCs/>
          <w:color w:val="000000"/>
        </w:rPr>
        <w:t>42. Así, la Sala coincide con la Comisión cuando esta indica que si un agente de tránsito conduce un vehículo a sabiendas que no cuenta con un SOAT, no podría ser considerado como beneficiario de dicho seguro, en tanto ha actuado inobservando un deber de cuidado impuesto por ley, (…).</w:t>
      </w:r>
    </w:p>
    <w:p w:rsidRPr="00B55043" w:rsidR="00B55043" w:rsidP="00B55043" w:rsidRDefault="00B55043" w14:paraId="1FBD438A" w14:textId="77777777">
      <w:pPr>
        <w:pStyle w:val="Prrafodelista"/>
        <w:tabs>
          <w:tab w:val="left" w:pos="2160"/>
        </w:tabs>
        <w:jc w:val="both"/>
        <w:rPr>
          <w:i/>
          <w:iCs/>
          <w:color w:val="000000"/>
        </w:rPr>
      </w:pPr>
      <w:r w:rsidRPr="00B55043">
        <w:rPr>
          <w:i/>
          <w:iCs/>
          <w:color w:val="000000"/>
        </w:rPr>
        <w:t>(…).</w:t>
      </w:r>
    </w:p>
    <w:p w:rsidRPr="00B55043" w:rsidR="00B55043" w:rsidP="00B55043" w:rsidRDefault="00B55043" w14:paraId="3AD4C93E" w14:textId="77777777">
      <w:pPr>
        <w:pStyle w:val="Prrafodelista"/>
        <w:tabs>
          <w:tab w:val="left" w:pos="2160"/>
        </w:tabs>
        <w:jc w:val="both"/>
        <w:rPr>
          <w:i/>
          <w:iCs/>
          <w:color w:val="000000"/>
          <w:lang w:val="es-PE"/>
        </w:rPr>
      </w:pPr>
      <w:r w:rsidRPr="00B55043">
        <w:rPr>
          <w:i/>
          <w:iCs/>
          <w:color w:val="000000"/>
        </w:rPr>
        <w:t>50. En este orden de ideas, considerando que el conductor irresponsable, en este caso el señor (…), no debe verse beneficiado por el seguro SOAT, dado que no cumplió con su obligación de contar con este tipo de seguro al momento del siniestro y, en ese sentido, esta situación replica en sus eventuales beneficiarios como es el caso de la señora (…), se evidencia que (…), por la interpretación que este Colegiado da a las normas del SOAT, no negó de forma indebida la cobertura del seguro SOAT a favor de esta última”.</w:t>
      </w:r>
    </w:p>
    <w:p w:rsidRPr="00B55043" w:rsidR="00B55043" w:rsidP="00B55043" w:rsidRDefault="00B55043" w14:paraId="10392DA3" w14:textId="77777777">
      <w:pPr>
        <w:pStyle w:val="Prrafodelista"/>
        <w:tabs>
          <w:tab w:val="left" w:pos="2160"/>
        </w:tabs>
        <w:ind w:left="0"/>
        <w:jc w:val="both"/>
        <w:rPr>
          <w:color w:val="000000"/>
        </w:rPr>
      </w:pPr>
    </w:p>
    <w:p w:rsidRPr="00B55043" w:rsidR="00B55043" w:rsidP="00B55043" w:rsidRDefault="00B55043" w14:paraId="7C987F15" w14:textId="77777777">
      <w:pPr>
        <w:pStyle w:val="Prrafodelista"/>
        <w:tabs>
          <w:tab w:val="left" w:pos="2160"/>
        </w:tabs>
        <w:ind w:left="0"/>
        <w:jc w:val="both"/>
        <w:rPr>
          <w:color w:val="000000"/>
        </w:rPr>
      </w:pPr>
      <w:r w:rsidRPr="00B55043">
        <w:rPr>
          <w:color w:val="000000"/>
        </w:rPr>
        <w:t xml:space="preserve">A mayor abundamiento, la propia aseguradora ha presentado las sentencias en casación </w:t>
      </w:r>
      <w:proofErr w:type="spellStart"/>
      <w:r w:rsidRPr="00B55043">
        <w:rPr>
          <w:color w:val="000000"/>
        </w:rPr>
        <w:t>Nº</w:t>
      </w:r>
      <w:proofErr w:type="spellEnd"/>
      <w:r w:rsidRPr="00B55043">
        <w:rPr>
          <w:color w:val="000000"/>
        </w:rPr>
        <w:t xml:space="preserve"> 19147-</w:t>
      </w:r>
      <w:proofErr w:type="gramStart"/>
      <w:r w:rsidRPr="00B55043">
        <w:rPr>
          <w:color w:val="000000"/>
        </w:rPr>
        <w:t>2016  de</w:t>
      </w:r>
      <w:proofErr w:type="gramEnd"/>
      <w:r w:rsidRPr="00B55043">
        <w:rPr>
          <w:color w:val="000000"/>
        </w:rPr>
        <w:t xml:space="preserve"> fecha 17 de mayo de 2018 (con votos en discordia) y de fecha 20 de noviembre de 2020 (voto dirimente), que contradice lo resuelto por la sentencia </w:t>
      </w:r>
      <w:proofErr w:type="spellStart"/>
      <w:r w:rsidRPr="00B55043">
        <w:rPr>
          <w:color w:val="000000"/>
        </w:rPr>
        <w:t>casatoria</w:t>
      </w:r>
      <w:proofErr w:type="spellEnd"/>
      <w:r w:rsidRPr="00B55043">
        <w:rPr>
          <w:color w:val="000000"/>
        </w:rPr>
        <w:t xml:space="preserve"> invocada por la reclamante, lo que ratifica el carácter no vinculante de aquella sentencia.</w:t>
      </w:r>
    </w:p>
    <w:p w:rsidRPr="00B55043" w:rsidR="00B55043" w:rsidP="00B55043" w:rsidRDefault="00B55043" w14:paraId="015043AA" w14:textId="77777777">
      <w:pPr>
        <w:pStyle w:val="Prrafodelista"/>
        <w:tabs>
          <w:tab w:val="left" w:pos="2160"/>
        </w:tabs>
        <w:ind w:left="0"/>
        <w:jc w:val="both"/>
        <w:rPr>
          <w:color w:val="000000"/>
        </w:rPr>
      </w:pPr>
    </w:p>
    <w:p w:rsidRPr="00B55043" w:rsidR="00B55043" w:rsidP="00B55043" w:rsidRDefault="00B55043" w14:paraId="7F408E1F" w14:textId="77777777">
      <w:pPr>
        <w:pStyle w:val="Prrafodelista"/>
        <w:tabs>
          <w:tab w:val="left" w:pos="2160"/>
        </w:tabs>
        <w:ind w:left="0"/>
        <w:jc w:val="both"/>
        <w:rPr>
          <w:color w:val="000000"/>
        </w:rPr>
      </w:pPr>
      <w:r w:rsidRPr="00B55043">
        <w:rPr>
          <w:color w:val="000000"/>
        </w:rPr>
        <w:t xml:space="preserve">Atendiendo a lo expresado precedentemente, esta Defensoría concluye su apreciación razonada y conjunta al amparo de lo establecido en su Reglamento, no encontrando razones que amparen la presente reclamación, por lo que </w:t>
      </w:r>
    </w:p>
    <w:p w:rsidRPr="00B55043" w:rsidR="00B55043" w:rsidP="00B55043" w:rsidRDefault="00B55043" w14:paraId="6A993266" w14:textId="77777777">
      <w:pPr>
        <w:pStyle w:val="Prrafodelista"/>
        <w:tabs>
          <w:tab w:val="left" w:pos="2160"/>
        </w:tabs>
        <w:ind w:left="0"/>
        <w:jc w:val="both"/>
        <w:rPr>
          <w:color w:val="000000"/>
        </w:rPr>
      </w:pPr>
    </w:p>
    <w:p w:rsidRPr="00B55043" w:rsidR="00B55043" w:rsidP="00B55043" w:rsidRDefault="00B55043" w14:paraId="122F5118" w14:textId="77777777">
      <w:pPr>
        <w:pStyle w:val="Prrafodelista"/>
        <w:tabs>
          <w:tab w:val="left" w:pos="2160"/>
        </w:tabs>
        <w:ind w:left="0"/>
        <w:jc w:val="both"/>
        <w:rPr>
          <w:b/>
          <w:color w:val="000000"/>
        </w:rPr>
      </w:pPr>
      <w:r w:rsidRPr="00B55043">
        <w:rPr>
          <w:b/>
          <w:color w:val="000000"/>
        </w:rPr>
        <w:t>RESUELVE:</w:t>
      </w:r>
    </w:p>
    <w:p w:rsidRPr="00B55043" w:rsidR="00B55043" w:rsidP="00B55043" w:rsidRDefault="00B55043" w14:paraId="3C46B79F" w14:textId="77777777">
      <w:pPr>
        <w:jc w:val="both"/>
      </w:pPr>
    </w:p>
    <w:p w:rsidRPr="00B55043" w:rsidR="00B55043" w:rsidP="00B55043" w:rsidRDefault="00B55043" w14:paraId="7FFF278C" w14:textId="717539A5">
      <w:pPr>
        <w:pStyle w:val="Prrafodelista"/>
        <w:tabs>
          <w:tab w:val="left" w:pos="2160"/>
        </w:tabs>
        <w:ind w:left="0"/>
        <w:jc w:val="both"/>
        <w:rPr>
          <w:color w:val="000000"/>
        </w:rPr>
      </w:pPr>
      <w:r w:rsidRPr="14B98DCC" w:rsidR="00B55043">
        <w:rPr>
          <w:color w:val="000000" w:themeColor="text1" w:themeTint="FF" w:themeShade="FF"/>
        </w:rPr>
        <w:t xml:space="preserve">Declarar </w:t>
      </w:r>
      <w:r w:rsidRPr="14B98DCC" w:rsidR="00B55043">
        <w:rPr>
          <w:b w:val="1"/>
          <w:bCs w:val="1"/>
          <w:color w:val="000000" w:themeColor="text1" w:themeTint="FF" w:themeShade="FF"/>
        </w:rPr>
        <w:t>INFUNDADA</w:t>
      </w:r>
      <w:r w:rsidRPr="14B98DCC" w:rsidR="00B55043">
        <w:rPr>
          <w:color w:val="000000" w:themeColor="text1" w:themeTint="FF" w:themeShade="FF"/>
        </w:rPr>
        <w:t xml:space="preserve"> la reclamación interpuesta por </w:t>
      </w:r>
      <w:r w:rsidRPr="14B98DCC" w:rsidR="5DF7188F">
        <w:rPr>
          <w:color w:val="000000" w:themeColor="text1" w:themeTint="FF" w:themeShade="FF"/>
        </w:rPr>
        <w:t>..................................................................................</w:t>
      </w:r>
      <w:r w:rsidRPr="14B98DCC" w:rsidR="00B55043">
        <w:rPr>
          <w:color w:val="000000" w:themeColor="text1" w:themeTint="FF" w:themeShade="FF"/>
        </w:rPr>
        <w:t xml:space="preserve"> </w:t>
      </w:r>
      <w:r w:rsidR="00B55043">
        <w:rPr/>
        <w:t xml:space="preserve"> </w:t>
      </w:r>
      <w:r w:rsidRPr="14B98DCC" w:rsidR="00B55043">
        <w:rPr>
          <w:color w:val="000000" w:themeColor="text1" w:themeTint="FF" w:themeShade="FF"/>
        </w:rPr>
        <w:t>contra</w:t>
      </w:r>
      <w:r w:rsidRPr="14B98DCC" w:rsidR="00B55043">
        <w:rPr>
          <w:color w:val="000000" w:themeColor="text1" w:themeTint="FF" w:themeShade="FF"/>
        </w:rPr>
        <w:t xml:space="preserve"> </w:t>
      </w:r>
      <w:r w:rsidRPr="14B98DCC" w:rsidR="109E6066">
        <w:rPr>
          <w:color w:val="000000" w:themeColor="text1" w:themeTint="FF" w:themeShade="FF"/>
        </w:rPr>
        <w:t>....................................</w:t>
      </w:r>
      <w:r w:rsidRPr="14B98DCC" w:rsidR="00B55043">
        <w:rPr>
          <w:color w:val="000000" w:themeColor="text1" w:themeTint="FF" w:themeShade="FF"/>
        </w:rPr>
        <w:t xml:space="preserve"> correspondiente al SEGURO OBLIGATORIO DE </w:t>
      </w:r>
      <w:r w:rsidRPr="14B98DCC" w:rsidR="00B55043">
        <w:rPr>
          <w:color w:val="000000" w:themeColor="text1" w:themeTint="FF" w:themeShade="FF"/>
        </w:rPr>
        <w:t>ACCIDENTES DE TRÁNSITO –SOAT, quedando a salvo el derecho de la reclamante de recurrir ante las instancias que considere pertinentes.</w:t>
      </w:r>
    </w:p>
    <w:p w:rsidRPr="00B55043" w:rsidR="00E40C79" w:rsidP="005F4B55" w:rsidRDefault="00E40C79" w14:paraId="3AC09319" w14:textId="77777777">
      <w:pPr>
        <w:jc w:val="both"/>
      </w:pPr>
    </w:p>
    <w:p w:rsidRPr="00B55043" w:rsidR="00804FBA" w:rsidP="00804FBA" w:rsidRDefault="00F15FBA" w14:paraId="0B8F9BB3" w14:textId="629252D5">
      <w:pPr>
        <w:jc w:val="right"/>
        <w:outlineLvl w:val="0"/>
        <w:rPr>
          <w:lang w:val="es-PE"/>
        </w:rPr>
      </w:pPr>
      <w:r w:rsidRPr="00B55043">
        <w:rPr>
          <w:lang w:val="es-PE"/>
        </w:rPr>
        <w:t xml:space="preserve">Lima, </w:t>
      </w:r>
      <w:r w:rsidRPr="00B55043" w:rsidR="00AE38BE">
        <w:t>0</w:t>
      </w:r>
      <w:r w:rsidRPr="00B55043" w:rsidR="003C647D">
        <w:t>8</w:t>
      </w:r>
      <w:r w:rsidRPr="00B55043" w:rsidR="00981056">
        <w:t xml:space="preserve"> </w:t>
      </w:r>
      <w:r w:rsidRPr="00B55043">
        <w:rPr>
          <w:lang w:val="es-PE"/>
        </w:rPr>
        <w:t>de</w:t>
      </w:r>
      <w:r w:rsidRPr="00B55043" w:rsidR="001631D6">
        <w:rPr>
          <w:lang w:val="es-PE"/>
        </w:rPr>
        <w:t xml:space="preserve"> </w:t>
      </w:r>
      <w:r w:rsidRPr="00B55043" w:rsidR="00AE38BE">
        <w:rPr>
          <w:lang w:val="es-PE"/>
        </w:rPr>
        <w:t>noviembre</w:t>
      </w:r>
      <w:r w:rsidRPr="00B55043" w:rsidR="001631D6">
        <w:rPr>
          <w:lang w:val="es-PE"/>
        </w:rPr>
        <w:t xml:space="preserve"> </w:t>
      </w:r>
      <w:r w:rsidRPr="00B55043">
        <w:rPr>
          <w:lang w:val="es-PE"/>
        </w:rPr>
        <w:t>de 20</w:t>
      </w:r>
      <w:r w:rsidRPr="00B55043" w:rsidR="001631D6">
        <w:rPr>
          <w:lang w:val="es-PE"/>
        </w:rPr>
        <w:t>2</w:t>
      </w:r>
      <w:r w:rsidRPr="00B55043" w:rsidR="00807D21">
        <w:rPr>
          <w:lang w:val="es-PE"/>
        </w:rPr>
        <w:t>3</w:t>
      </w:r>
    </w:p>
    <w:p w:rsidRPr="00B55043" w:rsidR="00804FBA" w:rsidP="007B617A" w:rsidRDefault="00804FBA" w14:paraId="2C8A5CBC" w14:textId="77777777">
      <w:pPr>
        <w:jc w:val="both"/>
        <w:rPr>
          <w:b/>
          <w:bCs/>
          <w:i/>
          <w:iCs/>
          <w:lang w:val="es-ES_tradnl"/>
        </w:rPr>
      </w:pPr>
    </w:p>
    <w:p w:rsidRPr="00B55043" w:rsidR="007B617A" w:rsidP="007B617A" w:rsidRDefault="007B617A" w14:paraId="4B31173C" w14:textId="2EAC8C2D">
      <w:pPr>
        <w:jc w:val="both"/>
        <w:rPr>
          <w:b/>
          <w:bCs/>
          <w:i/>
          <w:iCs/>
          <w:lang w:val="es-ES_tradnl"/>
        </w:rPr>
      </w:pPr>
      <w:r w:rsidRPr="00B55043">
        <w:rPr>
          <w:b/>
          <w:bCs/>
          <w:i/>
          <w:iCs/>
          <w:lang w:val="es-ES_tradnl"/>
        </w:rPr>
        <w:t>La Secretaría Técnica certifica que la presente resolución cuenta con el voto de los vocales cuyos nombres figuran en el presente documento.</w:t>
      </w:r>
    </w:p>
    <w:p w:rsidRPr="00B55043" w:rsidR="007B617A" w:rsidP="007B617A" w:rsidRDefault="007B617A" w14:paraId="35552407" w14:textId="77777777">
      <w:pPr>
        <w:jc w:val="both"/>
        <w:rPr>
          <w:b/>
          <w:bCs/>
          <w:i/>
          <w:iCs/>
          <w:lang w:val="es-ES_tradnl"/>
        </w:rPr>
      </w:pPr>
    </w:p>
    <w:p w:rsidRPr="00B55043" w:rsidR="004734D9" w:rsidP="004734D9" w:rsidRDefault="004734D9" w14:paraId="42BF8F95" w14:textId="79E91DF2">
      <w:pPr>
        <w:spacing w:line="360" w:lineRule="auto"/>
        <w:jc w:val="center"/>
        <w:rPr>
          <w:b/>
          <w:bCs/>
        </w:rPr>
      </w:pPr>
      <w:r w:rsidRPr="00B55043">
        <w:rPr>
          <w:b/>
          <w:bCs/>
        </w:rPr>
        <w:t xml:space="preserve">Rolando Eyzaguirre </w:t>
      </w:r>
      <w:proofErr w:type="spellStart"/>
      <w:r w:rsidRPr="00B55043">
        <w:rPr>
          <w:b/>
          <w:bCs/>
        </w:rPr>
        <w:t>Maccan</w:t>
      </w:r>
      <w:proofErr w:type="spellEnd"/>
      <w:r w:rsidRPr="00B55043">
        <w:rPr>
          <w:b/>
          <w:bCs/>
        </w:rPr>
        <w:t xml:space="preserve"> – </w:t>
      </w:r>
      <w:proofErr w:type="gramStart"/>
      <w:r w:rsidRPr="00B55043">
        <w:rPr>
          <w:b/>
          <w:bCs/>
        </w:rPr>
        <w:t>Presidente</w:t>
      </w:r>
      <w:proofErr w:type="gramEnd"/>
    </w:p>
    <w:p w:rsidRPr="00B55043" w:rsidR="007B617A" w:rsidP="007B617A" w:rsidRDefault="007B617A" w14:paraId="1315FD2E" w14:textId="77777777">
      <w:pPr>
        <w:spacing w:line="360" w:lineRule="auto"/>
        <w:jc w:val="center"/>
        <w:rPr>
          <w:b/>
          <w:bCs/>
        </w:rPr>
      </w:pPr>
      <w:r w:rsidRPr="00B55043">
        <w:rPr>
          <w:b/>
          <w:bCs/>
        </w:rPr>
        <w:t>María Eugenia Valdez Fernández Baca – Vocal</w:t>
      </w:r>
    </w:p>
    <w:p w:rsidRPr="00B55043" w:rsidR="004734D9" w:rsidP="004734D9" w:rsidRDefault="004734D9" w14:paraId="02D71B9D" w14:textId="46BD5471">
      <w:pPr>
        <w:spacing w:line="360" w:lineRule="auto"/>
        <w:jc w:val="center"/>
        <w:rPr>
          <w:b/>
          <w:bCs/>
        </w:rPr>
      </w:pPr>
      <w:r w:rsidRPr="00B55043">
        <w:rPr>
          <w:b/>
          <w:bCs/>
        </w:rPr>
        <w:t>Omar Alfaro Villanueva – Vocal</w:t>
      </w:r>
    </w:p>
    <w:p w:rsidRPr="001631D6" w:rsidR="009E119B" w:rsidP="14B98DCC" w:rsidRDefault="009E119B" w14:paraId="164CAA9F" w14:textId="09FC6F75">
      <w:pPr>
        <w:spacing w:line="360" w:lineRule="auto"/>
        <w:jc w:val="center"/>
        <w:rPr>
          <w:lang w:val="es-MX"/>
        </w:rPr>
      </w:pPr>
      <w:r w:rsidRPr="14B98DCC" w:rsidR="007B617A">
        <w:rPr>
          <w:b w:val="1"/>
          <w:bCs w:val="1"/>
        </w:rPr>
        <w:t>Gonzalo Abad del Busto - Vocal</w:t>
      </w:r>
    </w:p>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809CF" w:rsidP="005F148C" w:rsidRDefault="00E809CF" w14:paraId="3E572081" w14:textId="77777777">
      <w:r>
        <w:separator/>
      </w:r>
    </w:p>
  </w:endnote>
  <w:endnote w:type="continuationSeparator" w:id="0">
    <w:p w:rsidR="00E809CF" w:rsidP="005F148C" w:rsidRDefault="00E809CF" w14:paraId="5EE6016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809CF" w:rsidP="005F148C" w:rsidRDefault="00E809CF" w14:paraId="7AFDFB4A" w14:textId="77777777">
      <w:r>
        <w:separator/>
      </w:r>
    </w:p>
  </w:footnote>
  <w:footnote w:type="continuationSeparator" w:id="0">
    <w:p w:rsidR="00E809CF" w:rsidP="005F148C" w:rsidRDefault="00E809CF" w14:paraId="5E38B43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DF140B7"/>
    <w:multiLevelType w:val="hybridMultilevel"/>
    <w:tmpl w:val="506A5CB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C98459F"/>
    <w:multiLevelType w:val="hybridMultilevel"/>
    <w:tmpl w:val="23A85D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3A077FA"/>
    <w:multiLevelType w:val="hybridMultilevel"/>
    <w:tmpl w:val="506A5CB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543A7DF6"/>
    <w:multiLevelType w:val="hybridMultilevel"/>
    <w:tmpl w:val="05E81198"/>
    <w:lvl w:ilvl="0" w:tplc="0C0A0017">
      <w:start w:val="1"/>
      <w:numFmt w:val="low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15"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11"/>
  </w:num>
  <w:num w:numId="2" w16cid:durableId="1256477769">
    <w:abstractNumId w:val="2"/>
  </w:num>
  <w:num w:numId="3" w16cid:durableId="1780678958">
    <w:abstractNumId w:val="8"/>
  </w:num>
  <w:num w:numId="4" w16cid:durableId="20433587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8"/>
  </w:num>
  <w:num w:numId="7" w16cid:durableId="14757574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978659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28452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70727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10654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94496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977"/>
    <w:rsid w:val="00021CE8"/>
    <w:rsid w:val="0002216F"/>
    <w:rsid w:val="0002647A"/>
    <w:rsid w:val="0003193C"/>
    <w:rsid w:val="00032526"/>
    <w:rsid w:val="00032C2E"/>
    <w:rsid w:val="0003324F"/>
    <w:rsid w:val="00033D57"/>
    <w:rsid w:val="00035695"/>
    <w:rsid w:val="00035BA1"/>
    <w:rsid w:val="00035CCC"/>
    <w:rsid w:val="0004567C"/>
    <w:rsid w:val="00045B2C"/>
    <w:rsid w:val="00066E53"/>
    <w:rsid w:val="000729AB"/>
    <w:rsid w:val="00073516"/>
    <w:rsid w:val="00074CB3"/>
    <w:rsid w:val="0008387F"/>
    <w:rsid w:val="00084E51"/>
    <w:rsid w:val="00085C13"/>
    <w:rsid w:val="00090136"/>
    <w:rsid w:val="00093257"/>
    <w:rsid w:val="00094DDA"/>
    <w:rsid w:val="0009632B"/>
    <w:rsid w:val="000A1BF0"/>
    <w:rsid w:val="000A32D2"/>
    <w:rsid w:val="000A449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070B"/>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51125"/>
    <w:rsid w:val="00251C91"/>
    <w:rsid w:val="002605BB"/>
    <w:rsid w:val="002608DC"/>
    <w:rsid w:val="00266CCD"/>
    <w:rsid w:val="002671AE"/>
    <w:rsid w:val="002751A7"/>
    <w:rsid w:val="00280092"/>
    <w:rsid w:val="00281026"/>
    <w:rsid w:val="002933C5"/>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C647D"/>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601A1B"/>
    <w:rsid w:val="0062037B"/>
    <w:rsid w:val="00621ACC"/>
    <w:rsid w:val="00630726"/>
    <w:rsid w:val="00647AEE"/>
    <w:rsid w:val="00651449"/>
    <w:rsid w:val="006603F9"/>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066A"/>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3DF4"/>
    <w:rsid w:val="00895F38"/>
    <w:rsid w:val="00895FF5"/>
    <w:rsid w:val="008A03CD"/>
    <w:rsid w:val="008A0611"/>
    <w:rsid w:val="008A0B4B"/>
    <w:rsid w:val="008A1DAB"/>
    <w:rsid w:val="008A5BD8"/>
    <w:rsid w:val="008A67AB"/>
    <w:rsid w:val="008B4C54"/>
    <w:rsid w:val="008C4E24"/>
    <w:rsid w:val="008C7D4A"/>
    <w:rsid w:val="008D0547"/>
    <w:rsid w:val="008D5A92"/>
    <w:rsid w:val="008D7B08"/>
    <w:rsid w:val="008E648A"/>
    <w:rsid w:val="008F02BA"/>
    <w:rsid w:val="008F2364"/>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2F8F"/>
    <w:rsid w:val="00AC1795"/>
    <w:rsid w:val="00AC4C0C"/>
    <w:rsid w:val="00AC55A3"/>
    <w:rsid w:val="00AC68FA"/>
    <w:rsid w:val="00AC7D5A"/>
    <w:rsid w:val="00AE1616"/>
    <w:rsid w:val="00AE1A9B"/>
    <w:rsid w:val="00AE33DC"/>
    <w:rsid w:val="00AE376F"/>
    <w:rsid w:val="00AE38BE"/>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55043"/>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2910"/>
    <w:rsid w:val="00BD5FD0"/>
    <w:rsid w:val="00BD6B49"/>
    <w:rsid w:val="00BE2224"/>
    <w:rsid w:val="00BE23A8"/>
    <w:rsid w:val="00BF1D90"/>
    <w:rsid w:val="00C04895"/>
    <w:rsid w:val="00C069D2"/>
    <w:rsid w:val="00C1111D"/>
    <w:rsid w:val="00C11655"/>
    <w:rsid w:val="00C12D0E"/>
    <w:rsid w:val="00C13666"/>
    <w:rsid w:val="00C13681"/>
    <w:rsid w:val="00C14B18"/>
    <w:rsid w:val="00C1521C"/>
    <w:rsid w:val="00C20439"/>
    <w:rsid w:val="00C21994"/>
    <w:rsid w:val="00C22BC6"/>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549E"/>
    <w:rsid w:val="00D560EA"/>
    <w:rsid w:val="00D56839"/>
    <w:rsid w:val="00D606F1"/>
    <w:rsid w:val="00D74B2C"/>
    <w:rsid w:val="00D77A2E"/>
    <w:rsid w:val="00D823F3"/>
    <w:rsid w:val="00D86E87"/>
    <w:rsid w:val="00D9006E"/>
    <w:rsid w:val="00D90CD8"/>
    <w:rsid w:val="00D90E75"/>
    <w:rsid w:val="00D91B7B"/>
    <w:rsid w:val="00D91CBB"/>
    <w:rsid w:val="00DB4439"/>
    <w:rsid w:val="00DB698A"/>
    <w:rsid w:val="00DC1FEA"/>
    <w:rsid w:val="00DC5429"/>
    <w:rsid w:val="00DC70D7"/>
    <w:rsid w:val="00DD4751"/>
    <w:rsid w:val="00DD6A4F"/>
    <w:rsid w:val="00DE3277"/>
    <w:rsid w:val="00DE7AB0"/>
    <w:rsid w:val="00DF7CE6"/>
    <w:rsid w:val="00E10B1F"/>
    <w:rsid w:val="00E124A4"/>
    <w:rsid w:val="00E16535"/>
    <w:rsid w:val="00E16AB6"/>
    <w:rsid w:val="00E23F75"/>
    <w:rsid w:val="00E33E30"/>
    <w:rsid w:val="00E40C79"/>
    <w:rsid w:val="00E52DE6"/>
    <w:rsid w:val="00E57EEA"/>
    <w:rsid w:val="00E635A2"/>
    <w:rsid w:val="00E63FEA"/>
    <w:rsid w:val="00E7594F"/>
    <w:rsid w:val="00E77C5B"/>
    <w:rsid w:val="00E809CF"/>
    <w:rsid w:val="00E858E3"/>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9A3"/>
    <w:rsid w:val="00F93CB8"/>
    <w:rsid w:val="00F97A17"/>
    <w:rsid w:val="00FA1403"/>
    <w:rsid w:val="00FA1A28"/>
    <w:rsid w:val="00FA1EA2"/>
    <w:rsid w:val="00FA3CBA"/>
    <w:rsid w:val="00FA6F2A"/>
    <w:rsid w:val="00FB255F"/>
    <w:rsid w:val="00FB3BEB"/>
    <w:rsid w:val="00FC03D9"/>
    <w:rsid w:val="00FC44EE"/>
    <w:rsid w:val="00FC7048"/>
    <w:rsid w:val="00FD0C28"/>
    <w:rsid w:val="00FD36AB"/>
    <w:rsid w:val="00FD3A6A"/>
    <w:rsid w:val="00FD4913"/>
    <w:rsid w:val="00FE53F0"/>
    <w:rsid w:val="00FE7AA7"/>
    <w:rsid w:val="00FF1388"/>
    <w:rsid w:val="00FF2213"/>
    <w:rsid w:val="00FF2485"/>
    <w:rsid w:val="00FF6405"/>
    <w:rsid w:val="02AA5506"/>
    <w:rsid w:val="109E6066"/>
    <w:rsid w:val="14A25A35"/>
    <w:rsid w:val="14B98DCC"/>
    <w:rsid w:val="2AA8DC34"/>
    <w:rsid w:val="2DD8B02F"/>
    <w:rsid w:val="53A7AAED"/>
    <w:rsid w:val="577B9304"/>
    <w:rsid w:val="5DF7188F"/>
    <w:rsid w:val="5E020AFC"/>
    <w:rsid w:val="6345386E"/>
    <w:rsid w:val="68B81842"/>
    <w:rsid w:val="72FE4E96"/>
    <w:rsid w:val="77681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table" w:styleId="Tablaconcuadrcula">
    <w:name w:val="Table Grid"/>
    <w:basedOn w:val="Tablanormal"/>
    <w:uiPriority w:val="39"/>
    <w:rsid w:val="00E858E3"/>
    <w:pPr>
      <w:spacing w:after="0" w:line="240" w:lineRule="auto"/>
    </w:pPr>
    <w:rPr>
      <w:kern w:val="2"/>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44330160">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12874792">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649386">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020801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77758299">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3A24230-DA8A-484D-82C9-F69E87341710}"/>
</file>

<file path=customXml/itemProps3.xml><?xml version="1.0" encoding="utf-8"?>
<ds:datastoreItem xmlns:ds="http://schemas.openxmlformats.org/officeDocument/2006/customXml" ds:itemID="{B27D17B1-A219-4C5D-B39F-93F52D9F17C4}"/>
</file>

<file path=customXml/itemProps4.xml><?xml version="1.0" encoding="utf-8"?>
<ds:datastoreItem xmlns:ds="http://schemas.openxmlformats.org/officeDocument/2006/customXml" ds:itemID="{2DEFA8B9-8F1C-4E91-9342-4C9E78E36D7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192</cp:revision>
  <cp:lastPrinted>2023-11-08T14:18:00Z</cp:lastPrinted>
  <dcterms:created xsi:type="dcterms:W3CDTF">2023-06-22T13:57:00Z</dcterms:created>
  <dcterms:modified xsi:type="dcterms:W3CDTF">2025-07-14T21:48:12Z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