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6EC2"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7F6EC2"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7F6EC2" w:rsidR="005A2126" w:rsidP="007F6EC2" w:rsidRDefault="00D00142" w14:paraId="4712B24D" w14:textId="66A1E2B5">
      <w:pPr>
        <w:pStyle w:val="Puesto"/>
        <w:tabs>
          <w:tab w:val="left" w:pos="2730"/>
          <w:tab w:val="center" w:pos="4419"/>
        </w:tabs>
        <w:outlineLvl w:val="0"/>
        <w:rPr>
          <w:sz w:val="23"/>
          <w:szCs w:val="23"/>
          <w:lang w:val="es-ES"/>
        </w:rPr>
      </w:pPr>
      <w:r w:rsidRPr="007F6EC2">
        <w:rPr>
          <w:rStyle w:val="Textoennegrita"/>
          <w:b/>
          <w:bCs/>
          <w:sz w:val="23"/>
          <w:szCs w:val="23"/>
          <w:lang w:val="es-ES"/>
        </w:rPr>
        <w:t xml:space="preserve">RESOLUCION </w:t>
      </w:r>
      <w:proofErr w:type="spellStart"/>
      <w:r w:rsidRPr="007F6EC2">
        <w:rPr>
          <w:rStyle w:val="Textoennegrita"/>
          <w:b/>
          <w:bCs/>
          <w:sz w:val="23"/>
          <w:szCs w:val="23"/>
          <w:lang w:val="es-ES"/>
        </w:rPr>
        <w:t>N°</w:t>
      </w:r>
      <w:proofErr w:type="spellEnd"/>
      <w:r w:rsidRPr="007F6EC2" w:rsidR="000341A4">
        <w:rPr>
          <w:rStyle w:val="Textoennegrita"/>
          <w:b/>
          <w:bCs/>
          <w:sz w:val="23"/>
          <w:szCs w:val="23"/>
          <w:lang w:val="es-ES"/>
        </w:rPr>
        <w:t xml:space="preserve"> </w:t>
      </w:r>
      <w:r w:rsidRPr="007F6EC2" w:rsidR="00BB32F1">
        <w:rPr>
          <w:rStyle w:val="Textoennegrita"/>
          <w:b/>
          <w:bCs/>
          <w:sz w:val="23"/>
          <w:szCs w:val="23"/>
          <w:lang w:val="es-ES"/>
        </w:rPr>
        <w:t>2</w:t>
      </w:r>
      <w:r w:rsidRPr="007F6EC2" w:rsidR="00FB1E10">
        <w:rPr>
          <w:rStyle w:val="Textoennegrita"/>
          <w:b/>
          <w:bCs/>
          <w:sz w:val="23"/>
          <w:szCs w:val="23"/>
          <w:lang w:val="es-ES"/>
        </w:rPr>
        <w:t>3</w:t>
      </w:r>
      <w:r w:rsidRPr="007F6EC2" w:rsidR="00E15D35">
        <w:rPr>
          <w:rStyle w:val="Textoennegrita"/>
          <w:b/>
          <w:bCs/>
          <w:sz w:val="23"/>
          <w:szCs w:val="23"/>
          <w:lang w:val="es-ES"/>
        </w:rPr>
        <w:t>7</w:t>
      </w:r>
      <w:r w:rsidRPr="007F6EC2">
        <w:rPr>
          <w:rStyle w:val="Textoennegrita"/>
          <w:b/>
          <w:bCs/>
          <w:sz w:val="23"/>
          <w:szCs w:val="23"/>
          <w:lang w:val="es-ES"/>
        </w:rPr>
        <w:t>/2</w:t>
      </w:r>
      <w:r w:rsidRPr="007F6EC2" w:rsidR="006C6213">
        <w:rPr>
          <w:rStyle w:val="Textoennegrita"/>
          <w:b/>
          <w:bCs/>
          <w:sz w:val="23"/>
          <w:szCs w:val="23"/>
          <w:lang w:val="es-ES"/>
        </w:rPr>
        <w:t>3</w:t>
      </w:r>
    </w:p>
    <w:p w:rsidRPr="007F6EC2" w:rsidR="005A2126" w:rsidP="005A2126" w:rsidRDefault="005A2126" w14:paraId="334F15E8" w14:textId="77777777">
      <w:pPr>
        <w:jc w:val="both"/>
        <w:outlineLvl w:val="0"/>
        <w:rPr>
          <w:rFonts w:ascii="Times New Roman" w:hAnsi="Times New Roman"/>
          <w:b/>
          <w:bCs/>
          <w:sz w:val="23"/>
          <w:szCs w:val="23"/>
        </w:rPr>
      </w:pPr>
      <w:r w:rsidRPr="007F6EC2">
        <w:rPr>
          <w:rFonts w:ascii="Times New Roman" w:hAnsi="Times New Roman"/>
          <w:b/>
          <w:bCs/>
          <w:sz w:val="23"/>
          <w:szCs w:val="23"/>
        </w:rPr>
        <w:t>Vistos:</w:t>
      </w:r>
    </w:p>
    <w:p w:rsidRPr="007F6EC2" w:rsidR="005A2126" w:rsidP="35F8DC2F" w:rsidRDefault="005A2126" w14:paraId="5FFDA160" w14:textId="5B52EC99">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3"/>
          <w:szCs w:val="23"/>
        </w:rPr>
      </w:pPr>
      <w:r w:rsidRPr="35F8DC2F" w:rsidR="2FC7A2A2">
        <w:rPr>
          <w:rFonts w:ascii="Times New Roman" w:hAnsi="Times New Roman"/>
          <w:sz w:val="23"/>
          <w:szCs w:val="23"/>
        </w:rPr>
        <w:t xml:space="preserve">Que, con fechas 01 y 23 de agosto de </w:t>
      </w:r>
      <w:r w:rsidRPr="35F8DC2F" w:rsidR="2FC7A2A2">
        <w:rPr>
          <w:rFonts w:ascii="Times New Roman" w:hAnsi="Times New Roman"/>
          <w:sz w:val="23"/>
          <w:szCs w:val="23"/>
        </w:rPr>
        <w:t>2023  don</w:t>
      </w:r>
      <w:r w:rsidRPr="35F8DC2F" w:rsidR="2FC7A2A2">
        <w:rPr>
          <w:rFonts w:ascii="Times New Roman" w:hAnsi="Times New Roman"/>
          <w:sz w:val="23"/>
          <w:szCs w:val="23"/>
        </w:rPr>
        <w:t xml:space="preserve"> </w:t>
      </w:r>
      <w:r w:rsidRPr="35F8DC2F" w:rsidR="38CF13C4">
        <w:rPr>
          <w:rFonts w:ascii="Times New Roman" w:hAnsi="Times New Roman"/>
          <w:sz w:val="23"/>
          <w:szCs w:val="23"/>
        </w:rPr>
        <w:t>.............................................................................</w:t>
      </w:r>
      <w:r w:rsidRPr="35F8DC2F" w:rsidR="2FC7A2A2">
        <w:rPr>
          <w:rFonts w:ascii="Times New Roman" w:hAnsi="Times New Roman"/>
          <w:sz w:val="23"/>
          <w:szCs w:val="23"/>
        </w:rPr>
        <w:t xml:space="preserve"> interpone reclamación ante esta Defensoría del Asegurado (DEFASEG) solicitando que </w:t>
      </w:r>
      <w:r w:rsidRPr="35F8DC2F" w:rsidR="673A81D8">
        <w:rPr>
          <w:rFonts w:ascii="Times New Roman" w:hAnsi="Times New Roman"/>
          <w:sz w:val="23"/>
          <w:szCs w:val="23"/>
        </w:rPr>
        <w:t>...................................</w:t>
      </w:r>
      <w:r w:rsidRPr="35F8DC2F" w:rsidR="2FC7A2A2">
        <w:rPr>
          <w:rFonts w:ascii="Times New Roman" w:hAnsi="Times New Roman"/>
          <w:sz w:val="23"/>
          <w:szCs w:val="23"/>
        </w:rPr>
        <w:t xml:space="preserve"> le otorgue la cobertura de Invalidez Total y Permanente respecto del seguro de desgravamen de su tarjeta de crédito y respecto de su préstamo </w:t>
      </w:r>
      <w:r w:rsidRPr="35F8DC2F" w:rsidR="2FC7A2A2">
        <w:rPr>
          <w:rFonts w:ascii="Times New Roman" w:hAnsi="Times New Roman"/>
          <w:sz w:val="23"/>
          <w:szCs w:val="23"/>
        </w:rPr>
        <w:t>Contifacil</w:t>
      </w:r>
      <w:r w:rsidRPr="35F8DC2F" w:rsidR="2FC7A2A2">
        <w:rPr>
          <w:rFonts w:ascii="Times New Roman" w:hAnsi="Times New Roman"/>
          <w:sz w:val="23"/>
          <w:szCs w:val="23"/>
        </w:rPr>
        <w:t xml:space="preserve">, conforme a las Pólizas </w:t>
      </w:r>
      <w:r w:rsidRPr="35F8DC2F" w:rsidR="2FC7A2A2">
        <w:rPr>
          <w:rFonts w:ascii="Times New Roman" w:hAnsi="Times New Roman"/>
          <w:sz w:val="23"/>
          <w:szCs w:val="23"/>
        </w:rPr>
        <w:t>Nº</w:t>
      </w:r>
      <w:r w:rsidRPr="35F8DC2F" w:rsidR="2FC7A2A2">
        <w:rPr>
          <w:rFonts w:ascii="Times New Roman" w:hAnsi="Times New Roman"/>
          <w:sz w:val="23"/>
          <w:szCs w:val="23"/>
        </w:rPr>
        <w:t xml:space="preserve"> </w:t>
      </w:r>
      <w:r w:rsidRPr="35F8DC2F" w:rsidR="1880A305">
        <w:rPr>
          <w:rFonts w:ascii="Times New Roman" w:hAnsi="Times New Roman"/>
          <w:sz w:val="23"/>
          <w:szCs w:val="23"/>
        </w:rPr>
        <w:t>...................................</w:t>
      </w:r>
      <w:r w:rsidRPr="35F8DC2F" w:rsidR="2FC7A2A2">
        <w:rPr>
          <w:rFonts w:ascii="Times New Roman" w:hAnsi="Times New Roman"/>
          <w:sz w:val="23"/>
          <w:szCs w:val="23"/>
        </w:rPr>
        <w:t xml:space="preserve"> y </w:t>
      </w:r>
      <w:r w:rsidRPr="35F8DC2F" w:rsidR="3FCC88A4">
        <w:rPr>
          <w:rFonts w:ascii="Times New Roman" w:hAnsi="Times New Roman"/>
          <w:sz w:val="23"/>
          <w:szCs w:val="23"/>
        </w:rPr>
        <w:t>...................................</w:t>
      </w:r>
      <w:r w:rsidRPr="35F8DC2F" w:rsidR="2FC7A2A2">
        <w:rPr>
          <w:rFonts w:ascii="Times New Roman" w:hAnsi="Times New Roman"/>
          <w:sz w:val="23"/>
          <w:szCs w:val="23"/>
        </w:rPr>
        <w:t xml:space="preserve">, respectivamente; </w:t>
      </w:r>
    </w:p>
    <w:p w:rsidRPr="007F6EC2" w:rsidR="005A2126" w:rsidP="005A2126" w:rsidRDefault="005A2126" w14:paraId="404B013C" w14:textId="77777777">
      <w:pPr>
        <w:jc w:val="both"/>
        <w:rPr>
          <w:rFonts w:ascii="Times New Roman" w:hAnsi="Times New Roman" w:eastAsia="Arial Unicode MS"/>
          <w:sz w:val="23"/>
          <w:szCs w:val="23"/>
        </w:rPr>
      </w:pPr>
      <w:r w:rsidRPr="007F6EC2">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7F6EC2" w:rsidR="005A2126" w:rsidP="005A2126" w:rsidRDefault="005A2126" w14:paraId="46E1C271" w14:textId="77777777">
      <w:pPr>
        <w:tabs>
          <w:tab w:val="num" w:pos="720"/>
        </w:tabs>
        <w:jc w:val="both"/>
        <w:rPr>
          <w:rFonts w:ascii="Times New Roman" w:hAnsi="Times New Roman"/>
          <w:sz w:val="23"/>
          <w:szCs w:val="23"/>
        </w:rPr>
      </w:pPr>
      <w:r w:rsidRPr="007F6EC2">
        <w:rPr>
          <w:rFonts w:ascii="Times New Roman" w:hAnsi="Times New Roman"/>
          <w:sz w:val="23"/>
          <w:szCs w:val="23"/>
        </w:rPr>
        <w:t>Que, habiéndosele corrido traslado el 29 de agosto de 2023 de la respectiva reclamación, la aseguradora solicitó un plazo adicional para presentar sus descargos, los cuales presenta el 19 de setiembre de 2023;</w:t>
      </w:r>
    </w:p>
    <w:p w:rsidRPr="007F6EC2" w:rsidR="005A2126" w:rsidP="005A2126" w:rsidRDefault="005A2126" w14:paraId="0BAA96BE" w14:textId="3F5F22B0">
      <w:pPr>
        <w:tabs>
          <w:tab w:val="num" w:pos="720"/>
        </w:tabs>
        <w:jc w:val="both"/>
        <w:rPr>
          <w:rFonts w:ascii="Times New Roman" w:hAnsi="Times New Roman"/>
          <w:sz w:val="23"/>
          <w:szCs w:val="23"/>
        </w:rPr>
      </w:pPr>
      <w:r w:rsidRPr="007F6EC2">
        <w:rPr>
          <w:rFonts w:ascii="Times New Roman" w:hAnsi="Times New Roman"/>
          <w:sz w:val="23"/>
          <w:szCs w:val="23"/>
        </w:rPr>
        <w:t xml:space="preserve">Que, el 30 de octubre de 2023 se realizó la correspondiente audiencia virtual de vista con la participación de la compañía de seguros y la inasistencia de la parte reclamante pese a haber sido oportunamente convocada, oportunidad en la cual se requirió a la aseguradora presentar documentación adicional, conforme consta en la correspondiente acta; </w:t>
      </w:r>
    </w:p>
    <w:p w:rsidRPr="007F6EC2" w:rsidR="005A2126" w:rsidP="005A2126" w:rsidRDefault="005A2126" w14:paraId="2A659ED0" w14:textId="77777777">
      <w:pPr>
        <w:tabs>
          <w:tab w:val="left" w:pos="2160"/>
        </w:tabs>
        <w:jc w:val="both"/>
        <w:rPr>
          <w:rFonts w:ascii="Times New Roman" w:hAnsi="Times New Roman"/>
          <w:sz w:val="23"/>
          <w:szCs w:val="23"/>
        </w:rPr>
      </w:pPr>
      <w:r w:rsidRPr="007F6EC2">
        <w:rPr>
          <w:rFonts w:ascii="Times New Roman" w:hAnsi="Times New Roman"/>
          <w:sz w:val="23"/>
          <w:szCs w:val="23"/>
        </w:rPr>
        <w:t xml:space="preserve">Que, el reclamante solicita que la DEFASEG se sirva atender su caso, sustentando su posición resumidamente en lo siguiente: a) Con fecha 23.05.23 solicitó la activación del seguro de su préstamo personal y tarjeta de crédito, por la cobertura de invalidez total y permanente dictaminada, adjuntando la documentación requerida; b) Con fecha 22.06.2023 recibió la comunicación de rechazo por preexistencia respecto del préstamo </w:t>
      </w:r>
      <w:proofErr w:type="spellStart"/>
      <w:r w:rsidRPr="007F6EC2">
        <w:rPr>
          <w:rFonts w:ascii="Times New Roman" w:hAnsi="Times New Roman"/>
          <w:sz w:val="23"/>
          <w:szCs w:val="23"/>
        </w:rPr>
        <w:t>Contifacil</w:t>
      </w:r>
      <w:proofErr w:type="spellEnd"/>
      <w:r w:rsidRPr="007F6EC2">
        <w:rPr>
          <w:rFonts w:ascii="Times New Roman" w:hAnsi="Times New Roman"/>
          <w:sz w:val="23"/>
          <w:szCs w:val="23"/>
        </w:rPr>
        <w:t>, sustentado en que en la historia clínica, con fecha 19.01.18 se hace referencia a episodios convulsivos; síntomas que padecía pero que no llegaron a confirmar un diagnóstico; d) con fecha 01.08.23 recibió la comunicación de rechazo a su solicitud del seguro de su tarjeta de crédito, sustentada en que en historia clínica de la Clínica Centenario Peruano Japonesa le diagnosticaron epilepsia y que dicho diagnóstico es preexistente a la contratación del seguro de desgravamen con inicio de vigencia 11 de julio de 2016, estando directamente relacionado con la causa de su invalidez; e) señala que no hay ningún estudio donde se indique que por un diagnóstico de epilepsia una persona va a padecer de Ataxia y si lo hubiera que lo compartan; por lo que discrepa de la posición de rechazo y solicita se activa la cobertura de seguro.</w:t>
      </w:r>
    </w:p>
    <w:p w:rsidRPr="007F6EC2" w:rsidR="005A2126" w:rsidP="005A2126" w:rsidRDefault="005A2126" w14:paraId="311F646E" w14:textId="3CCC134F">
      <w:pPr>
        <w:jc w:val="both"/>
        <w:rPr>
          <w:rFonts w:ascii="Times New Roman" w:hAnsi="Times New Roman"/>
          <w:sz w:val="23"/>
          <w:szCs w:val="23"/>
        </w:rPr>
      </w:pPr>
      <w:r w:rsidRPr="35F8DC2F" w:rsidR="2FC7A2A2">
        <w:rPr>
          <w:rFonts w:ascii="Times New Roman" w:hAnsi="Times New Roman"/>
          <w:sz w:val="23"/>
          <w:szCs w:val="23"/>
        </w:rPr>
        <w:t xml:space="preserve">Que, por su parte, en su contestación a la reclamación, </w:t>
      </w:r>
      <w:r w:rsidRPr="35F8DC2F" w:rsidR="673A81D8">
        <w:rPr>
          <w:rFonts w:ascii="Times New Roman" w:hAnsi="Times New Roman"/>
          <w:sz w:val="23"/>
          <w:szCs w:val="23"/>
        </w:rPr>
        <w:t>...................................</w:t>
      </w:r>
      <w:r w:rsidRPr="35F8DC2F" w:rsidR="2FC7A2A2">
        <w:rPr>
          <w:rFonts w:ascii="Times New Roman" w:hAnsi="Times New Roman"/>
          <w:sz w:val="23"/>
          <w:szCs w:val="23"/>
        </w:rPr>
        <w:t xml:space="preserve"> solicita que esta sea declarada infundada, por las razones que se enuncian resumidamente a continuación: a) el reclamante solicita se active la cobertura de dos pólizas: BBVA ATC Desempleo </w:t>
      </w:r>
      <w:r w:rsidRPr="35F8DC2F" w:rsidR="2FC7A2A2">
        <w:rPr>
          <w:rFonts w:ascii="Times New Roman" w:hAnsi="Times New Roman"/>
          <w:sz w:val="23"/>
          <w:szCs w:val="23"/>
        </w:rPr>
        <w:t>N°</w:t>
      </w:r>
      <w:r w:rsidRPr="35F8DC2F" w:rsidR="1880A305">
        <w:rPr>
          <w:rFonts w:ascii="Times New Roman" w:hAnsi="Times New Roman"/>
          <w:sz w:val="23"/>
          <w:szCs w:val="23"/>
        </w:rPr>
        <w:t>...................................</w:t>
      </w:r>
      <w:r w:rsidRPr="35F8DC2F" w:rsidR="2FC7A2A2">
        <w:rPr>
          <w:rFonts w:ascii="Times New Roman" w:hAnsi="Times New Roman"/>
          <w:sz w:val="23"/>
          <w:szCs w:val="23"/>
        </w:rPr>
        <w:t xml:space="preserve"> y </w:t>
      </w:r>
      <w:r w:rsidRPr="35F8DC2F" w:rsidR="2FC7A2A2">
        <w:rPr>
          <w:rFonts w:ascii="Times New Roman" w:hAnsi="Times New Roman"/>
          <w:sz w:val="23"/>
          <w:szCs w:val="23"/>
        </w:rPr>
        <w:t>N°</w:t>
      </w:r>
      <w:r w:rsidRPr="35F8DC2F" w:rsidR="2FC7A2A2">
        <w:rPr>
          <w:rFonts w:ascii="Times New Roman" w:hAnsi="Times New Roman"/>
          <w:sz w:val="23"/>
          <w:szCs w:val="23"/>
        </w:rPr>
        <w:t xml:space="preserve"> </w:t>
      </w:r>
      <w:r w:rsidRPr="35F8DC2F" w:rsidR="3FCC88A4">
        <w:rPr>
          <w:rFonts w:ascii="Times New Roman" w:hAnsi="Times New Roman"/>
          <w:sz w:val="23"/>
          <w:szCs w:val="23"/>
        </w:rPr>
        <w:t>...................................</w:t>
      </w:r>
      <w:r w:rsidRPr="35F8DC2F" w:rsidR="2FC7A2A2">
        <w:rPr>
          <w:rFonts w:ascii="Times New Roman" w:hAnsi="Times New Roman"/>
          <w:sz w:val="23"/>
          <w:szCs w:val="23"/>
        </w:rPr>
        <w:t xml:space="preserve">; b) tal como consta en las cartas de rechazo de fechas 22 de junio y 01 de agosto, el rechazo se sustentó en que el asegurado tenía enfermedades preexistentes a la fecha de contratación del seguro de desgravamen; c) el asegurado reclama la cobertura debido al Dictamen de Invalidez emitido el 24.04.23, en el cual se declara que padece de una invalidez total y permanente a consecuencia de la enfermedad “ataxia cerebelosa de iniciación tardía”; d) Conforme a lo establecido en el Certificado de Seguro de Desgravamen, “la aseguradora queda eximida de cualquier obligación en caso que el siniestro ocurra en las siguientes circunstancias: enfermedades preexistentes (…)”; e) tratándose de la </w:t>
      </w:r>
      <w:r w:rsidRPr="35F8DC2F" w:rsidR="2FC7A2A2">
        <w:rPr>
          <w:rFonts w:ascii="Times New Roman" w:hAnsi="Times New Roman"/>
          <w:sz w:val="23"/>
          <w:szCs w:val="23"/>
        </w:rPr>
        <w:t xml:space="preserve">Póliza BBVA Desempleo (tarjeta de crédito), con inicio de vigencia desde el 11 de julio de 2016, confirmaron que en el año 2,011 el asegurado tuvo una atención médica por especialidad de neurología y un diagnóstico de epilepsia; f) en el caso de Póliza BBVA Desempleo </w:t>
      </w:r>
      <w:r w:rsidRPr="35F8DC2F" w:rsidR="2FC7A2A2">
        <w:rPr>
          <w:rFonts w:ascii="Times New Roman" w:hAnsi="Times New Roman"/>
          <w:sz w:val="23"/>
          <w:szCs w:val="23"/>
        </w:rPr>
        <w:t>N°</w:t>
      </w:r>
      <w:r w:rsidRPr="35F8DC2F" w:rsidR="2FC7A2A2">
        <w:rPr>
          <w:rFonts w:ascii="Times New Roman" w:hAnsi="Times New Roman"/>
          <w:sz w:val="23"/>
          <w:szCs w:val="23"/>
        </w:rPr>
        <w:t xml:space="preserve"> </w:t>
      </w:r>
      <w:r w:rsidRPr="35F8DC2F" w:rsidR="3FCC88A4">
        <w:rPr>
          <w:rFonts w:ascii="Times New Roman" w:hAnsi="Times New Roman"/>
          <w:sz w:val="23"/>
          <w:szCs w:val="23"/>
        </w:rPr>
        <w:t>...................................</w:t>
      </w:r>
      <w:r w:rsidRPr="35F8DC2F" w:rsidR="2FC7A2A2">
        <w:rPr>
          <w:rFonts w:ascii="Times New Roman" w:hAnsi="Times New Roman"/>
          <w:sz w:val="23"/>
          <w:szCs w:val="23"/>
        </w:rPr>
        <w:t xml:space="preserve"> (préstamo </w:t>
      </w:r>
      <w:r w:rsidRPr="35F8DC2F" w:rsidR="2FC7A2A2">
        <w:rPr>
          <w:rFonts w:ascii="Times New Roman" w:hAnsi="Times New Roman"/>
          <w:sz w:val="23"/>
          <w:szCs w:val="23"/>
        </w:rPr>
        <w:t>Contifacil</w:t>
      </w:r>
      <w:r w:rsidRPr="35F8DC2F" w:rsidR="2FC7A2A2">
        <w:rPr>
          <w:rFonts w:ascii="Times New Roman" w:hAnsi="Times New Roman"/>
          <w:sz w:val="23"/>
          <w:szCs w:val="23"/>
        </w:rPr>
        <w:t>), con inicio de vigencia desde el año 2022, confirmaron que en el año 2018 el asegurado tuvo una atención médica en la cual se registraron episodios convulsivos, diplopía, inestabilidad, ansiedad, ataxia; g) añaden que la enfermedad preexistente que se le diagnosticó está definida como la repentina incapacidad de coordinar los movimientos musculares debido a una enfermedad o lesión al cerebelo; ello, en razón al daño en una parte del cerebro o a otras partes del sistema nervioso; señalan que esta enfermedad puede tener múltiples causas y que las intervenciones al asegurado tienen una causa directa con dicho diagnóstico; h) precisan que si bien el reclamante alega que el diagnóstico de la epilepsia no es causal absoluta de la enfermedad diagnosticada, ello no lo excluye de cumplir con todos los alcances y condiciones estipulados en la póliza y certificado de seguro; i) añaden que el certificado de seguro no limita las exclusiones a ciertas enfermedades específicas, sino que expresa de manera amplia que cualquier enfermedad preexistente será motivo de exclusión de la cobertura de la póliza; j) presentan la firma del asegurado en la parte final del Certificado de Seguro donde se aprecia que tomó conocimiento de las exclusiones; por lo que el reclamo debe ser declarado  infundado;</w:t>
      </w:r>
    </w:p>
    <w:p w:rsidRPr="007F6EC2" w:rsidR="005A2126" w:rsidP="005A2126" w:rsidRDefault="005A2126" w14:paraId="2AEAC3A3" w14:textId="77777777">
      <w:pPr>
        <w:jc w:val="both"/>
        <w:rPr>
          <w:rFonts w:ascii="Times New Roman" w:hAnsi="Times New Roman"/>
          <w:sz w:val="23"/>
          <w:szCs w:val="23"/>
        </w:rPr>
      </w:pPr>
      <w:r w:rsidRPr="007F6EC2">
        <w:rPr>
          <w:rFonts w:ascii="Times New Roman" w:hAnsi="Times New Roman"/>
          <w:sz w:val="23"/>
          <w:szCs w:val="23"/>
        </w:rPr>
        <w:t>Que, en la audiencia de vista se solicitó a la aseguradora, presentar la póliza completa para conocer los términos de la exclusión invocada, así como los certificados de seguros completos para verificar su oponibilidad y un informe médico sobre la relación causal entre epilepsia ya le enfermedad que origina la invalidez, para evaluar la configuración de la preexistencia.</w:t>
      </w:r>
    </w:p>
    <w:p w:rsidRPr="007F6EC2" w:rsidR="005A2126" w:rsidP="005A2126" w:rsidRDefault="005A2126" w14:paraId="7E2396A6" w14:textId="77777777">
      <w:pPr>
        <w:jc w:val="both"/>
        <w:rPr>
          <w:rFonts w:ascii="Times New Roman" w:hAnsi="Times New Roman"/>
          <w:sz w:val="23"/>
          <w:szCs w:val="23"/>
        </w:rPr>
      </w:pPr>
      <w:r w:rsidRPr="007F6EC2">
        <w:rPr>
          <w:rFonts w:ascii="Times New Roman" w:hAnsi="Times New Roman"/>
          <w:sz w:val="23"/>
          <w:szCs w:val="23"/>
        </w:rPr>
        <w:t>Que, ha transcurrido en exceso el plazo otorgado a la aseguradora para que presente lo requerido, sin que haya cumplido con lo solicitado, por lo que se resolverá el presente caso con la documentación que obra en el expediente.</w:t>
      </w:r>
    </w:p>
    <w:p w:rsidRPr="007F6EC2" w:rsidR="005A2126" w:rsidP="005A2126" w:rsidRDefault="005A2126" w14:paraId="188DFB04" w14:textId="37C13498">
      <w:pPr>
        <w:jc w:val="both"/>
        <w:outlineLvl w:val="0"/>
        <w:rPr>
          <w:rFonts w:ascii="Times New Roman" w:hAnsi="Times New Roman"/>
          <w:sz w:val="23"/>
          <w:szCs w:val="23"/>
        </w:rPr>
      </w:pPr>
      <w:r w:rsidRPr="007F6EC2">
        <w:rPr>
          <w:rStyle w:val="Textoennegrita"/>
          <w:rFonts w:ascii="Times New Roman" w:hAnsi="Times New Roman"/>
          <w:sz w:val="23"/>
          <w:szCs w:val="23"/>
        </w:rPr>
        <w:t>Considerando:</w:t>
      </w:r>
    </w:p>
    <w:p w:rsidRPr="007F6EC2" w:rsidR="005A2126" w:rsidP="005A2126" w:rsidRDefault="005A2126" w14:paraId="47276A5B" w14:textId="2BBAE55D">
      <w:pPr>
        <w:jc w:val="both"/>
        <w:rPr>
          <w:rStyle w:val="Textoennegrita"/>
          <w:rFonts w:ascii="Times New Roman" w:hAnsi="Times New Roman"/>
          <w:b w:val="0"/>
          <w:bCs w:val="0"/>
          <w:sz w:val="23"/>
          <w:szCs w:val="23"/>
        </w:rPr>
      </w:pPr>
      <w:r w:rsidRPr="007F6EC2">
        <w:rPr>
          <w:rFonts w:ascii="Times New Roman" w:hAnsi="Times New Roman"/>
          <w:b/>
          <w:sz w:val="23"/>
          <w:szCs w:val="23"/>
          <w:u w:val="single"/>
        </w:rPr>
        <w:t>Primero</w:t>
      </w:r>
      <w:r w:rsidRPr="007F6EC2">
        <w:rPr>
          <w:rFonts w:ascii="Times New Roman" w:hAnsi="Times New Roman"/>
          <w:b/>
          <w:sz w:val="23"/>
          <w:szCs w:val="23"/>
        </w:rPr>
        <w:t xml:space="preserve">: </w:t>
      </w:r>
      <w:r w:rsidRPr="007F6EC2">
        <w:rPr>
          <w:rFonts w:ascii="Times New Roman" w:hAnsi="Times New Roman"/>
          <w:sz w:val="23"/>
          <w:szCs w:val="23"/>
        </w:rPr>
        <w:t>Conforme a su Reglamento, la</w:t>
      </w:r>
      <w:r w:rsidRPr="007F6EC2">
        <w:rPr>
          <w:rFonts w:ascii="Times New Roman" w:hAnsi="Times New Roman"/>
          <w:b/>
          <w:bCs/>
          <w:sz w:val="23"/>
          <w:szCs w:val="23"/>
        </w:rPr>
        <w:t xml:space="preserve"> </w:t>
      </w:r>
      <w:r w:rsidRPr="007F6EC2">
        <w:rPr>
          <w:rFonts w:ascii="Times New Roman" w:hAnsi="Times New Roman"/>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F6EC2" w:rsidR="005A2126" w:rsidP="005A2126" w:rsidRDefault="005A2126" w14:paraId="71647876" w14:textId="3EADEEEE">
      <w:pPr>
        <w:jc w:val="both"/>
        <w:rPr>
          <w:rStyle w:val="Textoennegrita"/>
          <w:rFonts w:ascii="Times New Roman" w:hAnsi="Times New Roman"/>
          <w:b w:val="0"/>
          <w:sz w:val="23"/>
          <w:szCs w:val="23"/>
        </w:rPr>
      </w:pPr>
      <w:r w:rsidRPr="007F6EC2">
        <w:rPr>
          <w:rStyle w:val="Textoennegrita"/>
          <w:rFonts w:ascii="Times New Roman" w:hAnsi="Times New Roman"/>
          <w:sz w:val="23"/>
          <w:szCs w:val="23"/>
          <w:u w:val="single"/>
        </w:rPr>
        <w:t>Segundo</w:t>
      </w:r>
      <w:r w:rsidRPr="007F6EC2">
        <w:rPr>
          <w:rStyle w:val="Textoennegrita"/>
          <w:rFonts w:ascii="Times New Roman" w:hAnsi="Times New Roman"/>
          <w:sz w:val="23"/>
          <w:szCs w:val="23"/>
        </w:rPr>
        <w:t xml:space="preserve">: </w:t>
      </w:r>
      <w:r w:rsidRPr="007F6EC2">
        <w:rPr>
          <w:rFonts w:ascii="Times New Roman" w:hAnsi="Times New Roman"/>
          <w:sz w:val="23"/>
          <w:szCs w:val="23"/>
        </w:rPr>
        <w:t xml:space="preserve">Asimismo, de acuerdo a </w:t>
      </w:r>
      <w:r w:rsidRPr="007F6EC2">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las pretensiones indemnizatorias por daños y perjuicios, por reembolso de gastos, o idoneidad de servicios, son ajenas a la competencia funcional de esta Defensoría.</w:t>
      </w:r>
    </w:p>
    <w:p w:rsidRPr="007F6EC2" w:rsidR="005A2126" w:rsidP="005A2126" w:rsidRDefault="005A2126" w14:paraId="402209DB" w14:textId="4AC627D9">
      <w:pPr>
        <w:jc w:val="both"/>
        <w:rPr>
          <w:rFonts w:ascii="Times New Roman" w:hAnsi="Times New Roman"/>
          <w:sz w:val="23"/>
          <w:szCs w:val="23"/>
        </w:rPr>
      </w:pPr>
      <w:r w:rsidRPr="007F6EC2">
        <w:rPr>
          <w:rStyle w:val="Textoennegrita"/>
          <w:rFonts w:ascii="Times New Roman" w:hAnsi="Times New Roman"/>
          <w:sz w:val="23"/>
          <w:szCs w:val="23"/>
          <w:u w:val="single"/>
        </w:rPr>
        <w:t>Tercero</w:t>
      </w:r>
      <w:r w:rsidRPr="007F6EC2">
        <w:rPr>
          <w:rStyle w:val="Textoennegrita"/>
          <w:rFonts w:ascii="Times New Roman" w:hAnsi="Times New Roman"/>
          <w:sz w:val="23"/>
          <w:szCs w:val="23"/>
        </w:rPr>
        <w:t>:</w:t>
      </w:r>
      <w:r w:rsidRPr="007F6EC2">
        <w:rPr>
          <w:rFonts w:ascii="Times New Roman" w:hAnsi="Times New Roman"/>
          <w:sz w:val="23"/>
          <w:szCs w:val="23"/>
        </w:rPr>
        <w:t xml:space="preserve"> Que, el artículo 380 del Código de Comercio establece que el contrato de seguro se rige por los pactos lícitos contenidos en la respectiva póliza, siendo que el artículo 1 de la Ley Nro. 29946 – Ley del Contrato de Seguro dispone que por el contrato de seguro la aseguradora se obliga, mediante el cobro de una prima y para el caso de que se produzca el evento cuyo riesgo </w:t>
      </w:r>
      <w:r w:rsidRPr="007F6EC2">
        <w:rPr>
          <w:rFonts w:ascii="Times New Roman" w:hAnsi="Times New Roman"/>
          <w:sz w:val="23"/>
          <w:szCs w:val="23"/>
        </w:rPr>
        <w:t xml:space="preserve">es objeto de cobertura, a indemnizar -dentro de los límites pactados- el daño producido al asegurado o a satisfacer un capital, una renta u otras prestaciones convenidas, lo cual se encuentra enmarcado en una póliza que la aseguradora debe entregar al contratante, y cuyos requisitos mínimos están previstos en el artículo 26 de la señalada ley, sin perjuicio del régimen legal aplicable a las pólizas colectivas o grupales con el objeto de los asegurados no contratantes se encuentren efectiva, oportuna, adecuada y suficientemente informados sobre las condiciones de los contratos a los que se afilian, en especial las condiciones de cobertura y el régimen de exclusiones.  Este último régimen legal sustituye al que estuvo vigente hasta el 26 de mayo de 2013, dado que la Ley del Contrato de Seguro </w:t>
      </w:r>
      <w:proofErr w:type="gramStart"/>
      <w:r w:rsidRPr="007F6EC2">
        <w:rPr>
          <w:rFonts w:ascii="Times New Roman" w:hAnsi="Times New Roman"/>
          <w:sz w:val="23"/>
          <w:szCs w:val="23"/>
        </w:rPr>
        <w:t>entró en vigencia</w:t>
      </w:r>
      <w:proofErr w:type="gramEnd"/>
      <w:r w:rsidRPr="007F6EC2">
        <w:rPr>
          <w:rFonts w:ascii="Times New Roman" w:hAnsi="Times New Roman"/>
          <w:sz w:val="23"/>
          <w:szCs w:val="23"/>
        </w:rPr>
        <w:t xml:space="preserve"> el 27 de mayo de 2013.</w:t>
      </w:r>
    </w:p>
    <w:p w:rsidRPr="007F6EC2" w:rsidR="005A2126" w:rsidP="005A2126" w:rsidRDefault="005A2126" w14:paraId="727C415B" w14:textId="08FB0EE0">
      <w:pPr>
        <w:jc w:val="both"/>
        <w:rPr>
          <w:rStyle w:val="Textoennegrita"/>
          <w:rFonts w:ascii="Times New Roman" w:hAnsi="Times New Roman"/>
          <w:b w:val="0"/>
          <w:bCs w:val="0"/>
          <w:sz w:val="23"/>
          <w:szCs w:val="23"/>
        </w:rPr>
      </w:pPr>
      <w:r w:rsidRPr="007F6EC2">
        <w:rPr>
          <w:rFonts w:ascii="Times New Roman" w:hAnsi="Times New Roman"/>
          <w:b/>
          <w:sz w:val="23"/>
          <w:szCs w:val="23"/>
          <w:u w:val="single"/>
        </w:rPr>
        <w:t>Cuarto</w:t>
      </w:r>
      <w:r w:rsidRPr="007F6EC2">
        <w:rPr>
          <w:rFonts w:ascii="Times New Roman" w:hAnsi="Times New Roman"/>
          <w:b/>
          <w:sz w:val="23"/>
          <w:szCs w:val="23"/>
        </w:rPr>
        <w:t>:</w:t>
      </w:r>
      <w:r w:rsidRPr="007F6EC2">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F6EC2" w:rsidR="005A2126" w:rsidP="005A2126" w:rsidRDefault="005A2126" w14:paraId="0F824902" w14:textId="77777777">
      <w:pPr>
        <w:jc w:val="both"/>
        <w:rPr>
          <w:rFonts w:ascii="Times New Roman" w:hAnsi="Times New Roman"/>
          <w:sz w:val="23"/>
          <w:szCs w:val="23"/>
        </w:rPr>
      </w:pPr>
      <w:r w:rsidRPr="007F6EC2">
        <w:rPr>
          <w:rStyle w:val="Textoennegrita"/>
          <w:rFonts w:ascii="Times New Roman" w:hAnsi="Times New Roman"/>
          <w:sz w:val="23"/>
          <w:szCs w:val="23"/>
          <w:u w:val="single"/>
        </w:rPr>
        <w:t>Quinto</w:t>
      </w:r>
      <w:r w:rsidRPr="007F6EC2">
        <w:rPr>
          <w:rStyle w:val="Textoennegrita"/>
          <w:rFonts w:ascii="Times New Roman" w:hAnsi="Times New Roman"/>
          <w:sz w:val="23"/>
          <w:szCs w:val="23"/>
        </w:rPr>
        <w:t xml:space="preserve">: </w:t>
      </w:r>
      <w:r w:rsidRPr="007F6EC2">
        <w:rPr>
          <w:rStyle w:val="Textoennegrita"/>
          <w:rFonts w:ascii="Times New Roman" w:hAnsi="Times New Roman"/>
          <w:b w:val="0"/>
          <w:bCs w:val="0"/>
          <w:sz w:val="23"/>
          <w:szCs w:val="23"/>
        </w:rPr>
        <w:t>Que, conforme al</w:t>
      </w:r>
      <w:r w:rsidRPr="007F6EC2">
        <w:rPr>
          <w:rStyle w:val="Textoennegrita"/>
          <w:rFonts w:ascii="Times New Roman" w:hAnsi="Times New Roman"/>
          <w:sz w:val="23"/>
          <w:szCs w:val="23"/>
        </w:rPr>
        <w:t xml:space="preserve"> </w:t>
      </w:r>
      <w:r w:rsidRPr="007F6EC2">
        <w:rPr>
          <w:rFonts w:ascii="Times New Roman" w:hAnsi="Times New Roman"/>
          <w:sz w:val="23"/>
          <w:szCs w:val="23"/>
        </w:rPr>
        <w:t>artículo 196 del Código Procesal Civil, corresponde a quien invoca hechos, así como a quien los contradice invocando nuevos hechos, probar su existencia, salvo que aquel que esté sujeto a dicha carga procesal se acoja a alguna presunción legal.</w:t>
      </w:r>
    </w:p>
    <w:p w:rsidRPr="007F6EC2" w:rsidR="005A2126" w:rsidP="005A2126" w:rsidRDefault="005A2126" w14:paraId="012468E8" w14:textId="59E3B421">
      <w:pPr>
        <w:jc w:val="both"/>
        <w:rPr>
          <w:rFonts w:ascii="Times New Roman" w:hAnsi="Times New Roman"/>
          <w:sz w:val="23"/>
          <w:szCs w:val="23"/>
        </w:rPr>
      </w:pPr>
      <w:r w:rsidRPr="007F6EC2">
        <w:rPr>
          <w:rFonts w:ascii="Times New Roman" w:hAnsi="Times New Roman"/>
          <w:b/>
          <w:sz w:val="23"/>
          <w:szCs w:val="23"/>
          <w:u w:val="single"/>
        </w:rPr>
        <w:t>Sexto</w:t>
      </w:r>
      <w:r w:rsidRPr="007F6EC2">
        <w:rPr>
          <w:rFonts w:ascii="Times New Roman" w:hAnsi="Times New Roman"/>
          <w:b/>
          <w:sz w:val="23"/>
          <w:szCs w:val="23"/>
        </w:rPr>
        <w:t xml:space="preserve">: </w:t>
      </w:r>
      <w:proofErr w:type="gramStart"/>
      <w:r w:rsidRPr="007F6EC2">
        <w:rPr>
          <w:rFonts w:ascii="Times New Roman" w:hAnsi="Times New Roman"/>
          <w:sz w:val="23"/>
          <w:szCs w:val="23"/>
        </w:rPr>
        <w:t>En razón de</w:t>
      </w:r>
      <w:proofErr w:type="gramEnd"/>
      <w:r w:rsidRPr="007F6EC2">
        <w:rPr>
          <w:rFonts w:ascii="Times New Roman" w:hAnsi="Times New Roman"/>
          <w:sz w:val="23"/>
          <w:szCs w:val="23"/>
        </w:rPr>
        <w:t xml:space="preserve"> los términos de la reclamación y de la absolución de la misma, la cuestión controvertida radica en determinar si el rechazo de cobertura sustentado en enfermedad preexistente resulta o no legítimo.</w:t>
      </w:r>
    </w:p>
    <w:p w:rsidRPr="007F6EC2" w:rsidR="005A2126" w:rsidP="005A2126" w:rsidRDefault="005A2126" w14:paraId="62E34481" w14:textId="45D7DF7C">
      <w:pPr>
        <w:tabs>
          <w:tab w:val="left" w:pos="2160"/>
        </w:tabs>
        <w:jc w:val="both"/>
        <w:rPr>
          <w:rFonts w:ascii="Times New Roman" w:hAnsi="Times New Roman"/>
          <w:sz w:val="23"/>
          <w:szCs w:val="23"/>
        </w:rPr>
      </w:pPr>
      <w:r w:rsidRPr="007F6EC2">
        <w:rPr>
          <w:rFonts w:ascii="Times New Roman" w:hAnsi="Times New Roman"/>
          <w:sz w:val="23"/>
          <w:szCs w:val="23"/>
        </w:rPr>
        <w:t>Para ello se analizar los términos y oponibilidad de la exclusión, si se encuentra configurada. Y asimismo se analizará si el rechazo de cobertura fue notificado dentro del plazo que prevé la ley; o, por el contrario, se ha presentado la figura de siniestro consentido.</w:t>
      </w:r>
    </w:p>
    <w:p w:rsidRPr="007F6EC2" w:rsidR="005A2126" w:rsidP="005A2126" w:rsidRDefault="005A2126" w14:paraId="6A337850" w14:textId="0A6DEAE4">
      <w:pPr>
        <w:tabs>
          <w:tab w:val="left" w:pos="2160"/>
        </w:tabs>
        <w:jc w:val="both"/>
        <w:rPr>
          <w:rFonts w:ascii="Times New Roman" w:hAnsi="Times New Roman"/>
          <w:sz w:val="23"/>
          <w:szCs w:val="23"/>
        </w:rPr>
      </w:pPr>
      <w:r w:rsidRPr="007F6EC2">
        <w:rPr>
          <w:rFonts w:ascii="Times New Roman" w:hAnsi="Times New Roman"/>
          <w:sz w:val="23"/>
          <w:szCs w:val="23"/>
        </w:rPr>
        <w:t>Es importante resaltar que, en este caso, se reclaman la cobertura respecto de dos pólizas contratadas en dos fechas diferentes, por lo que se analizarán la oponibilidad y configuración de la exclusión, así como el cumplimiento del plazo para informar el rechazo, respecto de ambas pólizas de desgravamen.</w:t>
      </w:r>
    </w:p>
    <w:p w:rsidRPr="007F6EC2" w:rsidR="005A2126" w:rsidP="005A2126" w:rsidRDefault="005A2126" w14:paraId="11B1AF47" w14:textId="51927153">
      <w:pPr>
        <w:tabs>
          <w:tab w:val="left" w:pos="2160"/>
        </w:tabs>
        <w:jc w:val="both"/>
        <w:rPr>
          <w:rFonts w:ascii="Times New Roman" w:hAnsi="Times New Roman"/>
          <w:b/>
          <w:bCs/>
          <w:i/>
          <w:iCs/>
          <w:sz w:val="23"/>
          <w:szCs w:val="23"/>
        </w:rPr>
      </w:pPr>
      <w:r w:rsidRPr="007F6EC2">
        <w:rPr>
          <w:rFonts w:ascii="Times New Roman" w:hAnsi="Times New Roman"/>
          <w:b/>
          <w:bCs/>
          <w:i/>
          <w:iCs/>
          <w:sz w:val="23"/>
          <w:szCs w:val="23"/>
        </w:rPr>
        <w:t>Oponibilidad de la exclusión</w:t>
      </w:r>
    </w:p>
    <w:p w:rsidRPr="007F6EC2" w:rsidR="005A2126" w:rsidP="005A2126" w:rsidRDefault="005A2126" w14:paraId="0C737347" w14:textId="0E0351A8">
      <w:pPr>
        <w:tabs>
          <w:tab w:val="left" w:pos="709"/>
          <w:tab w:val="left" w:pos="2160"/>
        </w:tabs>
        <w:ind w:left="709" w:hanging="709"/>
        <w:jc w:val="both"/>
        <w:rPr>
          <w:rFonts w:ascii="Times New Roman" w:hAnsi="Times New Roman"/>
          <w:sz w:val="23"/>
          <w:szCs w:val="23"/>
        </w:rPr>
      </w:pPr>
      <w:r w:rsidRPr="35F8DC2F" w:rsidR="2FC7A2A2">
        <w:rPr>
          <w:rFonts w:ascii="Times New Roman" w:hAnsi="Times New Roman"/>
          <w:sz w:val="23"/>
          <w:szCs w:val="23"/>
        </w:rPr>
        <w:t>6.1.</w:t>
      </w:r>
      <w:r>
        <w:tab/>
      </w:r>
      <w:r w:rsidRPr="35F8DC2F" w:rsidR="2FC7A2A2">
        <w:rPr>
          <w:rFonts w:ascii="Times New Roman" w:hAnsi="Times New Roman"/>
          <w:sz w:val="23"/>
          <w:szCs w:val="23"/>
        </w:rPr>
        <w:t xml:space="preserve">De acuerdo a la información que obra en el expediente, estamos ante pólizas de naturaleza grupal o colectiva, de manera que el asegurado se afilia a una póliza cuyos términos y condiciones fueron concertados en su oportunidad por el Banco BBVA (como contratante no asegurada, beneficiaria) y </w:t>
      </w:r>
      <w:r w:rsidRPr="35F8DC2F" w:rsidR="673A81D8">
        <w:rPr>
          <w:rFonts w:ascii="Times New Roman" w:hAnsi="Times New Roman"/>
          <w:sz w:val="23"/>
          <w:szCs w:val="23"/>
        </w:rPr>
        <w:t>...................................</w:t>
      </w:r>
      <w:r w:rsidRPr="35F8DC2F" w:rsidR="2FC7A2A2">
        <w:rPr>
          <w:rFonts w:ascii="Times New Roman" w:hAnsi="Times New Roman"/>
          <w:sz w:val="23"/>
          <w:szCs w:val="23"/>
        </w:rPr>
        <w:t xml:space="preserve"> (como aseguradora contratante); en consecuencia, para que dichos términos y condiciones y, en particular las condiciones de cobertura y exclusiones, sean efectivamente oponibles a los asegurados no contratantes, las aseguradoras deben observar rigurosamente la obligación de entregar un certificado de seguro que contenga determinada información mínima respecto al respectivo contrato de seguro, así como un resumen informativo, siendo aplicable un régimen legal especial tuitivo para los asegurados no contratantes.  Corresponde a la aseguradora demostrar que cuidó de informar adecuada, oportuna y suficientemente a los asegurados no contratantes de aquellos pactos que pretende; de lo contrario no les resultan oponibles, tal como lo establece el artículo 137 de la Ley Nro. 29946 – Ley del Contrato de Seguro, que señala:  </w:t>
      </w:r>
      <w:r w:rsidRPr="35F8DC2F" w:rsidR="2FC7A2A2">
        <w:rPr>
          <w:rFonts w:ascii="Times New Roman" w:hAnsi="Times New Roman"/>
          <w:i w:val="1"/>
          <w:iCs w:val="1"/>
          <w:sz w:val="23"/>
          <w:szCs w:val="23"/>
        </w:rPr>
        <w:t>“No son oponibles al asegurado los contenidos contractuales que no hayan sido informados en el certificado mencionado en el artículo anterior, cuyo contenido mínimo se sujeta a las disposiciones de la Superintendencia”.</w:t>
      </w:r>
    </w:p>
    <w:p w:rsidRPr="007F6EC2" w:rsidR="005A2126" w:rsidP="005A2126" w:rsidRDefault="005A2126" w14:paraId="397B0991" w14:textId="209169DE">
      <w:pPr>
        <w:tabs>
          <w:tab w:val="left" w:pos="709"/>
          <w:tab w:val="left" w:pos="2160"/>
        </w:tabs>
        <w:ind w:left="709" w:hanging="709"/>
        <w:jc w:val="both"/>
        <w:rPr>
          <w:rFonts w:ascii="Times New Roman" w:hAnsi="Times New Roman"/>
          <w:sz w:val="23"/>
          <w:szCs w:val="23"/>
        </w:rPr>
      </w:pPr>
      <w:r w:rsidRPr="007F6EC2">
        <w:rPr>
          <w:rFonts w:ascii="Times New Roman" w:hAnsi="Times New Roman"/>
          <w:sz w:val="23"/>
          <w:szCs w:val="23"/>
        </w:rPr>
        <w:t>6.2.</w:t>
      </w:r>
      <w:r w:rsidRPr="007F6EC2">
        <w:rPr>
          <w:rFonts w:ascii="Times New Roman" w:hAnsi="Times New Roman"/>
          <w:sz w:val="23"/>
          <w:szCs w:val="23"/>
        </w:rPr>
        <w:tab/>
      </w:r>
      <w:r w:rsidRPr="007F6EC2">
        <w:rPr>
          <w:rFonts w:ascii="Times New Roman" w:hAnsi="Times New Roman"/>
          <w:sz w:val="23"/>
          <w:szCs w:val="23"/>
        </w:rPr>
        <w:t xml:space="preserve">En este caso no se ha presentado la póliza de seguro grupal contratada entre el Banco y la aseguradora, lo cual no permite verificar la exclusión invocada, y tampoco se ha presentado el cargo de entrega de los certificados de seguro entregados al asegurado, ni el certificado de seguro completo firmado. </w:t>
      </w:r>
    </w:p>
    <w:p w:rsidRPr="007F6EC2" w:rsidR="005A2126" w:rsidP="005A2126" w:rsidRDefault="005A2126" w14:paraId="4521430F" w14:textId="34F47666">
      <w:pPr>
        <w:tabs>
          <w:tab w:val="left" w:pos="709"/>
          <w:tab w:val="left" w:pos="2160"/>
        </w:tabs>
        <w:ind w:left="709" w:hanging="709"/>
        <w:jc w:val="both"/>
        <w:rPr>
          <w:rFonts w:ascii="Times New Roman" w:hAnsi="Times New Roman"/>
          <w:sz w:val="23"/>
          <w:szCs w:val="23"/>
        </w:rPr>
      </w:pPr>
      <w:r w:rsidRPr="007F6EC2">
        <w:rPr>
          <w:rFonts w:ascii="Times New Roman" w:hAnsi="Times New Roman"/>
          <w:sz w:val="23"/>
          <w:szCs w:val="23"/>
        </w:rPr>
        <w:tab/>
      </w:r>
      <w:r w:rsidRPr="007F6EC2">
        <w:rPr>
          <w:rFonts w:ascii="Times New Roman" w:hAnsi="Times New Roman"/>
          <w:sz w:val="23"/>
          <w:szCs w:val="23"/>
        </w:rPr>
        <w:t xml:space="preserve">En efecto, si bien la aseguradora ha copiado en sus descargos una imagen de la parte final de lo que sería un certificado de seguro, donde figura la firma </w:t>
      </w:r>
      <w:proofErr w:type="gramStart"/>
      <w:r w:rsidRPr="007F6EC2">
        <w:rPr>
          <w:rFonts w:ascii="Times New Roman" w:hAnsi="Times New Roman"/>
          <w:sz w:val="23"/>
          <w:szCs w:val="23"/>
        </w:rPr>
        <w:t>del aseguradora</w:t>
      </w:r>
      <w:proofErr w:type="gramEnd"/>
      <w:r w:rsidRPr="007F6EC2">
        <w:rPr>
          <w:rFonts w:ascii="Times New Roman" w:hAnsi="Times New Roman"/>
          <w:sz w:val="23"/>
          <w:szCs w:val="23"/>
        </w:rPr>
        <w:t xml:space="preserve">, dicho documento no lleva fecha, ni hace referencia a qué póliza se refiere, toda vez que es solo imagen incompleta. Del mismo modo se ha presentado un modelo de certificado, pero que no acredita la entrega </w:t>
      </w:r>
      <w:proofErr w:type="gramStart"/>
      <w:r w:rsidRPr="007F6EC2">
        <w:rPr>
          <w:rFonts w:ascii="Times New Roman" w:hAnsi="Times New Roman"/>
          <w:sz w:val="23"/>
          <w:szCs w:val="23"/>
        </w:rPr>
        <w:t>del mismo</w:t>
      </w:r>
      <w:proofErr w:type="gramEnd"/>
      <w:r w:rsidRPr="007F6EC2">
        <w:rPr>
          <w:rFonts w:ascii="Times New Roman" w:hAnsi="Times New Roman"/>
          <w:sz w:val="23"/>
          <w:szCs w:val="23"/>
        </w:rPr>
        <w:t xml:space="preserve"> al asegurado, en forma anterior a la contratación del seguro.</w:t>
      </w:r>
    </w:p>
    <w:p w:rsidRPr="007F6EC2" w:rsidR="005A2126" w:rsidP="005A2126" w:rsidRDefault="005A2126" w14:paraId="7FA51B23" w14:textId="0DA23BCC">
      <w:pPr>
        <w:tabs>
          <w:tab w:val="left" w:pos="709"/>
          <w:tab w:val="left" w:pos="2160"/>
        </w:tabs>
        <w:ind w:left="709" w:hanging="709"/>
        <w:jc w:val="both"/>
        <w:rPr>
          <w:rFonts w:ascii="Times New Roman" w:hAnsi="Times New Roman"/>
          <w:sz w:val="23"/>
          <w:szCs w:val="23"/>
        </w:rPr>
      </w:pPr>
      <w:r w:rsidRPr="007F6EC2">
        <w:rPr>
          <w:rFonts w:ascii="Times New Roman" w:hAnsi="Times New Roman"/>
          <w:sz w:val="23"/>
          <w:szCs w:val="23"/>
        </w:rPr>
        <w:tab/>
      </w:r>
      <w:r w:rsidRPr="007F6EC2">
        <w:rPr>
          <w:rFonts w:ascii="Times New Roman" w:hAnsi="Times New Roman"/>
          <w:sz w:val="23"/>
          <w:szCs w:val="23"/>
        </w:rPr>
        <w:t xml:space="preserve">Este solo hecho determina que el rechazo de cobertura informado respecto de ambas pólizas no resulte oponible al asegurado; </w:t>
      </w:r>
      <w:proofErr w:type="gramStart"/>
      <w:r w:rsidRPr="007F6EC2">
        <w:rPr>
          <w:rFonts w:ascii="Times New Roman" w:hAnsi="Times New Roman"/>
          <w:sz w:val="23"/>
          <w:szCs w:val="23"/>
        </w:rPr>
        <w:t>y</w:t>
      </w:r>
      <w:proofErr w:type="gramEnd"/>
      <w:r w:rsidRPr="007F6EC2">
        <w:rPr>
          <w:rFonts w:ascii="Times New Roman" w:hAnsi="Times New Roman"/>
          <w:sz w:val="23"/>
          <w:szCs w:val="23"/>
        </w:rPr>
        <w:t xml:space="preserve"> por tanto, que el rechazo no se encuentre ajustado a derecho. Sin embargo; como en vía de impugnación, la aseguradora podría presentar lo requerido, a continuación, se analizará si dicha exclusión (de haber sido pactada y comunicada) se encuentra configurada.</w:t>
      </w:r>
    </w:p>
    <w:p w:rsidRPr="007F6EC2" w:rsidR="005A2126" w:rsidP="005A2126" w:rsidRDefault="005A2126" w14:paraId="695EF910" w14:textId="3D34C486">
      <w:pPr>
        <w:tabs>
          <w:tab w:val="left" w:pos="709"/>
          <w:tab w:val="left" w:pos="2160"/>
        </w:tabs>
        <w:jc w:val="both"/>
        <w:rPr>
          <w:rFonts w:ascii="Times New Roman" w:hAnsi="Times New Roman"/>
          <w:b/>
          <w:bCs/>
          <w:i/>
          <w:iCs/>
          <w:sz w:val="23"/>
          <w:szCs w:val="23"/>
        </w:rPr>
      </w:pPr>
      <w:r w:rsidRPr="007F6EC2">
        <w:rPr>
          <w:rFonts w:ascii="Times New Roman" w:hAnsi="Times New Roman"/>
          <w:b/>
          <w:bCs/>
          <w:i/>
          <w:iCs/>
          <w:sz w:val="23"/>
          <w:szCs w:val="23"/>
        </w:rPr>
        <w:t>Configuración de la exclusión:</w:t>
      </w:r>
    </w:p>
    <w:p w:rsidRPr="007F6EC2" w:rsidR="005A2126" w:rsidP="005A2126" w:rsidRDefault="005A2126" w14:paraId="57305125" w14:textId="6F97AFC7">
      <w:pPr>
        <w:tabs>
          <w:tab w:val="left" w:pos="709"/>
          <w:tab w:val="left" w:pos="2160"/>
        </w:tabs>
        <w:ind w:left="709" w:hanging="709"/>
        <w:jc w:val="both"/>
        <w:rPr>
          <w:rFonts w:ascii="Times New Roman" w:hAnsi="Times New Roman"/>
          <w:sz w:val="23"/>
          <w:szCs w:val="23"/>
        </w:rPr>
      </w:pPr>
      <w:r w:rsidRPr="007F6EC2">
        <w:rPr>
          <w:rFonts w:ascii="Times New Roman" w:hAnsi="Times New Roman"/>
          <w:sz w:val="23"/>
          <w:szCs w:val="23"/>
        </w:rPr>
        <w:t xml:space="preserve">6.3. </w:t>
      </w:r>
      <w:r w:rsidRPr="007F6EC2">
        <w:rPr>
          <w:rFonts w:ascii="Times New Roman" w:hAnsi="Times New Roman"/>
          <w:sz w:val="23"/>
          <w:szCs w:val="23"/>
        </w:rPr>
        <w:tab/>
      </w:r>
      <w:r w:rsidRPr="007F6EC2">
        <w:rPr>
          <w:rFonts w:ascii="Times New Roman" w:hAnsi="Times New Roman"/>
          <w:sz w:val="23"/>
          <w:szCs w:val="23"/>
        </w:rPr>
        <w:t>Asumiendo que la exclusión fue pactada en los términos informados por la aseguradora, la misma demanda de una enfermedad preexistente diagnosticada conforme a la respectiva historia clínica antes de contratar los seguros; y, por una cuestión elemental de pertinencia, que la enfermedad ya diagnosticada, se relacione al siniestro respecto del cual, en su oportunidad, se solicite cobertura.</w:t>
      </w:r>
    </w:p>
    <w:p w:rsidRPr="007F6EC2" w:rsidR="005A2126" w:rsidP="005A2126" w:rsidRDefault="005A2126" w14:paraId="3C21DE96" w14:textId="70131600">
      <w:pPr>
        <w:tabs>
          <w:tab w:val="left" w:pos="709"/>
          <w:tab w:val="left" w:pos="2160"/>
        </w:tabs>
        <w:ind w:left="709"/>
        <w:jc w:val="both"/>
        <w:rPr>
          <w:rFonts w:ascii="Times New Roman" w:hAnsi="Times New Roman"/>
          <w:sz w:val="23"/>
          <w:szCs w:val="23"/>
        </w:rPr>
      </w:pPr>
      <w:r w:rsidRPr="007F6EC2">
        <w:rPr>
          <w:rFonts w:ascii="Times New Roman" w:hAnsi="Times New Roman"/>
          <w:sz w:val="23"/>
          <w:szCs w:val="23"/>
        </w:rPr>
        <w:t>En cuanto a lo que se entiende por preexistencia, resulta manifiesto que se trata de la enfermedad, patología o dolencia que hubiese sido diagnosticada antes de la incorporación al seguro correspondiente, al margen que se trate de una enfermedad bajo tratamiento o no, controlada o no.</w:t>
      </w:r>
    </w:p>
    <w:p w:rsidRPr="007F6EC2" w:rsidR="005A2126" w:rsidP="005A2126" w:rsidRDefault="005A2126" w14:paraId="00F91073" w14:textId="77777777">
      <w:pPr>
        <w:tabs>
          <w:tab w:val="left" w:pos="709"/>
          <w:tab w:val="left" w:pos="2160"/>
        </w:tabs>
        <w:ind w:left="709" w:hanging="709"/>
        <w:jc w:val="both"/>
        <w:rPr>
          <w:rFonts w:ascii="Times New Roman" w:hAnsi="Times New Roman"/>
          <w:sz w:val="23"/>
          <w:szCs w:val="23"/>
        </w:rPr>
      </w:pPr>
      <w:r w:rsidRPr="007F6EC2">
        <w:rPr>
          <w:rFonts w:ascii="Times New Roman" w:hAnsi="Times New Roman"/>
          <w:sz w:val="23"/>
          <w:szCs w:val="23"/>
        </w:rPr>
        <w:t>6.4.</w:t>
      </w:r>
      <w:r w:rsidRPr="007F6EC2">
        <w:rPr>
          <w:rFonts w:ascii="Times New Roman" w:hAnsi="Times New Roman"/>
          <w:sz w:val="23"/>
          <w:szCs w:val="23"/>
        </w:rPr>
        <w:tab/>
      </w:r>
      <w:r w:rsidRPr="007F6EC2">
        <w:rPr>
          <w:rFonts w:ascii="Times New Roman" w:hAnsi="Times New Roman"/>
          <w:sz w:val="23"/>
          <w:szCs w:val="23"/>
        </w:rPr>
        <w:t>El artículo 77 de la Ley Nro. 29946 – Ley del Contrato de Seguro, establece que la aseguradora tiene a su cargo demostrar las causas que la liberan de su prestación indemnizatoria y, de otro lado, el artículo 15 del Reglamento para la Gestión y Pago de Siniestros, aprobado por Resolución SBS Nro. 3202-2013, al regular lo relativo al rechazo de siniestros, exige que este último debe estar fundamentado, debiéndose informar del rechazo de manera detallada.</w:t>
      </w:r>
    </w:p>
    <w:p w:rsidR="005A2126" w:rsidP="005A2126" w:rsidRDefault="005A2126" w14:paraId="46398492" w14:textId="454EC04A">
      <w:pPr>
        <w:tabs>
          <w:tab w:val="left" w:pos="709"/>
          <w:tab w:val="left" w:pos="2160"/>
        </w:tabs>
        <w:ind w:left="709" w:hanging="709"/>
        <w:jc w:val="both"/>
        <w:rPr>
          <w:rFonts w:ascii="Times New Roman" w:hAnsi="Times New Roman"/>
          <w:sz w:val="23"/>
          <w:szCs w:val="23"/>
        </w:rPr>
      </w:pPr>
      <w:r w:rsidRPr="007F6EC2">
        <w:rPr>
          <w:rFonts w:ascii="Times New Roman" w:hAnsi="Times New Roman"/>
          <w:sz w:val="23"/>
          <w:szCs w:val="23"/>
        </w:rPr>
        <w:t xml:space="preserve">            </w:t>
      </w:r>
      <w:r w:rsidRPr="007F6EC2">
        <w:rPr>
          <w:rFonts w:ascii="Times New Roman" w:hAnsi="Times New Roman"/>
          <w:sz w:val="23"/>
          <w:szCs w:val="23"/>
        </w:rPr>
        <w:t xml:space="preserve">Al respecto, la aseguradora sostiene que el asegurado padecía de una ataxia cerebelosa de iniciación tardía, y que esta fue causa de la epilepsia que ocasiona su invalidez. Sin embargo, el asegurado discrepa de dicha posición, pues considera que no hay estudio alguno que indique que por un diagnóstico de epilepsia una persona va a padecer de ataxia, y si lo hubiera que lo compartan. Debido a ello, este colegiado requirió a la aseguradora presentar un informe médico que sustentara su posición, lo que no se cumplió </w:t>
      </w:r>
      <w:proofErr w:type="gramStart"/>
      <w:r w:rsidRPr="007F6EC2">
        <w:rPr>
          <w:rFonts w:ascii="Times New Roman" w:hAnsi="Times New Roman"/>
          <w:sz w:val="23"/>
          <w:szCs w:val="23"/>
        </w:rPr>
        <w:t>y</w:t>
      </w:r>
      <w:proofErr w:type="gramEnd"/>
      <w:r w:rsidRPr="007F6EC2">
        <w:rPr>
          <w:rFonts w:ascii="Times New Roman" w:hAnsi="Times New Roman"/>
          <w:sz w:val="23"/>
          <w:szCs w:val="23"/>
        </w:rPr>
        <w:t xml:space="preserve"> en consecuencia, el rechazo no ha sido debidamente justificado. </w:t>
      </w:r>
    </w:p>
    <w:p w:rsidR="002130EE" w:rsidP="005A2126" w:rsidRDefault="002130EE" w14:paraId="47765D1B" w14:textId="77777777">
      <w:pPr>
        <w:tabs>
          <w:tab w:val="left" w:pos="709"/>
          <w:tab w:val="left" w:pos="2160"/>
        </w:tabs>
        <w:ind w:left="709" w:hanging="709"/>
        <w:jc w:val="both"/>
        <w:rPr>
          <w:rFonts w:ascii="Times New Roman" w:hAnsi="Times New Roman"/>
          <w:sz w:val="23"/>
          <w:szCs w:val="23"/>
        </w:rPr>
      </w:pPr>
    </w:p>
    <w:p w:rsidRPr="007F6EC2" w:rsidR="002130EE" w:rsidP="005A2126" w:rsidRDefault="002130EE" w14:paraId="56E14551" w14:textId="77777777">
      <w:pPr>
        <w:tabs>
          <w:tab w:val="left" w:pos="709"/>
          <w:tab w:val="left" w:pos="2160"/>
        </w:tabs>
        <w:ind w:left="709" w:hanging="709"/>
        <w:jc w:val="both"/>
        <w:rPr>
          <w:rFonts w:ascii="Times New Roman" w:hAnsi="Times New Roman"/>
          <w:sz w:val="23"/>
          <w:szCs w:val="23"/>
        </w:rPr>
      </w:pPr>
    </w:p>
    <w:p w:rsidRPr="007F6EC2" w:rsidR="005A2126" w:rsidP="005A2126" w:rsidRDefault="005A2126" w14:paraId="31419F3A" w14:textId="414FE1BB">
      <w:pPr>
        <w:tabs>
          <w:tab w:val="left" w:pos="709"/>
          <w:tab w:val="left" w:pos="2160"/>
        </w:tabs>
        <w:jc w:val="both"/>
        <w:rPr>
          <w:rFonts w:ascii="Times New Roman" w:hAnsi="Times New Roman"/>
          <w:b/>
          <w:bCs/>
          <w:i/>
          <w:iCs/>
          <w:sz w:val="23"/>
          <w:szCs w:val="23"/>
        </w:rPr>
      </w:pPr>
      <w:r w:rsidRPr="007F6EC2">
        <w:rPr>
          <w:rFonts w:ascii="Times New Roman" w:hAnsi="Times New Roman"/>
          <w:b/>
          <w:bCs/>
          <w:i/>
          <w:iCs/>
          <w:sz w:val="23"/>
          <w:szCs w:val="23"/>
        </w:rPr>
        <w:t>Siniestro consentido:</w:t>
      </w:r>
    </w:p>
    <w:p w:rsidRPr="007F6EC2" w:rsidR="005A2126" w:rsidP="005A2126" w:rsidRDefault="005A2126" w14:paraId="61095C1D" w14:textId="04E35FF1">
      <w:pPr>
        <w:tabs>
          <w:tab w:val="left" w:pos="709"/>
          <w:tab w:val="left" w:pos="2160"/>
        </w:tabs>
        <w:ind w:left="709" w:hanging="709"/>
        <w:jc w:val="both"/>
        <w:rPr>
          <w:rFonts w:ascii="Times New Roman" w:hAnsi="Times New Roman"/>
          <w:sz w:val="23"/>
          <w:szCs w:val="23"/>
        </w:rPr>
      </w:pPr>
      <w:r w:rsidRPr="35F8DC2F" w:rsidR="2FC7A2A2">
        <w:rPr>
          <w:rFonts w:ascii="Times New Roman" w:hAnsi="Times New Roman"/>
          <w:sz w:val="23"/>
          <w:szCs w:val="23"/>
        </w:rPr>
        <w:t xml:space="preserve">6.5. </w:t>
      </w:r>
      <w:r>
        <w:tab/>
      </w:r>
      <w:r w:rsidRPr="35F8DC2F" w:rsidR="2FC7A2A2">
        <w:rPr>
          <w:rFonts w:ascii="Times New Roman" w:hAnsi="Times New Roman"/>
          <w:sz w:val="23"/>
          <w:szCs w:val="23"/>
        </w:rPr>
        <w:t xml:space="preserve">En cuanto al cumplimiento de los plazos para pronunciarse sobre la cobertura del seguro, este colegiado aprecia que mientras que las cartas de rechazo por ambas pólizas fueron presentadas en fechas distintas, siendo que la compañía tenía en su poder la información necesaria para pronunciarse sobre ambas pólizas en la misma fecha. Así la comunicación de rechazo respecto de la Póliza </w:t>
      </w:r>
      <w:r w:rsidRPr="35F8DC2F" w:rsidR="1880A305">
        <w:rPr>
          <w:rFonts w:ascii="Times New Roman" w:hAnsi="Times New Roman"/>
          <w:sz w:val="23"/>
          <w:szCs w:val="23"/>
        </w:rPr>
        <w:t>...................................</w:t>
      </w:r>
      <w:r w:rsidRPr="35F8DC2F" w:rsidR="2FC7A2A2">
        <w:rPr>
          <w:rFonts w:ascii="Times New Roman" w:hAnsi="Times New Roman"/>
          <w:sz w:val="23"/>
          <w:szCs w:val="23"/>
        </w:rPr>
        <w:t xml:space="preserve"> lleva fecha del 01 de agosto de 2023, mientras que la comunicación de rechazo respecto de la Póliza </w:t>
      </w:r>
      <w:r w:rsidRPr="35F8DC2F" w:rsidR="3FCC88A4">
        <w:rPr>
          <w:rFonts w:ascii="Times New Roman" w:hAnsi="Times New Roman"/>
          <w:sz w:val="23"/>
          <w:szCs w:val="23"/>
        </w:rPr>
        <w:t>...................................</w:t>
      </w:r>
      <w:r w:rsidRPr="35F8DC2F" w:rsidR="2FC7A2A2">
        <w:rPr>
          <w:rFonts w:ascii="Times New Roman" w:hAnsi="Times New Roman"/>
          <w:sz w:val="23"/>
          <w:szCs w:val="23"/>
        </w:rPr>
        <w:t xml:space="preserve"> lleva fecha del 22 de junio de 2023, de donde se concluye que la carta de rechazo respecto de </w:t>
      </w:r>
      <w:r w:rsidRPr="35F8DC2F" w:rsidR="2FC7A2A2">
        <w:rPr>
          <w:rFonts w:ascii="Times New Roman" w:hAnsi="Times New Roman"/>
          <w:sz w:val="23"/>
          <w:szCs w:val="23"/>
        </w:rPr>
        <w:t>la  Póliza</w:t>
      </w:r>
      <w:r w:rsidRPr="35F8DC2F" w:rsidR="2FC7A2A2">
        <w:rPr>
          <w:rFonts w:ascii="Times New Roman" w:hAnsi="Times New Roman"/>
          <w:sz w:val="23"/>
          <w:szCs w:val="23"/>
        </w:rPr>
        <w:t xml:space="preserve"> </w:t>
      </w:r>
      <w:r w:rsidRPr="35F8DC2F" w:rsidR="1880A305">
        <w:rPr>
          <w:rFonts w:ascii="Times New Roman" w:hAnsi="Times New Roman"/>
          <w:sz w:val="23"/>
          <w:szCs w:val="23"/>
        </w:rPr>
        <w:t>...................................</w:t>
      </w:r>
      <w:r w:rsidRPr="35F8DC2F" w:rsidR="2FC7A2A2">
        <w:rPr>
          <w:rFonts w:ascii="Times New Roman" w:hAnsi="Times New Roman"/>
          <w:sz w:val="23"/>
          <w:szCs w:val="23"/>
        </w:rPr>
        <w:t xml:space="preserve"> </w:t>
      </w:r>
      <w:r w:rsidRPr="35F8DC2F" w:rsidR="2FC7A2A2">
        <w:rPr>
          <w:rFonts w:ascii="Times New Roman" w:hAnsi="Times New Roman"/>
          <w:sz w:val="23"/>
          <w:szCs w:val="23"/>
        </w:rPr>
        <w:t>habría sido cursada en forma extemporánea, habiendo en ese caso operado la figura del siniestro consentido, y sin perjuicio de las conclusiones sobre la ilegitimidad del rechazo previamente señaladas.</w:t>
      </w:r>
    </w:p>
    <w:p w:rsidRPr="007F6EC2" w:rsidR="005A2126" w:rsidP="005A2126" w:rsidRDefault="005A2126" w14:paraId="3F1FA69E" w14:textId="77777777">
      <w:pPr>
        <w:tabs>
          <w:tab w:val="left" w:pos="709"/>
        </w:tabs>
        <w:ind w:left="709" w:hanging="709"/>
        <w:jc w:val="both"/>
        <w:rPr>
          <w:rFonts w:ascii="Times New Roman" w:hAnsi="Times New Roman"/>
          <w:sz w:val="23"/>
          <w:szCs w:val="23"/>
        </w:rPr>
      </w:pPr>
      <w:r w:rsidRPr="007F6EC2">
        <w:rPr>
          <w:rFonts w:ascii="Times New Roman" w:hAnsi="Times New Roman"/>
          <w:sz w:val="23"/>
          <w:szCs w:val="23"/>
        </w:rPr>
        <w:tab/>
      </w:r>
      <w:r w:rsidRPr="007F6EC2">
        <w:rPr>
          <w:rFonts w:ascii="Times New Roman" w:hAnsi="Times New Roman"/>
          <w:sz w:val="23"/>
          <w:szCs w:val="23"/>
        </w:rPr>
        <w:t>Se deja expresa constancia que la evaluación de este aspecto, de oficio, radica no sólo en la verificación del cumplimiento de la ley, sino en la adecuada protección de quien no conoce necesariamente de la normativa en materia de seguros y de las reglas que resguardan sus intereses, máxime cuando para recurrir a este colegiado no se exige de asesoría o patrocinio de letrado, conforme consta del Reglamento de la DEFASEG.</w:t>
      </w:r>
    </w:p>
    <w:p w:rsidRPr="007F6EC2" w:rsidR="005A2126" w:rsidP="005A2126" w:rsidRDefault="005A2126" w14:paraId="36F9C5AA" w14:textId="4E0AE188">
      <w:pPr>
        <w:tabs>
          <w:tab w:val="left" w:pos="2386"/>
        </w:tabs>
        <w:jc w:val="both"/>
        <w:outlineLvl w:val="0"/>
        <w:rPr>
          <w:rFonts w:ascii="Times New Roman" w:hAnsi="Times New Roman"/>
          <w:b/>
          <w:sz w:val="23"/>
          <w:szCs w:val="23"/>
          <w:lang w:val="es-ES"/>
        </w:rPr>
      </w:pPr>
      <w:r w:rsidRPr="007F6EC2">
        <w:rPr>
          <w:rFonts w:ascii="Times New Roman" w:hAnsi="Times New Roman"/>
          <w:b/>
          <w:sz w:val="23"/>
          <w:szCs w:val="23"/>
        </w:rPr>
        <w:t>Atendiendo a lo expresado, este colegiado concluye su apreciación razonada y conjunta al amparo de lo establecido en su Reglamento estimando que existen razones fundadas para calificar que el rechazo de cobertura al cual se contrae la presente reclamación carece de legitimidad por lo que resuelve:</w:t>
      </w:r>
    </w:p>
    <w:p w:rsidRPr="007F6EC2" w:rsidR="00313D64" w:rsidP="005A2126" w:rsidRDefault="005A2126" w14:paraId="089260A7" w14:textId="62E3A32A">
      <w:pPr>
        <w:spacing w:after="0" w:line="240" w:lineRule="auto"/>
        <w:jc w:val="both"/>
        <w:rPr>
          <w:rFonts w:ascii="Times New Roman" w:hAnsi="Times New Roman"/>
          <w:sz w:val="23"/>
          <w:szCs w:val="23"/>
          <w:lang w:val="es-MX"/>
        </w:rPr>
      </w:pPr>
      <w:r w:rsidRPr="35F8DC2F" w:rsidR="2FC7A2A2">
        <w:rPr>
          <w:rFonts w:ascii="Times New Roman" w:hAnsi="Times New Roman" w:eastAsia="Arial Unicode MS"/>
          <w:sz w:val="23"/>
          <w:szCs w:val="23"/>
        </w:rPr>
        <w:t xml:space="preserve">Declarar </w:t>
      </w:r>
      <w:r w:rsidRPr="35F8DC2F" w:rsidR="2FC7A2A2">
        <w:rPr>
          <w:rFonts w:ascii="Times New Roman" w:hAnsi="Times New Roman" w:eastAsia="Arial Unicode MS"/>
          <w:b w:val="1"/>
          <w:bCs w:val="1"/>
          <w:sz w:val="23"/>
          <w:szCs w:val="23"/>
        </w:rPr>
        <w:t>FUNDADA</w:t>
      </w:r>
      <w:r w:rsidRPr="35F8DC2F" w:rsidR="2FC7A2A2">
        <w:rPr>
          <w:rFonts w:ascii="Times New Roman" w:hAnsi="Times New Roman" w:eastAsia="Arial Unicode MS"/>
          <w:sz w:val="23"/>
          <w:szCs w:val="23"/>
        </w:rPr>
        <w:t xml:space="preserve"> la reclamación interpuesta por</w:t>
      </w:r>
      <w:r w:rsidRPr="35F8DC2F" w:rsidR="2FC7A2A2">
        <w:rPr>
          <w:rFonts w:ascii="Times New Roman" w:hAnsi="Times New Roman"/>
          <w:sz w:val="23"/>
          <w:szCs w:val="23"/>
        </w:rPr>
        <w:t xml:space="preserve"> don </w:t>
      </w:r>
      <w:r w:rsidRPr="35F8DC2F" w:rsidR="38CF13C4">
        <w:rPr>
          <w:rFonts w:ascii="Times New Roman" w:hAnsi="Times New Roman"/>
          <w:sz w:val="23"/>
          <w:szCs w:val="23"/>
        </w:rPr>
        <w:t>.............................................................................</w:t>
      </w:r>
      <w:r w:rsidRPr="35F8DC2F" w:rsidR="2FC7A2A2">
        <w:rPr>
          <w:rFonts w:ascii="Times New Roman" w:hAnsi="Times New Roman"/>
          <w:sz w:val="23"/>
          <w:szCs w:val="23"/>
        </w:rPr>
        <w:t xml:space="preserve"> contra </w:t>
      </w:r>
      <w:r w:rsidRPr="35F8DC2F" w:rsidR="673A81D8">
        <w:rPr>
          <w:rFonts w:ascii="Times New Roman" w:hAnsi="Times New Roman"/>
          <w:sz w:val="23"/>
          <w:szCs w:val="23"/>
        </w:rPr>
        <w:t>...................................</w:t>
      </w:r>
      <w:r w:rsidRPr="35F8DC2F" w:rsidR="5D654394">
        <w:rPr>
          <w:rFonts w:ascii="Times New Roman" w:hAnsi="Times New Roman"/>
          <w:sz w:val="23"/>
          <w:szCs w:val="23"/>
        </w:rPr>
        <w:t>.</w:t>
      </w:r>
    </w:p>
    <w:p w:rsidRPr="007F6EC2" w:rsidR="00F07C74" w:rsidP="00767845" w:rsidRDefault="00D00142" w14:paraId="109CA284" w14:textId="4D2D0DE4">
      <w:pPr>
        <w:jc w:val="right"/>
        <w:rPr>
          <w:rFonts w:ascii="Times New Roman" w:hAnsi="Times New Roman"/>
          <w:sz w:val="23"/>
          <w:szCs w:val="23"/>
        </w:rPr>
      </w:pPr>
      <w:r w:rsidRPr="007F6EC2">
        <w:rPr>
          <w:rFonts w:ascii="Times New Roman" w:hAnsi="Times New Roman"/>
          <w:sz w:val="23"/>
          <w:szCs w:val="23"/>
        </w:rPr>
        <w:t>Lima,</w:t>
      </w:r>
      <w:r w:rsidRPr="007F6EC2" w:rsidR="0034229F">
        <w:rPr>
          <w:rFonts w:ascii="Times New Roman" w:hAnsi="Times New Roman"/>
          <w:sz w:val="23"/>
          <w:szCs w:val="23"/>
        </w:rPr>
        <w:t xml:space="preserve"> </w:t>
      </w:r>
      <w:r w:rsidRPr="007F6EC2" w:rsidR="007C51E3">
        <w:rPr>
          <w:rFonts w:ascii="Times New Roman" w:hAnsi="Times New Roman"/>
          <w:sz w:val="23"/>
          <w:szCs w:val="23"/>
        </w:rPr>
        <w:t>1</w:t>
      </w:r>
      <w:r w:rsidRPr="007F6EC2" w:rsidR="00E15D35">
        <w:rPr>
          <w:rFonts w:ascii="Times New Roman" w:hAnsi="Times New Roman"/>
          <w:sz w:val="23"/>
          <w:szCs w:val="23"/>
        </w:rPr>
        <w:t>4</w:t>
      </w:r>
      <w:r w:rsidRPr="007F6EC2" w:rsidR="00FB1E10">
        <w:rPr>
          <w:rFonts w:ascii="Times New Roman" w:hAnsi="Times New Roman"/>
          <w:sz w:val="23"/>
          <w:szCs w:val="23"/>
        </w:rPr>
        <w:t xml:space="preserve"> </w:t>
      </w:r>
      <w:r w:rsidRPr="007F6EC2">
        <w:rPr>
          <w:rFonts w:ascii="Times New Roman" w:hAnsi="Times New Roman"/>
          <w:sz w:val="23"/>
          <w:szCs w:val="23"/>
        </w:rPr>
        <w:t>de</w:t>
      </w:r>
      <w:r w:rsidRPr="007F6EC2" w:rsidR="00C75095">
        <w:rPr>
          <w:rFonts w:ascii="Times New Roman" w:hAnsi="Times New Roman"/>
          <w:sz w:val="23"/>
          <w:szCs w:val="23"/>
        </w:rPr>
        <w:t xml:space="preserve"> </w:t>
      </w:r>
      <w:r w:rsidRPr="007F6EC2" w:rsidR="00FB1E10">
        <w:rPr>
          <w:rFonts w:ascii="Times New Roman" w:hAnsi="Times New Roman"/>
          <w:sz w:val="23"/>
          <w:szCs w:val="23"/>
        </w:rPr>
        <w:t>diciembre</w:t>
      </w:r>
      <w:r w:rsidRPr="007F6EC2">
        <w:rPr>
          <w:rFonts w:ascii="Times New Roman" w:hAnsi="Times New Roman"/>
          <w:sz w:val="23"/>
          <w:szCs w:val="23"/>
        </w:rPr>
        <w:t xml:space="preserve"> de 202</w:t>
      </w:r>
      <w:r w:rsidRPr="007F6EC2" w:rsidR="006C6213">
        <w:rPr>
          <w:rFonts w:ascii="Times New Roman" w:hAnsi="Times New Roman"/>
          <w:sz w:val="23"/>
          <w:szCs w:val="23"/>
        </w:rPr>
        <w:t>3</w:t>
      </w:r>
    </w:p>
    <w:p w:rsidRPr="007F6EC2" w:rsidR="00F07C74" w:rsidP="35F8DC2F" w:rsidRDefault="00F07C74" w14:paraId="57FA2984" w14:textId="44BEF96B">
      <w:pPr>
        <w:spacing w:line="240" w:lineRule="auto"/>
        <w:jc w:val="both"/>
        <w:rPr>
          <w:rFonts w:ascii="Times New Roman" w:hAnsi="Times New Roman"/>
          <w:b w:val="1"/>
          <w:bCs w:val="1"/>
          <w:i w:val="1"/>
          <w:iCs w:val="1"/>
          <w:sz w:val="23"/>
          <w:szCs w:val="23"/>
          <w:lang w:val="es-ES"/>
        </w:rPr>
      </w:pPr>
      <w:r w:rsidRPr="35F8DC2F" w:rsidR="7B576928">
        <w:rPr>
          <w:rFonts w:ascii="Times New Roman" w:hAnsi="Times New Roman"/>
          <w:b w:val="1"/>
          <w:bCs w:val="1"/>
          <w:i w:val="1"/>
          <w:iCs w:val="1"/>
          <w:sz w:val="23"/>
          <w:szCs w:val="23"/>
          <w:lang w:val="es-ES"/>
        </w:rPr>
        <w:t>La Secretaría Técnica certifica que la presente resolución cuenta con el voto de los vocales cuyos nombres figuran en el presente documento.</w:t>
      </w:r>
    </w:p>
    <w:p w:rsidRPr="007F6EC2" w:rsidR="00F07C74" w:rsidP="004D781D" w:rsidRDefault="00F07C74" w14:paraId="33178CDD" w14:textId="77777777">
      <w:pPr>
        <w:spacing w:line="240" w:lineRule="auto"/>
        <w:jc w:val="center"/>
        <w:rPr>
          <w:rFonts w:ascii="Times New Roman" w:hAnsi="Times New Roman"/>
          <w:b/>
          <w:bCs/>
          <w:sz w:val="23"/>
          <w:szCs w:val="23"/>
        </w:rPr>
      </w:pPr>
      <w:r w:rsidRPr="007F6EC2">
        <w:rPr>
          <w:rFonts w:ascii="Times New Roman" w:hAnsi="Times New Roman"/>
          <w:b/>
          <w:bCs/>
          <w:sz w:val="23"/>
          <w:szCs w:val="23"/>
        </w:rPr>
        <w:t xml:space="preserve">Rolando Eyzaguirre </w:t>
      </w:r>
      <w:proofErr w:type="spellStart"/>
      <w:r w:rsidRPr="007F6EC2">
        <w:rPr>
          <w:rFonts w:ascii="Times New Roman" w:hAnsi="Times New Roman"/>
          <w:b/>
          <w:bCs/>
          <w:sz w:val="23"/>
          <w:szCs w:val="23"/>
        </w:rPr>
        <w:t>Maccan</w:t>
      </w:r>
      <w:proofErr w:type="spellEnd"/>
      <w:r w:rsidRPr="007F6EC2">
        <w:rPr>
          <w:rFonts w:ascii="Times New Roman" w:hAnsi="Times New Roman"/>
          <w:b/>
          <w:bCs/>
          <w:sz w:val="23"/>
          <w:szCs w:val="23"/>
        </w:rPr>
        <w:t xml:space="preserve"> – </w:t>
      </w:r>
      <w:proofErr w:type="gramStart"/>
      <w:r w:rsidRPr="007F6EC2">
        <w:rPr>
          <w:rFonts w:ascii="Times New Roman" w:hAnsi="Times New Roman"/>
          <w:b/>
          <w:bCs/>
          <w:sz w:val="23"/>
          <w:szCs w:val="23"/>
        </w:rPr>
        <w:t>Presidente</w:t>
      </w:r>
      <w:proofErr w:type="gramEnd"/>
    </w:p>
    <w:p w:rsidRPr="007F6EC2" w:rsidR="00F07C74" w:rsidP="004D781D" w:rsidRDefault="00F07C74" w14:paraId="2983C0F2" w14:textId="77777777">
      <w:pPr>
        <w:spacing w:line="240" w:lineRule="auto"/>
        <w:jc w:val="center"/>
        <w:rPr>
          <w:rFonts w:ascii="Times New Roman" w:hAnsi="Times New Roman"/>
          <w:b/>
          <w:bCs/>
          <w:sz w:val="23"/>
          <w:szCs w:val="23"/>
        </w:rPr>
      </w:pPr>
      <w:r w:rsidRPr="007F6EC2">
        <w:rPr>
          <w:rFonts w:ascii="Times New Roman" w:hAnsi="Times New Roman"/>
          <w:b/>
          <w:bCs/>
          <w:sz w:val="23"/>
          <w:szCs w:val="23"/>
        </w:rPr>
        <w:t>María Eugenia Valdez Fernández Baca – Vocal</w:t>
      </w:r>
    </w:p>
    <w:p w:rsidRPr="007F6EC2" w:rsidR="00F07C74" w:rsidP="004D781D" w:rsidRDefault="00F07C74" w14:paraId="3E8DC268" w14:textId="77777777">
      <w:pPr>
        <w:spacing w:line="240" w:lineRule="auto"/>
        <w:jc w:val="center"/>
        <w:rPr>
          <w:rFonts w:ascii="Times New Roman" w:hAnsi="Times New Roman"/>
          <w:b/>
          <w:bCs/>
          <w:sz w:val="23"/>
          <w:szCs w:val="23"/>
        </w:rPr>
      </w:pPr>
      <w:r w:rsidRPr="007F6EC2">
        <w:rPr>
          <w:rFonts w:ascii="Times New Roman" w:hAnsi="Times New Roman"/>
          <w:b/>
          <w:bCs/>
          <w:sz w:val="23"/>
          <w:szCs w:val="23"/>
        </w:rPr>
        <w:t>Omar Alfaro Villanueva – Vocal</w:t>
      </w:r>
    </w:p>
    <w:p w:rsidRPr="005A2126" w:rsidR="0089374D" w:rsidP="35F8DC2F" w:rsidRDefault="0089374D" w14:paraId="7A3A0BC6" w14:textId="1AC4C387">
      <w:pPr>
        <w:spacing w:line="240" w:lineRule="auto"/>
        <w:jc w:val="center"/>
        <w:rPr>
          <w:rFonts w:ascii="Times New Roman" w:hAnsi="Times New Roman"/>
          <w:sz w:val="23"/>
          <w:szCs w:val="23"/>
          <w:lang w:val="es-MX"/>
        </w:rPr>
      </w:pPr>
      <w:r w:rsidRPr="35F8DC2F" w:rsidR="7B576928">
        <w:rPr>
          <w:rFonts w:ascii="Times New Roman" w:hAnsi="Times New Roman"/>
          <w:b w:val="1"/>
          <w:bCs w:val="1"/>
          <w:sz w:val="23"/>
          <w:szCs w:val="23"/>
        </w:rPr>
        <w:t>Gonzalo Abad del Busto - Vocal</w:t>
      </w:r>
    </w:p>
    <w:sectPr w:rsidRPr="005A2126"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384A" w:rsidP="00722F1A" w:rsidRDefault="003A384A" w14:paraId="767CFF92" w14:textId="77777777">
      <w:pPr>
        <w:spacing w:after="0" w:line="240" w:lineRule="auto"/>
      </w:pPr>
      <w:r>
        <w:separator/>
      </w:r>
    </w:p>
  </w:endnote>
  <w:endnote w:type="continuationSeparator" w:id="0">
    <w:p w:rsidR="003A384A" w:rsidP="00722F1A" w:rsidRDefault="003A384A" w14:paraId="31CC1B85" w14:textId="77777777">
      <w:pPr>
        <w:spacing w:after="0" w:line="240" w:lineRule="auto"/>
      </w:pPr>
      <w:r>
        <w:continuationSeparator/>
      </w:r>
    </w:p>
  </w:endnote>
  <w:endnote w:type="continuationNotice" w:id="1">
    <w:p w:rsidR="003A384A" w:rsidRDefault="003A384A" w14:paraId="41B64CE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384A" w:rsidP="00722F1A" w:rsidRDefault="003A384A" w14:paraId="363E726A" w14:textId="77777777">
      <w:pPr>
        <w:spacing w:after="0" w:line="240" w:lineRule="auto"/>
      </w:pPr>
      <w:r>
        <w:separator/>
      </w:r>
    </w:p>
  </w:footnote>
  <w:footnote w:type="continuationSeparator" w:id="0">
    <w:p w:rsidR="003A384A" w:rsidP="00722F1A" w:rsidRDefault="003A384A" w14:paraId="76C0E038" w14:textId="77777777">
      <w:pPr>
        <w:spacing w:after="0" w:line="240" w:lineRule="auto"/>
      </w:pPr>
      <w:r>
        <w:continuationSeparator/>
      </w:r>
    </w:p>
  </w:footnote>
  <w:footnote w:type="continuationNotice" w:id="1">
    <w:p w:rsidR="003A384A" w:rsidRDefault="003A384A" w14:paraId="5E89C37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05B4"/>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6640"/>
    <w:rsid w:val="00197A32"/>
    <w:rsid w:val="001A2C08"/>
    <w:rsid w:val="001A6119"/>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7F6EC2"/>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1880A305"/>
    <w:rsid w:val="2FC7A2A2"/>
    <w:rsid w:val="35F8DC2F"/>
    <w:rsid w:val="38CF13C4"/>
    <w:rsid w:val="3FCC88A4"/>
    <w:rsid w:val="440F8116"/>
    <w:rsid w:val="5D654394"/>
    <w:rsid w:val="673A81D8"/>
    <w:rsid w:val="7A26722F"/>
    <w:rsid w:val="7B576928"/>
    <w:rsid w:val="7E0AE51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4A376D2-5967-4A64-8195-93D0FAAEA19E}"/>
</file>

<file path=customXml/itemProps3.xml><?xml version="1.0" encoding="utf-8"?>
<ds:datastoreItem xmlns:ds="http://schemas.openxmlformats.org/officeDocument/2006/customXml" ds:itemID="{CA6F6797-A530-4FAE-AF2A-C77FE86EE3EE}"/>
</file>

<file path=customXml/itemProps4.xml><?xml version="1.0" encoding="utf-8"?>
<ds:datastoreItem xmlns:ds="http://schemas.openxmlformats.org/officeDocument/2006/customXml" ds:itemID="{A6492F4C-E8C3-4242-BE7D-2BDCDFE9AA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690</cp:revision>
  <cp:lastPrinted>2023-12-14T16:34:00Z</cp:lastPrinted>
  <dcterms:created xsi:type="dcterms:W3CDTF">2022-12-22T22:59:00Z</dcterms:created>
  <dcterms:modified xsi:type="dcterms:W3CDTF">2025-07-22T19:36:15Z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