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C2D03"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4C2D03"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4C2D03" w:rsidR="004C2D03" w:rsidP="004C2D03" w:rsidRDefault="00D00142" w14:paraId="1AD01369" w14:textId="2F147D7F">
      <w:pPr>
        <w:pStyle w:val="Puesto"/>
        <w:tabs>
          <w:tab w:val="left" w:pos="2730"/>
          <w:tab w:val="center" w:pos="4419"/>
        </w:tabs>
        <w:outlineLvl w:val="0"/>
        <w:rPr>
          <w:sz w:val="23"/>
          <w:szCs w:val="23"/>
          <w:lang w:val="es-ES"/>
        </w:rPr>
      </w:pPr>
      <w:r w:rsidRPr="004C2D03">
        <w:rPr>
          <w:rStyle w:val="Textoennegrita"/>
          <w:b/>
          <w:bCs/>
          <w:sz w:val="23"/>
          <w:szCs w:val="23"/>
          <w:lang w:val="es-ES"/>
        </w:rPr>
        <w:t xml:space="preserve">RESOLUCION </w:t>
      </w:r>
      <w:proofErr w:type="spellStart"/>
      <w:r w:rsidRPr="004C2D03">
        <w:rPr>
          <w:rStyle w:val="Textoennegrita"/>
          <w:b/>
          <w:bCs/>
          <w:sz w:val="23"/>
          <w:szCs w:val="23"/>
          <w:lang w:val="es-ES"/>
        </w:rPr>
        <w:t>N°</w:t>
      </w:r>
      <w:proofErr w:type="spellEnd"/>
      <w:r w:rsidRPr="004C2D03" w:rsidR="000341A4">
        <w:rPr>
          <w:rStyle w:val="Textoennegrita"/>
          <w:b/>
          <w:bCs/>
          <w:sz w:val="23"/>
          <w:szCs w:val="23"/>
          <w:lang w:val="es-ES"/>
        </w:rPr>
        <w:t xml:space="preserve"> </w:t>
      </w:r>
      <w:r w:rsidRPr="004C2D03" w:rsidR="00BB32F1">
        <w:rPr>
          <w:rStyle w:val="Textoennegrita"/>
          <w:b/>
          <w:bCs/>
          <w:sz w:val="23"/>
          <w:szCs w:val="23"/>
          <w:lang w:val="es-ES"/>
        </w:rPr>
        <w:t>2</w:t>
      </w:r>
      <w:r w:rsidRPr="004C2D03" w:rsidR="00965981">
        <w:rPr>
          <w:rStyle w:val="Textoennegrita"/>
          <w:b/>
          <w:bCs/>
          <w:sz w:val="23"/>
          <w:szCs w:val="23"/>
          <w:lang w:val="es-ES"/>
        </w:rPr>
        <w:t>5</w:t>
      </w:r>
      <w:r w:rsidRPr="004C2D03" w:rsidR="00C45DD3">
        <w:rPr>
          <w:rStyle w:val="Textoennegrita"/>
          <w:b/>
          <w:bCs/>
          <w:sz w:val="23"/>
          <w:szCs w:val="23"/>
          <w:lang w:val="es-ES"/>
        </w:rPr>
        <w:t>3</w:t>
      </w:r>
      <w:r w:rsidRPr="004C2D03">
        <w:rPr>
          <w:rStyle w:val="Textoennegrita"/>
          <w:b/>
          <w:bCs/>
          <w:sz w:val="23"/>
          <w:szCs w:val="23"/>
          <w:lang w:val="es-ES"/>
        </w:rPr>
        <w:t>/2</w:t>
      </w:r>
      <w:r w:rsidRPr="004C2D03" w:rsidR="006C6213">
        <w:rPr>
          <w:rStyle w:val="Textoennegrita"/>
          <w:b/>
          <w:bCs/>
          <w:sz w:val="23"/>
          <w:szCs w:val="23"/>
          <w:lang w:val="es-ES"/>
        </w:rPr>
        <w:t>3</w:t>
      </w:r>
    </w:p>
    <w:p w:rsidRPr="004C2D03" w:rsidR="004C2D03" w:rsidP="004C2D03" w:rsidRDefault="004C2D03" w14:paraId="07B1A869" w14:textId="01BCCF35">
      <w:pPr>
        <w:jc w:val="both"/>
        <w:outlineLvl w:val="0"/>
        <w:rPr>
          <w:rFonts w:ascii="Times New Roman" w:hAnsi="Times New Roman"/>
          <w:b/>
          <w:bCs/>
          <w:sz w:val="23"/>
          <w:szCs w:val="23"/>
        </w:rPr>
      </w:pPr>
      <w:r w:rsidRPr="3583EBE9" w:rsidR="004C2D03">
        <w:rPr>
          <w:rFonts w:ascii="Times New Roman" w:hAnsi="Times New Roman"/>
          <w:b w:val="1"/>
          <w:bCs w:val="1"/>
          <w:sz w:val="23"/>
          <w:szCs w:val="23"/>
        </w:rPr>
        <w:t>Vistos:</w:t>
      </w:r>
    </w:p>
    <w:p w:rsidR="3583EBE9" w:rsidP="3583EBE9" w:rsidRDefault="3583EBE9" w14:paraId="7D61840C" w14:textId="4B06AE17">
      <w:pPr>
        <w:jc w:val="both"/>
        <w:outlineLvl w:val="0"/>
        <w:rPr>
          <w:rFonts w:ascii="Times New Roman" w:hAnsi="Times New Roman"/>
          <w:b w:val="1"/>
          <w:bCs w:val="1"/>
          <w:sz w:val="23"/>
          <w:szCs w:val="23"/>
        </w:rPr>
      </w:pPr>
    </w:p>
    <w:p w:rsidRPr="004C2D03" w:rsidR="004C2D03" w:rsidP="3583EBE9" w:rsidRDefault="004C2D03" w14:paraId="35CE9F16" w14:textId="66A1A83C">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sz w:val="23"/>
          <w:szCs w:val="23"/>
        </w:rPr>
      </w:pPr>
      <w:r w:rsidRPr="3583EBE9" w:rsidR="004C2D03">
        <w:rPr>
          <w:rFonts w:ascii="Times New Roman" w:hAnsi="Times New Roman"/>
          <w:sz w:val="23"/>
          <w:szCs w:val="23"/>
        </w:rPr>
        <w:t xml:space="preserve">Que, doña </w:t>
      </w:r>
      <w:r w:rsidRPr="3583EBE9" w:rsidR="00EAF703">
        <w:rPr>
          <w:rFonts w:ascii="Times New Roman" w:hAnsi="Times New Roman"/>
          <w:sz w:val="23"/>
          <w:szCs w:val="23"/>
        </w:rPr>
        <w:t>............................................................................</w:t>
      </w:r>
      <w:r w:rsidRPr="3583EBE9" w:rsidR="004C2D03">
        <w:rPr>
          <w:rFonts w:ascii="Times New Roman" w:hAnsi="Times New Roman"/>
          <w:sz w:val="23"/>
          <w:szCs w:val="23"/>
        </w:rPr>
        <w:t xml:space="preserve">, interpone reclamación ante esta Defensoría del Asegurado (DEFASEG) solicitando que </w:t>
      </w:r>
      <w:r w:rsidRPr="3583EBE9" w:rsidR="7452A0B4">
        <w:rPr>
          <w:rFonts w:ascii="Times New Roman" w:hAnsi="Times New Roman"/>
          <w:sz w:val="23"/>
          <w:szCs w:val="23"/>
        </w:rPr>
        <w:t>............................................................................</w:t>
      </w:r>
      <w:r w:rsidRPr="3583EBE9" w:rsidR="004C2D03">
        <w:rPr>
          <w:rFonts w:ascii="Times New Roman" w:hAnsi="Times New Roman"/>
          <w:sz w:val="23"/>
          <w:szCs w:val="23"/>
        </w:rPr>
        <w:t xml:space="preserve"> (</w:t>
      </w:r>
      <w:r w:rsidRPr="3583EBE9" w:rsidR="74419655">
        <w:rPr>
          <w:rFonts w:ascii="Times New Roman" w:hAnsi="Times New Roman"/>
          <w:sz w:val="23"/>
          <w:szCs w:val="23"/>
        </w:rPr>
        <w:t>...................</w:t>
      </w:r>
      <w:r w:rsidRPr="3583EBE9" w:rsidR="004C2D03">
        <w:rPr>
          <w:rFonts w:ascii="Times New Roman" w:hAnsi="Times New Roman"/>
          <w:sz w:val="23"/>
          <w:szCs w:val="23"/>
        </w:rPr>
        <w:t xml:space="preserve">) otorga cobertura de salud a la carta de garantía solicitada por la Clínica Limatambo Cajamarca conforme a la póliza de seguro de asistencia médica Viva Salud por el diagnóstico de litiasis vesicular conforme a la Póliza de Seguro de Salud </w:t>
      </w:r>
      <w:r w:rsidRPr="3583EBE9" w:rsidR="004C2D03">
        <w:rPr>
          <w:rFonts w:ascii="Times New Roman" w:hAnsi="Times New Roman"/>
          <w:sz w:val="23"/>
          <w:szCs w:val="23"/>
        </w:rPr>
        <w:t>Nº</w:t>
      </w:r>
      <w:r w:rsidRPr="3583EBE9" w:rsidR="004C2D03">
        <w:rPr>
          <w:rFonts w:ascii="Times New Roman" w:hAnsi="Times New Roman"/>
          <w:sz w:val="23"/>
          <w:szCs w:val="23"/>
        </w:rPr>
        <w:t xml:space="preserve"> </w:t>
      </w:r>
      <w:r w:rsidRPr="3583EBE9" w:rsidR="2EE302D1">
        <w:rPr>
          <w:rFonts w:ascii="Times New Roman" w:hAnsi="Times New Roman"/>
          <w:sz w:val="23"/>
          <w:szCs w:val="23"/>
        </w:rPr>
        <w:t>.................................</w:t>
      </w:r>
      <w:r w:rsidRPr="3583EBE9" w:rsidR="004C2D03">
        <w:rPr>
          <w:rFonts w:ascii="Times New Roman" w:hAnsi="Times New Roman"/>
          <w:sz w:val="23"/>
          <w:szCs w:val="23"/>
        </w:rPr>
        <w:t xml:space="preserve">; </w:t>
      </w:r>
    </w:p>
    <w:p w:rsidRPr="004C2D03" w:rsidR="004C2D03" w:rsidP="004C2D03" w:rsidRDefault="004C2D03" w14:paraId="02C58E0F" w14:textId="2F8DD22F">
      <w:pPr>
        <w:jc w:val="both"/>
        <w:rPr>
          <w:rFonts w:ascii="Times New Roman" w:hAnsi="Times New Roman" w:eastAsia="Arial Unicode MS"/>
          <w:sz w:val="23"/>
          <w:szCs w:val="23"/>
        </w:rPr>
      </w:pPr>
      <w:r w:rsidRPr="004C2D03">
        <w:rPr>
          <w:rFonts w:ascii="Times New Roman" w:hAnsi="Times New Roman" w:eastAsia="Arial Unicode MS"/>
          <w:sz w:val="23"/>
          <w:szCs w:val="23"/>
        </w:rPr>
        <w:t>Que, la señalada reclamación cumple con los requisitos de materia, cuantía y oportunidad establecidos en el Reglamento de la DEFASEG (http://www.defaseg.com.pe/reglamento.html);</w:t>
      </w:r>
    </w:p>
    <w:p w:rsidRPr="004C2D03" w:rsidR="004C2D03" w:rsidP="004C2D03" w:rsidRDefault="004C2D03" w14:paraId="201B022C" w14:textId="74B7A90B">
      <w:pPr>
        <w:tabs>
          <w:tab w:val="num" w:pos="720"/>
        </w:tabs>
        <w:jc w:val="both"/>
        <w:rPr>
          <w:rFonts w:ascii="Times New Roman" w:hAnsi="Times New Roman"/>
          <w:sz w:val="23"/>
          <w:szCs w:val="23"/>
        </w:rPr>
      </w:pPr>
      <w:r w:rsidRPr="3583EBE9" w:rsidR="004C2D03">
        <w:rPr>
          <w:rFonts w:ascii="Times New Roman" w:hAnsi="Times New Roman"/>
          <w:sz w:val="23"/>
          <w:szCs w:val="23"/>
        </w:rPr>
        <w:t xml:space="preserve">Que, habiéndose corrido traslado de la respectiva reclamación a </w:t>
      </w:r>
      <w:r w:rsidRPr="3583EBE9" w:rsidR="74419655">
        <w:rPr>
          <w:rFonts w:ascii="Times New Roman" w:hAnsi="Times New Roman"/>
          <w:sz w:val="23"/>
          <w:szCs w:val="23"/>
        </w:rPr>
        <w:t>...................</w:t>
      </w:r>
      <w:r w:rsidRPr="3583EBE9" w:rsidR="004C2D03">
        <w:rPr>
          <w:rFonts w:ascii="Times New Roman" w:hAnsi="Times New Roman"/>
          <w:sz w:val="23"/>
          <w:szCs w:val="23"/>
        </w:rPr>
        <w:t xml:space="preserve"> ésta solicitó un plazo adicional para presentar sus descargos los cuales finalmente presenta el 24 de octubre de 2023;</w:t>
      </w:r>
    </w:p>
    <w:p w:rsidRPr="004C2D03" w:rsidR="004C2D03" w:rsidP="004C2D03" w:rsidRDefault="004C2D03" w14:paraId="7355C180" w14:textId="6D2BAD28">
      <w:pPr>
        <w:tabs>
          <w:tab w:val="num" w:pos="720"/>
        </w:tabs>
        <w:jc w:val="both"/>
        <w:rPr>
          <w:rFonts w:ascii="Times New Roman" w:hAnsi="Times New Roman"/>
          <w:sz w:val="23"/>
          <w:szCs w:val="23"/>
        </w:rPr>
      </w:pPr>
      <w:r w:rsidRPr="004C2D03">
        <w:rPr>
          <w:rFonts w:ascii="Times New Roman" w:hAnsi="Times New Roman"/>
          <w:sz w:val="23"/>
          <w:szCs w:val="23"/>
        </w:rPr>
        <w:t>Que, el 18 de diciembre de 2023 se realizó la audiencia virtual de vista con la sola concurrencia de la aseguradora, la cual sustentó su respectiva posición, y sin la asistencia de la parte reclamante pese a haber sido oportunamente convocada;</w:t>
      </w:r>
    </w:p>
    <w:p w:rsidRPr="004C2D03" w:rsidR="004C2D03" w:rsidP="3583EBE9" w:rsidRDefault="004C2D03" w14:paraId="17956020" w14:textId="595FC4ED">
      <w:pPr>
        <w:pStyle w:val="paragraph"/>
        <w:spacing w:before="0" w:beforeAutospacing="off" w:after="0" w:afterAutospacing="off"/>
        <w:jc w:val="both"/>
        <w:textAlignment w:val="baseline"/>
        <w:rPr>
          <w:rStyle w:val="normaltextrun"/>
          <w:sz w:val="23"/>
          <w:szCs w:val="23"/>
          <w:lang w:val="es-PE"/>
        </w:rPr>
      </w:pPr>
      <w:r w:rsidRPr="3583EBE9" w:rsidR="004C2D03">
        <w:rPr>
          <w:sz w:val="23"/>
          <w:szCs w:val="23"/>
          <w:lang w:val="es-PE"/>
        </w:rPr>
        <w:t xml:space="preserve">Que, el reclamo se sustenta resumidamente en lo siguiente: a) no se encuentra de acuerdo con el </w:t>
      </w:r>
      <w:r w:rsidRPr="3583EBE9" w:rsidR="004C2D03">
        <w:rPr>
          <w:rStyle w:val="normaltextrun"/>
          <w:sz w:val="23"/>
          <w:szCs w:val="23"/>
          <w:lang w:val="es-PE"/>
        </w:rPr>
        <w:t xml:space="preserve">rechazo de la carta de garantía solicitada por la Cínica Limatambo Cajamarca SAC, debido al periodo de espera que </w:t>
      </w:r>
      <w:r w:rsidRPr="3583EBE9" w:rsidR="74419655">
        <w:rPr>
          <w:rStyle w:val="normaltextrun"/>
          <w:sz w:val="23"/>
          <w:szCs w:val="23"/>
          <w:lang w:val="es-PE"/>
        </w:rPr>
        <w:t>...................</w:t>
      </w:r>
      <w:r w:rsidRPr="3583EBE9" w:rsidR="004C2D03">
        <w:rPr>
          <w:rStyle w:val="normaltextrun"/>
          <w:sz w:val="23"/>
          <w:szCs w:val="23"/>
          <w:lang w:val="es-PE"/>
        </w:rPr>
        <w:t xml:space="preserve"> menciona; b) solicita vuelvan a evaluar y aceptar si es posible la cobertura de “disfunción ovárica, no especificada” que ha sido rechazada; c) añade que no es una afección preexistente y está esperando las respuestas para proseguir con los respectivos exámenes. </w:t>
      </w:r>
    </w:p>
    <w:p w:rsidRPr="004C2D03" w:rsidR="004C2D03" w:rsidP="004C2D03" w:rsidRDefault="004C2D03" w14:paraId="291A0927" w14:textId="77777777">
      <w:pPr>
        <w:pStyle w:val="paragraph"/>
        <w:spacing w:before="0" w:beforeAutospacing="0" w:after="0" w:afterAutospacing="0"/>
        <w:jc w:val="both"/>
        <w:textAlignment w:val="baseline"/>
        <w:rPr>
          <w:sz w:val="23"/>
          <w:szCs w:val="23"/>
        </w:rPr>
      </w:pPr>
    </w:p>
    <w:p w:rsidRPr="00682C14" w:rsidR="004C2D03" w:rsidP="00682C14" w:rsidRDefault="004C2D03" w14:paraId="53790750" w14:textId="494065E0">
      <w:pPr>
        <w:ind w:right="-5"/>
        <w:jc w:val="both"/>
        <w:rPr>
          <w:rStyle w:val="Textoennegrita"/>
          <w:rFonts w:ascii="Times New Roman" w:hAnsi="Times New Roman"/>
          <w:b w:val="0"/>
          <w:bCs w:val="0"/>
          <w:sz w:val="23"/>
          <w:szCs w:val="23"/>
        </w:rPr>
      </w:pPr>
      <w:r w:rsidRPr="3583EBE9" w:rsidR="004C2D03">
        <w:rPr>
          <w:rFonts w:ascii="Times New Roman" w:hAnsi="Times New Roman"/>
          <w:sz w:val="23"/>
          <w:szCs w:val="23"/>
        </w:rPr>
        <w:t xml:space="preserve">Que, por su parte la aseguradora expresa resumidamente lo siguiente: a) con fecha 05.05.23 la reclamante contrató la póliza de seguro Viva Salud </w:t>
      </w:r>
      <w:r w:rsidRPr="3583EBE9" w:rsidR="004C2D03">
        <w:rPr>
          <w:rFonts w:ascii="Times New Roman" w:hAnsi="Times New Roman"/>
          <w:sz w:val="23"/>
          <w:szCs w:val="23"/>
        </w:rPr>
        <w:t>Nº</w:t>
      </w:r>
      <w:r w:rsidRPr="3583EBE9" w:rsidR="004C2D03">
        <w:rPr>
          <w:rFonts w:ascii="Times New Roman" w:hAnsi="Times New Roman"/>
          <w:sz w:val="23"/>
          <w:szCs w:val="23"/>
        </w:rPr>
        <w:t xml:space="preserve"> </w:t>
      </w:r>
      <w:r w:rsidRPr="3583EBE9" w:rsidR="2EE302D1">
        <w:rPr>
          <w:rFonts w:ascii="Times New Roman" w:hAnsi="Times New Roman"/>
          <w:sz w:val="23"/>
          <w:szCs w:val="23"/>
        </w:rPr>
        <w:t>.................................</w:t>
      </w:r>
      <w:r w:rsidRPr="3583EBE9" w:rsidR="004C2D03">
        <w:rPr>
          <w:rFonts w:ascii="Times New Roman" w:hAnsi="Times New Roman"/>
          <w:sz w:val="23"/>
          <w:szCs w:val="23"/>
        </w:rPr>
        <w:t xml:space="preserve">, vigente hasta el 05 de mayo de 2024; la póliza fue enviada al correo electrónico de la reclamante el mismo 05.05.23, lo que acreditan con copia de dicho correo; b) posteriormente se verificó en la historia médica de la clínica, según diagnóstico de fecha 04.07.23 que la reclamante padece de la enfermedad de síndrome de ovario poliquístico, encontrándose dicha enfermedad dentro del listado sujeto al periodo de espera; por lo que le indicaron que al haber diagnosticado con disfunción ovárica, tendrá la cobertura del seguro una vez culminado el periodo de espera, plazo de 10 meses; c) la enfermedad en cuestión se define como una afección en la que quien la padece tiene niveles muy elevados de hormonas incluyendo el aumento de pequeños quistes en los ovarios; d) es por ello que la enfermedad diagnostica con fecha 04.07.23 se encuentra sujeta al periodo de espera, contenido en el artículo 6 de las Condiciones Generales de la Póliza; por lo que es claro que las enfermedades allí descritas no gozan de cobertura hasta que el periodo de espera haya culminado. </w:t>
      </w:r>
    </w:p>
    <w:p w:rsidRPr="004C2D03" w:rsidR="004C2D03" w:rsidP="004C2D03" w:rsidRDefault="004C2D03" w14:paraId="24AA1537" w14:textId="626B8FD0">
      <w:pPr>
        <w:jc w:val="both"/>
        <w:outlineLvl w:val="0"/>
        <w:rPr>
          <w:rFonts w:ascii="Times New Roman" w:hAnsi="Times New Roman"/>
          <w:sz w:val="23"/>
          <w:szCs w:val="23"/>
        </w:rPr>
      </w:pPr>
      <w:r w:rsidRPr="004C2D03">
        <w:rPr>
          <w:rStyle w:val="Textoennegrita"/>
          <w:rFonts w:ascii="Times New Roman" w:hAnsi="Times New Roman"/>
          <w:sz w:val="23"/>
          <w:szCs w:val="23"/>
        </w:rPr>
        <w:t>Considerando:</w:t>
      </w:r>
    </w:p>
    <w:p w:rsidRPr="004C2D03" w:rsidR="004C2D03" w:rsidP="004C2D03" w:rsidRDefault="004C2D03" w14:paraId="17B2F454" w14:textId="136BF7EE">
      <w:pPr>
        <w:jc w:val="both"/>
        <w:rPr>
          <w:rFonts w:ascii="Times New Roman" w:hAnsi="Times New Roman"/>
          <w:sz w:val="23"/>
          <w:szCs w:val="23"/>
        </w:rPr>
      </w:pPr>
      <w:r w:rsidRPr="004C2D03">
        <w:rPr>
          <w:rFonts w:ascii="Times New Roman" w:hAnsi="Times New Roman"/>
          <w:b/>
          <w:sz w:val="23"/>
          <w:szCs w:val="23"/>
          <w:u w:val="single"/>
        </w:rPr>
        <w:t>Primero</w:t>
      </w:r>
      <w:r w:rsidRPr="004C2D03">
        <w:rPr>
          <w:rFonts w:ascii="Times New Roman" w:hAnsi="Times New Roman"/>
          <w:b/>
          <w:sz w:val="23"/>
          <w:szCs w:val="23"/>
        </w:rPr>
        <w:t xml:space="preserve">: </w:t>
      </w:r>
      <w:r w:rsidRPr="004C2D03">
        <w:rPr>
          <w:rFonts w:ascii="Times New Roman" w:hAnsi="Times New Roman"/>
          <w:sz w:val="23"/>
          <w:szCs w:val="23"/>
        </w:rPr>
        <w:t>Conforme a su Reglamento, la</w:t>
      </w:r>
      <w:r w:rsidRPr="004C2D03">
        <w:rPr>
          <w:rFonts w:ascii="Times New Roman" w:hAnsi="Times New Roman"/>
          <w:b/>
          <w:bCs/>
          <w:sz w:val="23"/>
          <w:szCs w:val="23"/>
        </w:rPr>
        <w:t xml:space="preserve"> </w:t>
      </w:r>
      <w:r w:rsidRPr="004C2D03">
        <w:rPr>
          <w:rFonts w:ascii="Times New Roman" w:hAnsi="Times New Roman"/>
          <w:sz w:val="23"/>
          <w:szCs w:val="23"/>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004C2D03">
        <w:rPr>
          <w:rFonts w:ascii="Times New Roman" w:hAnsi="Times New Roman"/>
          <w:sz w:val="23"/>
          <w:szCs w:val="23"/>
        </w:rPr>
        <w:lastRenderedPageBreak/>
        <w:t xml:space="preserve">seguros” a los asegurados propiamente dichos, a los contratantes del respectivo seguro y/o a los beneficiarios nombrados en las pólizas. </w:t>
      </w:r>
    </w:p>
    <w:p w:rsidRPr="004C2D03" w:rsidR="004C2D03" w:rsidP="004C2D03" w:rsidRDefault="004C2D03" w14:paraId="7B426AE8" w14:textId="45231C05">
      <w:pPr>
        <w:jc w:val="both"/>
        <w:rPr>
          <w:rFonts w:ascii="Times New Roman" w:hAnsi="Times New Roman"/>
          <w:bCs/>
          <w:sz w:val="23"/>
          <w:szCs w:val="23"/>
        </w:rPr>
      </w:pPr>
      <w:r w:rsidRPr="004C2D03">
        <w:rPr>
          <w:rFonts w:ascii="Times New Roman" w:hAnsi="Times New Roman"/>
          <w:b/>
          <w:bCs/>
          <w:sz w:val="23"/>
          <w:szCs w:val="23"/>
          <w:u w:val="single"/>
        </w:rPr>
        <w:t>Segundo</w:t>
      </w:r>
      <w:r w:rsidRPr="004C2D03">
        <w:rPr>
          <w:rFonts w:ascii="Times New Roman" w:hAnsi="Times New Roman"/>
          <w:b/>
          <w:bCs/>
          <w:sz w:val="23"/>
          <w:szCs w:val="23"/>
        </w:rPr>
        <w:t>:</w:t>
      </w:r>
      <w:r w:rsidRPr="004C2D03">
        <w:rPr>
          <w:rFonts w:ascii="Times New Roman" w:hAnsi="Times New Roman"/>
          <w:bCs/>
          <w:sz w:val="23"/>
          <w:szCs w:val="23"/>
        </w:rPr>
        <w:t xml:space="preserve"> </w:t>
      </w:r>
      <w:r w:rsidRPr="004C2D03">
        <w:rPr>
          <w:rFonts w:ascii="Times New Roman" w:hAnsi="Times New Roman"/>
          <w:sz w:val="23"/>
          <w:szCs w:val="23"/>
        </w:rPr>
        <w:t xml:space="preserve">Asimismo, de acuerdo a </w:t>
      </w:r>
      <w:r w:rsidRPr="004C2D03">
        <w:rPr>
          <w:rFonts w:ascii="Times New Roman" w:hAnsi="Times New Roman"/>
          <w:bCs/>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C2D03" w:rsidR="004C2D03" w:rsidP="004C2D03" w:rsidRDefault="004C2D03" w14:paraId="76102AC7" w14:textId="1CA1587C">
      <w:pPr>
        <w:jc w:val="both"/>
        <w:rPr>
          <w:rFonts w:ascii="Times New Roman" w:hAnsi="Times New Roman"/>
          <w:sz w:val="23"/>
          <w:szCs w:val="23"/>
          <w:lang w:val="es-ES"/>
        </w:rPr>
      </w:pPr>
      <w:r w:rsidRPr="004C2D03">
        <w:rPr>
          <w:rFonts w:ascii="Times New Roman" w:hAnsi="Times New Roman"/>
          <w:b/>
          <w:bCs/>
          <w:sz w:val="23"/>
          <w:szCs w:val="23"/>
          <w:u w:val="single"/>
        </w:rPr>
        <w:t>Tercero</w:t>
      </w:r>
      <w:r w:rsidRPr="004C2D03">
        <w:rPr>
          <w:rFonts w:ascii="Times New Roman" w:hAnsi="Times New Roman"/>
          <w:b/>
          <w:bCs/>
          <w:sz w:val="23"/>
          <w:szCs w:val="23"/>
        </w:rPr>
        <w:t>:</w:t>
      </w:r>
      <w:r w:rsidRPr="004C2D03">
        <w:rPr>
          <w:rFonts w:ascii="Times New Roman" w:hAnsi="Times New Roman"/>
          <w:sz w:val="23"/>
          <w:szCs w:val="23"/>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C2D03" w:rsidR="004C2D03" w:rsidP="004C2D03" w:rsidRDefault="004C2D03" w14:paraId="4948A371" w14:textId="08BA3355">
      <w:pPr>
        <w:jc w:val="both"/>
        <w:rPr>
          <w:rStyle w:val="Textoennegrita"/>
          <w:rFonts w:ascii="Times New Roman" w:hAnsi="Times New Roman"/>
          <w:b w:val="0"/>
          <w:bCs w:val="0"/>
          <w:sz w:val="23"/>
          <w:szCs w:val="23"/>
        </w:rPr>
      </w:pPr>
      <w:r w:rsidRPr="004C2D03">
        <w:rPr>
          <w:rFonts w:ascii="Times New Roman" w:hAnsi="Times New Roman"/>
          <w:b/>
          <w:sz w:val="23"/>
          <w:szCs w:val="23"/>
          <w:u w:val="single"/>
        </w:rPr>
        <w:t>Cuarto</w:t>
      </w:r>
      <w:r w:rsidRPr="004C2D03">
        <w:rPr>
          <w:rFonts w:ascii="Times New Roman" w:hAnsi="Times New Roman"/>
          <w:b/>
          <w:sz w:val="23"/>
          <w:szCs w:val="23"/>
        </w:rPr>
        <w:t>:</w:t>
      </w:r>
      <w:r w:rsidRPr="004C2D03">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C2D03" w:rsidR="004C2D03" w:rsidP="004C2D03" w:rsidRDefault="004C2D03" w14:paraId="297CAF14" w14:textId="07E4CDF2">
      <w:pPr>
        <w:jc w:val="both"/>
        <w:rPr>
          <w:rFonts w:ascii="Times New Roman" w:hAnsi="Times New Roman"/>
          <w:sz w:val="23"/>
          <w:szCs w:val="23"/>
        </w:rPr>
      </w:pPr>
      <w:r w:rsidRPr="004C2D03">
        <w:rPr>
          <w:rStyle w:val="Textoennegrita"/>
          <w:rFonts w:ascii="Times New Roman" w:hAnsi="Times New Roman"/>
          <w:sz w:val="23"/>
          <w:szCs w:val="23"/>
          <w:u w:val="single"/>
        </w:rPr>
        <w:t>Quinto</w:t>
      </w:r>
      <w:r w:rsidRPr="004C2D03">
        <w:rPr>
          <w:rStyle w:val="Textoennegrita"/>
          <w:rFonts w:ascii="Times New Roman" w:hAnsi="Times New Roman"/>
          <w:sz w:val="23"/>
          <w:szCs w:val="23"/>
        </w:rPr>
        <w:t xml:space="preserve">: </w:t>
      </w:r>
      <w:r w:rsidRPr="004C2D03">
        <w:rPr>
          <w:rStyle w:val="Textoennegrita"/>
          <w:rFonts w:ascii="Times New Roman" w:hAnsi="Times New Roman"/>
          <w:b w:val="0"/>
          <w:bCs w:val="0"/>
          <w:sz w:val="23"/>
          <w:szCs w:val="23"/>
        </w:rPr>
        <w:t>Que, conforme al</w:t>
      </w:r>
      <w:r w:rsidRPr="004C2D03">
        <w:rPr>
          <w:rStyle w:val="Textoennegrita"/>
          <w:rFonts w:ascii="Times New Roman" w:hAnsi="Times New Roman"/>
          <w:sz w:val="23"/>
          <w:szCs w:val="23"/>
        </w:rPr>
        <w:t xml:space="preserve"> </w:t>
      </w:r>
      <w:r w:rsidRPr="004C2D03">
        <w:rPr>
          <w:rFonts w:ascii="Times New Roman" w:hAnsi="Times New Roman"/>
          <w:sz w:val="23"/>
          <w:szCs w:val="23"/>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C2D03" w:rsidR="004C2D03" w:rsidP="004C2D03" w:rsidRDefault="004C2D03" w14:paraId="775E3BCE" w14:textId="74D39B7E">
      <w:pPr>
        <w:tabs>
          <w:tab w:val="left" w:pos="2160"/>
        </w:tabs>
        <w:jc w:val="both"/>
        <w:rPr>
          <w:rFonts w:ascii="Times New Roman" w:hAnsi="Times New Roman"/>
          <w:sz w:val="23"/>
          <w:szCs w:val="23"/>
        </w:rPr>
      </w:pPr>
      <w:r w:rsidRPr="004C2D03">
        <w:rPr>
          <w:rFonts w:ascii="Times New Roman" w:hAnsi="Times New Roman"/>
          <w:b/>
          <w:sz w:val="23"/>
          <w:szCs w:val="23"/>
          <w:u w:val="single"/>
        </w:rPr>
        <w:t>Sexto</w:t>
      </w:r>
      <w:r w:rsidRPr="004C2D03">
        <w:rPr>
          <w:rFonts w:ascii="Times New Roman" w:hAnsi="Times New Roman"/>
          <w:b/>
          <w:sz w:val="23"/>
          <w:szCs w:val="23"/>
        </w:rPr>
        <w:t xml:space="preserve">: </w:t>
      </w:r>
      <w:r w:rsidRPr="004C2D03">
        <w:rPr>
          <w:rFonts w:ascii="Times New Roman" w:hAnsi="Times New Roman"/>
          <w:sz w:val="23"/>
          <w:szCs w:val="23"/>
        </w:rPr>
        <w:t xml:space="preserve">Sobre la base de los términos contenidos en la reclamación y en la absolución de </w:t>
      </w:r>
      <w:proofErr w:type="gramStart"/>
      <w:r w:rsidRPr="004C2D03">
        <w:rPr>
          <w:rFonts w:ascii="Times New Roman" w:hAnsi="Times New Roman"/>
          <w:sz w:val="23"/>
          <w:szCs w:val="23"/>
        </w:rPr>
        <w:t>la misma</w:t>
      </w:r>
      <w:proofErr w:type="gramEnd"/>
      <w:r w:rsidRPr="004C2D03">
        <w:rPr>
          <w:rFonts w:ascii="Times New Roman" w:hAnsi="Times New Roman"/>
          <w:sz w:val="23"/>
          <w:szCs w:val="23"/>
        </w:rPr>
        <w:t>, y a lo tratado en la audiencia de vista, la cuestión controvertida radica en determinar si el rechazo de cobertura invocado por la aseguradora: exclusión por siniestro ocurrido en periodo de espera, es legítimo.</w:t>
      </w:r>
    </w:p>
    <w:p w:rsidRPr="004C2D03" w:rsidR="004C2D03" w:rsidP="004C2D03" w:rsidRDefault="004C2D03" w14:paraId="4B2278B5" w14:textId="545B0B3F">
      <w:pPr>
        <w:tabs>
          <w:tab w:val="left" w:pos="2160"/>
        </w:tabs>
        <w:jc w:val="both"/>
        <w:rPr>
          <w:rFonts w:ascii="Times New Roman" w:hAnsi="Times New Roman"/>
          <w:sz w:val="23"/>
          <w:szCs w:val="23"/>
        </w:rPr>
      </w:pPr>
      <w:r w:rsidRPr="004C2D03">
        <w:rPr>
          <w:rFonts w:ascii="Times New Roman" w:hAnsi="Times New Roman"/>
          <w:sz w:val="23"/>
          <w:szCs w:val="23"/>
        </w:rPr>
        <w:t xml:space="preserve">Para ello se analizará en primer lugar si la exclusión es oponible al asegurado </w:t>
      </w:r>
      <w:proofErr w:type="gramStart"/>
      <w:r w:rsidRPr="004C2D03">
        <w:rPr>
          <w:rFonts w:ascii="Times New Roman" w:hAnsi="Times New Roman"/>
          <w:sz w:val="23"/>
          <w:szCs w:val="23"/>
        </w:rPr>
        <w:t>y</w:t>
      </w:r>
      <w:proofErr w:type="gramEnd"/>
      <w:r w:rsidRPr="004C2D03">
        <w:rPr>
          <w:rFonts w:ascii="Times New Roman" w:hAnsi="Times New Roman"/>
          <w:sz w:val="23"/>
          <w:szCs w:val="23"/>
        </w:rPr>
        <w:t xml:space="preserve"> en segundo lugar, de serlo, si ha quedado debidamente configurada.</w:t>
      </w:r>
    </w:p>
    <w:p w:rsidRPr="004C2D03" w:rsidR="004C2D03" w:rsidP="004C2D03" w:rsidRDefault="004C2D03" w14:paraId="6388E062" w14:textId="65AB1806">
      <w:pPr>
        <w:tabs>
          <w:tab w:val="left" w:pos="2160"/>
        </w:tabs>
        <w:jc w:val="both"/>
        <w:rPr>
          <w:rFonts w:ascii="Times New Roman" w:hAnsi="Times New Roman"/>
          <w:sz w:val="23"/>
          <w:szCs w:val="23"/>
        </w:rPr>
      </w:pPr>
      <w:r w:rsidRPr="004C2D03">
        <w:rPr>
          <w:rFonts w:ascii="Times New Roman" w:hAnsi="Times New Roman"/>
          <w:b/>
          <w:sz w:val="23"/>
          <w:szCs w:val="23"/>
          <w:u w:val="single"/>
        </w:rPr>
        <w:t>Séptimo</w:t>
      </w:r>
      <w:r w:rsidRPr="004C2D03">
        <w:rPr>
          <w:rFonts w:ascii="Times New Roman" w:hAnsi="Times New Roman"/>
          <w:b/>
          <w:sz w:val="23"/>
          <w:szCs w:val="23"/>
        </w:rPr>
        <w:t>:</w:t>
      </w:r>
      <w:r w:rsidRPr="004C2D03">
        <w:rPr>
          <w:rFonts w:ascii="Times New Roman" w:hAnsi="Times New Roman"/>
          <w:sz w:val="23"/>
          <w:szCs w:val="23"/>
        </w:rPr>
        <w:t xml:space="preserve"> En lo que corresponde a la oponibilidad de la exclusión, la aseguradora ha presentado el correo electrónico de fecha 05 de mayo de 2023, a través del cual acredita que envío la póliza al correo electrónico de la reclamante.</w:t>
      </w:r>
    </w:p>
    <w:p w:rsidRPr="004C2D03" w:rsidR="004C2D03" w:rsidP="004C2D03" w:rsidRDefault="004C2D03" w14:paraId="631AAE5F" w14:textId="51756103">
      <w:pPr>
        <w:tabs>
          <w:tab w:val="left" w:pos="2160"/>
        </w:tabs>
        <w:jc w:val="both"/>
        <w:rPr>
          <w:rFonts w:ascii="Times New Roman" w:hAnsi="Times New Roman"/>
          <w:sz w:val="23"/>
          <w:szCs w:val="23"/>
        </w:rPr>
      </w:pPr>
      <w:r w:rsidRPr="004C2D03">
        <w:rPr>
          <w:rFonts w:ascii="Times New Roman" w:hAnsi="Times New Roman"/>
          <w:sz w:val="23"/>
          <w:szCs w:val="23"/>
        </w:rPr>
        <w:t>Revisada dicha póliza, se aprecia que ésta inició su vigencia el 05 de mayo de 2023 y en su artículo 6 de las Condiciones Generales (páginas 17 y 18) estableció lo siguiente:</w:t>
      </w:r>
    </w:p>
    <w:p w:rsidRPr="004C2D03" w:rsidR="004C2D03" w:rsidP="00682C14" w:rsidRDefault="004C2D03" w14:paraId="11A04CCE" w14:textId="3AF26F66">
      <w:pPr>
        <w:tabs>
          <w:tab w:val="left" w:pos="2160"/>
        </w:tabs>
        <w:jc w:val="center"/>
        <w:rPr>
          <w:rFonts w:ascii="Times New Roman" w:hAnsi="Times New Roman"/>
          <w:sz w:val="23"/>
          <w:szCs w:val="23"/>
        </w:rPr>
      </w:pPr>
      <w:r w:rsidRPr="004C2D03">
        <w:rPr>
          <w:rFonts w:ascii="Times New Roman" w:hAnsi="Times New Roman"/>
          <w:noProof/>
          <w:sz w:val="23"/>
          <w:szCs w:val="23"/>
        </w:rPr>
        <w:lastRenderedPageBreak/>
        <w:drawing>
          <wp:inline distT="0" distB="0" distL="0" distR="0" wp14:anchorId="4137870F" wp14:editId="09DE9478">
            <wp:extent cx="5257800" cy="2590800"/>
            <wp:effectExtent l="0" t="0" r="0" b="0"/>
            <wp:docPr id="347260808"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b="24445"/>
                    <a:stretch>
                      <a:fillRect/>
                    </a:stretch>
                  </pic:blipFill>
                  <pic:spPr bwMode="auto">
                    <a:xfrm>
                      <a:off x="0" y="0"/>
                      <a:ext cx="5257800" cy="2590800"/>
                    </a:xfrm>
                    <a:prstGeom prst="rect">
                      <a:avLst/>
                    </a:prstGeom>
                    <a:noFill/>
                    <a:ln>
                      <a:noFill/>
                    </a:ln>
                  </pic:spPr>
                </pic:pic>
              </a:graphicData>
            </a:graphic>
          </wp:inline>
        </w:drawing>
      </w:r>
    </w:p>
    <w:p w:rsidRPr="004C2D03" w:rsidR="004C2D03" w:rsidP="00682C14" w:rsidRDefault="004C2D03" w14:paraId="53DB6CE2" w14:textId="571F26B0">
      <w:pPr>
        <w:tabs>
          <w:tab w:val="left" w:pos="2160"/>
        </w:tabs>
        <w:ind w:left="720"/>
        <w:jc w:val="center"/>
        <w:rPr>
          <w:rFonts w:ascii="Times New Roman" w:hAnsi="Times New Roman"/>
          <w:sz w:val="23"/>
          <w:szCs w:val="23"/>
        </w:rPr>
      </w:pPr>
      <w:r w:rsidRPr="004C2D03">
        <w:rPr>
          <w:rFonts w:ascii="Times New Roman" w:hAnsi="Times New Roman"/>
          <w:noProof/>
          <w:sz w:val="23"/>
          <w:szCs w:val="23"/>
        </w:rPr>
        <w:drawing>
          <wp:inline distT="0" distB="0" distL="0" distR="0" wp14:anchorId="0A451A67" wp14:editId="59586525">
            <wp:extent cx="4686300" cy="1104900"/>
            <wp:effectExtent l="0" t="0" r="0" b="0"/>
            <wp:docPr id="1999048708" name="Imagen 2" descr="Captura de pantalla de un celular con texto e image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a de pantalla de un celular con texto e image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6300" cy="1104900"/>
                    </a:xfrm>
                    <a:prstGeom prst="rect">
                      <a:avLst/>
                    </a:prstGeom>
                    <a:noFill/>
                    <a:ln>
                      <a:noFill/>
                    </a:ln>
                  </pic:spPr>
                </pic:pic>
              </a:graphicData>
            </a:graphic>
          </wp:inline>
        </w:drawing>
      </w:r>
    </w:p>
    <w:p w:rsidRPr="004C2D03" w:rsidR="004C2D03" w:rsidP="004C2D03" w:rsidRDefault="004C2D03" w14:paraId="52EFE663" w14:textId="611C1603">
      <w:pPr>
        <w:tabs>
          <w:tab w:val="left" w:pos="2160"/>
        </w:tabs>
        <w:jc w:val="both"/>
        <w:rPr>
          <w:rFonts w:ascii="Times New Roman" w:hAnsi="Times New Roman"/>
          <w:sz w:val="23"/>
          <w:szCs w:val="23"/>
        </w:rPr>
      </w:pPr>
      <w:r w:rsidRPr="004C2D03">
        <w:rPr>
          <w:rFonts w:ascii="Times New Roman" w:hAnsi="Times New Roman"/>
          <w:sz w:val="23"/>
          <w:szCs w:val="23"/>
        </w:rPr>
        <w:t xml:space="preserve">Por lo expuesto, se evidencia que se pactó un periodo de espera de diez (10) meses, dentro del cual no se cubrirían las enfermedades, pruebas diagnósticas, procedimientos ni tratamientos de quistes de ovarios, ni quistes o displasia fibroquística (entre otros, expresamente señalados), lo cual fue informado a la asegurada al enviarle la póliza de seguro a su correo electrónico; </w:t>
      </w:r>
      <w:proofErr w:type="gramStart"/>
      <w:r w:rsidRPr="004C2D03">
        <w:rPr>
          <w:rFonts w:ascii="Times New Roman" w:hAnsi="Times New Roman"/>
          <w:sz w:val="23"/>
          <w:szCs w:val="23"/>
        </w:rPr>
        <w:t>y</w:t>
      </w:r>
      <w:proofErr w:type="gramEnd"/>
      <w:r w:rsidRPr="004C2D03">
        <w:rPr>
          <w:rFonts w:ascii="Times New Roman" w:hAnsi="Times New Roman"/>
          <w:sz w:val="23"/>
          <w:szCs w:val="23"/>
        </w:rPr>
        <w:t xml:space="preserve"> en consecuencia, el periodo de espera resulta oponible a la asegurada. </w:t>
      </w:r>
    </w:p>
    <w:p w:rsidRPr="004C2D03" w:rsidR="004C2D03" w:rsidP="004C2D03" w:rsidRDefault="004C2D03" w14:paraId="58664DC3" w14:textId="77777777">
      <w:pPr>
        <w:tabs>
          <w:tab w:val="left" w:pos="2160"/>
        </w:tabs>
        <w:jc w:val="both"/>
        <w:rPr>
          <w:rFonts w:ascii="Times New Roman" w:hAnsi="Times New Roman"/>
          <w:sz w:val="23"/>
          <w:szCs w:val="23"/>
        </w:rPr>
      </w:pPr>
      <w:r w:rsidRPr="004C2D03">
        <w:rPr>
          <w:rFonts w:ascii="Times New Roman" w:hAnsi="Times New Roman"/>
          <w:sz w:val="23"/>
          <w:szCs w:val="23"/>
        </w:rPr>
        <w:t>En este caso, se aprecia que la carta de garantía solicitada, lo fue respecto de exámenes auxiliares vinculados al diagnóstico presuntivo de síndrome de ovarios poliquísticos, conforme se aprecia de la siguiente imagen obtenida del Informe médico inicial de la Clínica Limatambo:</w:t>
      </w:r>
    </w:p>
    <w:p w:rsidRPr="004C2D03" w:rsidR="004C2D03" w:rsidP="004C2D03" w:rsidRDefault="004C2D03" w14:paraId="1D044454" w14:textId="745C7681">
      <w:pPr>
        <w:tabs>
          <w:tab w:val="left" w:pos="2160"/>
        </w:tabs>
        <w:jc w:val="center"/>
        <w:rPr>
          <w:rFonts w:ascii="Times New Roman" w:hAnsi="Times New Roman"/>
          <w:sz w:val="23"/>
          <w:szCs w:val="23"/>
        </w:rPr>
      </w:pPr>
      <w:r w:rsidRPr="004C2D03">
        <w:rPr>
          <w:rFonts w:ascii="Times New Roman" w:hAnsi="Times New Roman"/>
          <w:noProof/>
          <w:sz w:val="23"/>
          <w:szCs w:val="23"/>
        </w:rPr>
        <w:drawing>
          <wp:inline distT="0" distB="0" distL="0" distR="0" wp14:anchorId="18128DA1" wp14:editId="544384FA">
            <wp:extent cx="4772025" cy="2320865"/>
            <wp:effectExtent l="0" t="0" r="0" b="3810"/>
            <wp:docPr id="1444152277"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abla&#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80632" cy="2325051"/>
                    </a:xfrm>
                    <a:prstGeom prst="rect">
                      <a:avLst/>
                    </a:prstGeom>
                    <a:noFill/>
                    <a:ln>
                      <a:noFill/>
                    </a:ln>
                  </pic:spPr>
                </pic:pic>
              </a:graphicData>
            </a:graphic>
          </wp:inline>
        </w:drawing>
      </w:r>
    </w:p>
    <w:p w:rsidRPr="004C2D03" w:rsidR="004C2D03" w:rsidP="004C2D03" w:rsidRDefault="004C2D03" w14:paraId="633DD779" w14:textId="77777777">
      <w:pPr>
        <w:tabs>
          <w:tab w:val="left" w:pos="2160"/>
        </w:tabs>
        <w:jc w:val="both"/>
        <w:rPr>
          <w:rFonts w:ascii="Times New Roman" w:hAnsi="Times New Roman"/>
          <w:sz w:val="23"/>
          <w:szCs w:val="23"/>
        </w:rPr>
      </w:pPr>
      <w:r w:rsidRPr="004C2D03">
        <w:rPr>
          <w:rFonts w:ascii="Times New Roman" w:hAnsi="Times New Roman"/>
          <w:sz w:val="23"/>
          <w:szCs w:val="23"/>
        </w:rPr>
        <w:lastRenderedPageBreak/>
        <w:t xml:space="preserve">Siendo que, a la fecha de rechazo, 5 de julio de 2023, habían pasado solo dos (2) meses desde la contratación de la póliza, es claro que la asegurada se encontraba dentro de los diez (10) meses de espera que establece la póliza, dentro de la cual dicho diagnóstico presuntivo (síndrome de ovarios poliquísticos) no se encuentra cubierto; por lo que el rechazo de la carta de garantía se encuentra conforme a derecho; periodo de espera de 10 meses que, hasta la fecha, no habría culminado. </w:t>
      </w:r>
    </w:p>
    <w:p w:rsidRPr="004C2D03" w:rsidR="004C2D03" w:rsidP="004C2D03" w:rsidRDefault="004C2D03" w14:paraId="0C505244" w14:textId="77777777">
      <w:pPr>
        <w:tabs>
          <w:tab w:val="left" w:pos="2160"/>
        </w:tabs>
        <w:jc w:val="both"/>
        <w:rPr>
          <w:rFonts w:ascii="Times New Roman" w:hAnsi="Times New Roman"/>
          <w:sz w:val="23"/>
          <w:szCs w:val="23"/>
        </w:rPr>
      </w:pPr>
      <w:r w:rsidRPr="004C2D03">
        <w:rPr>
          <w:rFonts w:ascii="Times New Roman" w:hAnsi="Times New Roman"/>
          <w:sz w:val="23"/>
          <w:szCs w:val="23"/>
        </w:rPr>
        <w:t>Cabe destacar que en la audiencia de vista la aseguradora reconoció que no estábamos ante una enfermedad preexistente, sino ante una condición que se encuentra listada dentro de las enfermedades a las que aplica un periodo de espera, en consecuencia, si la reclamante mantiene vigente su póliza por más de diez (10) meses, podría acceder a la cobertura de dicha enfermedad conforme a los términos y condiciones de la póliza, lo que recién podría ocurrir luego de vencido dicho periodo de espera.</w:t>
      </w:r>
    </w:p>
    <w:p w:rsidRPr="004C2D03" w:rsidR="004C2D03" w:rsidP="004C2D03" w:rsidRDefault="004C2D03" w14:paraId="7E66A5EA" w14:textId="77777777">
      <w:pPr>
        <w:tabs>
          <w:tab w:val="left" w:pos="709"/>
          <w:tab w:val="left" w:pos="2160"/>
        </w:tabs>
        <w:jc w:val="both"/>
        <w:rPr>
          <w:rFonts w:ascii="Times New Roman" w:hAnsi="Times New Roman"/>
          <w:b/>
          <w:sz w:val="23"/>
          <w:szCs w:val="23"/>
          <w:lang w:val="es-ES"/>
        </w:rPr>
      </w:pPr>
      <w:r w:rsidRPr="004C2D03">
        <w:rPr>
          <w:rFonts w:ascii="Times New Roman" w:hAnsi="Times New Roman"/>
          <w:b/>
          <w:sz w:val="23"/>
          <w:szCs w:val="23"/>
        </w:rPr>
        <w:t>Atendiendo a lo expresado, este colegiado concluye su apreciación razonada y conjunta al amparo de lo establecido en su Reglamento, por lo que</w:t>
      </w:r>
    </w:p>
    <w:p w:rsidRPr="004C2D03" w:rsidR="004C2D03" w:rsidP="004C2D03" w:rsidRDefault="004C2D03" w14:paraId="4C4EA0A8" w14:textId="1591C074">
      <w:pPr>
        <w:tabs>
          <w:tab w:val="left" w:pos="709"/>
          <w:tab w:val="left" w:pos="2160"/>
        </w:tabs>
        <w:jc w:val="both"/>
        <w:rPr>
          <w:rFonts w:ascii="Times New Roman" w:hAnsi="Times New Roman"/>
          <w:b/>
          <w:sz w:val="23"/>
          <w:szCs w:val="23"/>
        </w:rPr>
      </w:pPr>
      <w:r w:rsidRPr="004C2D03">
        <w:rPr>
          <w:rFonts w:ascii="Times New Roman" w:hAnsi="Times New Roman"/>
          <w:b/>
          <w:sz w:val="23"/>
          <w:szCs w:val="23"/>
        </w:rPr>
        <w:t>Resuelve:</w:t>
      </w:r>
    </w:p>
    <w:p w:rsidRPr="004C2D03" w:rsidR="004C2D03" w:rsidP="3583EBE9" w:rsidRDefault="004C2D03" w14:paraId="7F762BF6" w14:textId="68C83BF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sz w:val="23"/>
          <w:szCs w:val="23"/>
        </w:rPr>
      </w:pPr>
      <w:r w:rsidRPr="3583EBE9" w:rsidR="004C2D03">
        <w:rPr>
          <w:rFonts w:ascii="Times New Roman" w:hAnsi="Times New Roman" w:eastAsia="Arial Unicode MS"/>
          <w:sz w:val="23"/>
          <w:szCs w:val="23"/>
        </w:rPr>
        <w:t xml:space="preserve">Declarar </w:t>
      </w:r>
      <w:r w:rsidRPr="3583EBE9" w:rsidR="004C2D03">
        <w:rPr>
          <w:rFonts w:ascii="Times New Roman" w:hAnsi="Times New Roman" w:eastAsia="Arial Unicode MS"/>
          <w:b w:val="1"/>
          <w:bCs w:val="1"/>
          <w:sz w:val="23"/>
          <w:szCs w:val="23"/>
        </w:rPr>
        <w:t xml:space="preserve">INFUNDADA </w:t>
      </w:r>
      <w:r w:rsidRPr="3583EBE9" w:rsidR="004C2D03">
        <w:rPr>
          <w:rFonts w:ascii="Times New Roman" w:hAnsi="Times New Roman" w:eastAsia="Arial Unicode MS"/>
          <w:sz w:val="23"/>
          <w:szCs w:val="23"/>
        </w:rPr>
        <w:t xml:space="preserve">la reclamación interpuesta por doña </w:t>
      </w:r>
      <w:r w:rsidRPr="3583EBE9" w:rsidR="00EAF703">
        <w:rPr>
          <w:rFonts w:ascii="Times New Roman" w:hAnsi="Times New Roman"/>
          <w:sz w:val="23"/>
          <w:szCs w:val="23"/>
        </w:rPr>
        <w:t>............................................................................</w:t>
      </w:r>
      <w:r w:rsidRPr="3583EBE9" w:rsidR="004C2D03">
        <w:rPr>
          <w:rFonts w:ascii="Times New Roman" w:hAnsi="Times New Roman"/>
          <w:sz w:val="23"/>
          <w:szCs w:val="23"/>
        </w:rPr>
        <w:t xml:space="preserve"> </w:t>
      </w:r>
      <w:r w:rsidRPr="3583EBE9" w:rsidR="004C2D03">
        <w:rPr>
          <w:rFonts w:ascii="Times New Roman" w:hAnsi="Times New Roman" w:eastAsia="Arial Unicode MS"/>
          <w:sz w:val="23"/>
          <w:szCs w:val="23"/>
        </w:rPr>
        <w:t xml:space="preserve">contra </w:t>
      </w:r>
      <w:r w:rsidRPr="3583EBE9" w:rsidR="74419655">
        <w:rPr>
          <w:rFonts w:ascii="Times New Roman" w:hAnsi="Times New Roman"/>
          <w:sz w:val="23"/>
          <w:szCs w:val="23"/>
        </w:rPr>
        <w:t>...................</w:t>
      </w:r>
      <w:r w:rsidRPr="3583EBE9" w:rsidR="004C2D03">
        <w:rPr>
          <w:rFonts w:ascii="Times New Roman" w:hAnsi="Times New Roman"/>
          <w:sz w:val="23"/>
          <w:szCs w:val="23"/>
        </w:rPr>
        <w:t xml:space="preserve"> respecto de la Póliza de Seguro Viva Salud </w:t>
      </w:r>
      <w:r w:rsidRPr="3583EBE9" w:rsidR="004C2D03">
        <w:rPr>
          <w:rFonts w:ascii="Times New Roman" w:hAnsi="Times New Roman"/>
          <w:sz w:val="23"/>
          <w:szCs w:val="23"/>
        </w:rPr>
        <w:t>Nº</w:t>
      </w:r>
      <w:r w:rsidRPr="3583EBE9" w:rsidR="004C2D03">
        <w:rPr>
          <w:rFonts w:ascii="Times New Roman" w:hAnsi="Times New Roman"/>
          <w:sz w:val="23"/>
          <w:szCs w:val="23"/>
        </w:rPr>
        <w:t xml:space="preserve"> </w:t>
      </w:r>
      <w:r w:rsidRPr="3583EBE9" w:rsidR="2EE302D1">
        <w:rPr>
          <w:rFonts w:ascii="Times New Roman" w:hAnsi="Times New Roman"/>
          <w:sz w:val="23"/>
          <w:szCs w:val="23"/>
        </w:rPr>
        <w:t>.................................</w:t>
      </w:r>
      <w:r w:rsidRPr="3583EBE9" w:rsidR="004C2D03">
        <w:rPr>
          <w:rFonts w:ascii="Times New Roman" w:hAnsi="Times New Roman"/>
          <w:sz w:val="23"/>
          <w:szCs w:val="23"/>
        </w:rPr>
        <w:t xml:space="preserve">, quedando a salvo el derecho del reclamante de recurrir a las instancias que estime pertinentes. </w:t>
      </w:r>
    </w:p>
    <w:p w:rsidRPr="004C2D03" w:rsidR="00F07C74" w:rsidP="00767845" w:rsidRDefault="00D00142" w14:paraId="109CA284" w14:textId="4B0C23C8">
      <w:pPr>
        <w:jc w:val="right"/>
        <w:rPr>
          <w:rFonts w:ascii="Times New Roman" w:hAnsi="Times New Roman"/>
          <w:sz w:val="23"/>
          <w:szCs w:val="23"/>
        </w:rPr>
      </w:pPr>
      <w:r w:rsidRPr="004C2D03">
        <w:rPr>
          <w:rFonts w:ascii="Times New Roman" w:hAnsi="Times New Roman"/>
          <w:sz w:val="23"/>
          <w:szCs w:val="23"/>
        </w:rPr>
        <w:t>Lima,</w:t>
      </w:r>
      <w:r w:rsidRPr="004C2D03" w:rsidR="0034229F">
        <w:rPr>
          <w:rFonts w:ascii="Times New Roman" w:hAnsi="Times New Roman"/>
          <w:sz w:val="23"/>
          <w:szCs w:val="23"/>
        </w:rPr>
        <w:t xml:space="preserve"> </w:t>
      </w:r>
      <w:r w:rsidRPr="004C2D03" w:rsidR="00965981">
        <w:rPr>
          <w:rFonts w:ascii="Times New Roman" w:hAnsi="Times New Roman"/>
          <w:sz w:val="23"/>
          <w:szCs w:val="23"/>
        </w:rPr>
        <w:t>29</w:t>
      </w:r>
      <w:r w:rsidRPr="004C2D03" w:rsidR="00FB1E10">
        <w:rPr>
          <w:rFonts w:ascii="Times New Roman" w:hAnsi="Times New Roman"/>
          <w:sz w:val="23"/>
          <w:szCs w:val="23"/>
        </w:rPr>
        <w:t xml:space="preserve"> </w:t>
      </w:r>
      <w:r w:rsidRPr="004C2D03">
        <w:rPr>
          <w:rFonts w:ascii="Times New Roman" w:hAnsi="Times New Roman"/>
          <w:sz w:val="23"/>
          <w:szCs w:val="23"/>
        </w:rPr>
        <w:t>de</w:t>
      </w:r>
      <w:r w:rsidRPr="004C2D03" w:rsidR="00C75095">
        <w:rPr>
          <w:rFonts w:ascii="Times New Roman" w:hAnsi="Times New Roman"/>
          <w:sz w:val="23"/>
          <w:szCs w:val="23"/>
        </w:rPr>
        <w:t xml:space="preserve"> </w:t>
      </w:r>
      <w:r w:rsidRPr="004C2D03" w:rsidR="00FB1E10">
        <w:rPr>
          <w:rFonts w:ascii="Times New Roman" w:hAnsi="Times New Roman"/>
          <w:sz w:val="23"/>
          <w:szCs w:val="23"/>
        </w:rPr>
        <w:t>diciembre</w:t>
      </w:r>
      <w:r w:rsidRPr="004C2D03">
        <w:rPr>
          <w:rFonts w:ascii="Times New Roman" w:hAnsi="Times New Roman"/>
          <w:sz w:val="23"/>
          <w:szCs w:val="23"/>
        </w:rPr>
        <w:t xml:space="preserve"> de 202</w:t>
      </w:r>
      <w:r w:rsidRPr="004C2D03" w:rsidR="006C6213">
        <w:rPr>
          <w:rFonts w:ascii="Times New Roman" w:hAnsi="Times New Roman"/>
          <w:sz w:val="23"/>
          <w:szCs w:val="23"/>
        </w:rPr>
        <w:t>3</w:t>
      </w:r>
    </w:p>
    <w:p w:rsidRPr="004C2D03" w:rsidR="00F07C74" w:rsidP="00F07C74" w:rsidRDefault="00F07C74" w14:paraId="64136AEE" w14:textId="77777777">
      <w:pPr>
        <w:jc w:val="both"/>
        <w:rPr>
          <w:rFonts w:ascii="Times New Roman" w:hAnsi="Times New Roman"/>
          <w:b/>
          <w:bCs/>
          <w:i/>
          <w:iCs/>
          <w:sz w:val="23"/>
          <w:szCs w:val="23"/>
          <w:lang w:val="es-ES_tradnl"/>
        </w:rPr>
      </w:pPr>
      <w:r w:rsidRPr="004C2D03">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4C2D03" w:rsidR="00F07C74" w:rsidP="00F07C74" w:rsidRDefault="00F07C74" w14:paraId="57FA2984" w14:textId="77777777">
      <w:pPr>
        <w:spacing w:line="240" w:lineRule="auto"/>
        <w:jc w:val="both"/>
        <w:rPr>
          <w:rFonts w:ascii="Times New Roman" w:hAnsi="Times New Roman"/>
          <w:b/>
          <w:bCs/>
          <w:i/>
          <w:iCs/>
          <w:sz w:val="23"/>
          <w:szCs w:val="23"/>
          <w:lang w:val="es-ES_tradnl"/>
        </w:rPr>
      </w:pPr>
    </w:p>
    <w:p w:rsidRPr="004C2D03" w:rsidR="00F07C74" w:rsidP="004D781D" w:rsidRDefault="00F07C74" w14:paraId="33178CDD" w14:textId="77777777">
      <w:pPr>
        <w:spacing w:line="240" w:lineRule="auto"/>
        <w:jc w:val="center"/>
        <w:rPr>
          <w:rFonts w:ascii="Times New Roman" w:hAnsi="Times New Roman"/>
          <w:b/>
          <w:bCs/>
          <w:sz w:val="23"/>
          <w:szCs w:val="23"/>
        </w:rPr>
      </w:pPr>
      <w:r w:rsidRPr="004C2D03">
        <w:rPr>
          <w:rFonts w:ascii="Times New Roman" w:hAnsi="Times New Roman"/>
          <w:b/>
          <w:bCs/>
          <w:sz w:val="23"/>
          <w:szCs w:val="23"/>
        </w:rPr>
        <w:t xml:space="preserve">Rolando Eyzaguirre </w:t>
      </w:r>
      <w:proofErr w:type="spellStart"/>
      <w:r w:rsidRPr="004C2D03">
        <w:rPr>
          <w:rFonts w:ascii="Times New Roman" w:hAnsi="Times New Roman"/>
          <w:b/>
          <w:bCs/>
          <w:sz w:val="23"/>
          <w:szCs w:val="23"/>
        </w:rPr>
        <w:t>Maccan</w:t>
      </w:r>
      <w:proofErr w:type="spellEnd"/>
      <w:r w:rsidRPr="004C2D03">
        <w:rPr>
          <w:rFonts w:ascii="Times New Roman" w:hAnsi="Times New Roman"/>
          <w:b/>
          <w:bCs/>
          <w:sz w:val="23"/>
          <w:szCs w:val="23"/>
        </w:rPr>
        <w:t xml:space="preserve"> – </w:t>
      </w:r>
      <w:proofErr w:type="gramStart"/>
      <w:r w:rsidRPr="004C2D03">
        <w:rPr>
          <w:rFonts w:ascii="Times New Roman" w:hAnsi="Times New Roman"/>
          <w:b/>
          <w:bCs/>
          <w:sz w:val="23"/>
          <w:szCs w:val="23"/>
        </w:rPr>
        <w:t>Presidente</w:t>
      </w:r>
      <w:proofErr w:type="gramEnd"/>
    </w:p>
    <w:p w:rsidRPr="004C2D03" w:rsidR="00F07C74" w:rsidP="004D781D" w:rsidRDefault="00F07C74" w14:paraId="2983C0F2" w14:textId="77777777">
      <w:pPr>
        <w:spacing w:line="240" w:lineRule="auto"/>
        <w:jc w:val="center"/>
        <w:rPr>
          <w:rFonts w:ascii="Times New Roman" w:hAnsi="Times New Roman"/>
          <w:b/>
          <w:bCs/>
          <w:sz w:val="23"/>
          <w:szCs w:val="23"/>
        </w:rPr>
      </w:pPr>
      <w:r w:rsidRPr="004C2D03">
        <w:rPr>
          <w:rFonts w:ascii="Times New Roman" w:hAnsi="Times New Roman"/>
          <w:b/>
          <w:bCs/>
          <w:sz w:val="23"/>
          <w:szCs w:val="23"/>
        </w:rPr>
        <w:t>María Eugenia Valdez Fernández Baca – Vocal</w:t>
      </w:r>
    </w:p>
    <w:p w:rsidRPr="004C2D03" w:rsidR="00F07C74" w:rsidP="004D781D" w:rsidRDefault="00F07C74" w14:paraId="3E8DC268" w14:textId="77777777">
      <w:pPr>
        <w:spacing w:line="240" w:lineRule="auto"/>
        <w:jc w:val="center"/>
        <w:rPr>
          <w:rFonts w:ascii="Times New Roman" w:hAnsi="Times New Roman"/>
          <w:b/>
          <w:bCs/>
          <w:sz w:val="23"/>
          <w:szCs w:val="23"/>
        </w:rPr>
      </w:pPr>
      <w:r w:rsidRPr="004C2D03">
        <w:rPr>
          <w:rFonts w:ascii="Times New Roman" w:hAnsi="Times New Roman"/>
          <w:b/>
          <w:bCs/>
          <w:sz w:val="23"/>
          <w:szCs w:val="23"/>
        </w:rPr>
        <w:t>Omar Alfaro Villanueva – Vocal</w:t>
      </w:r>
    </w:p>
    <w:p w:rsidRPr="004C2D03" w:rsidR="00F07C74" w:rsidP="004D781D" w:rsidRDefault="00F07C74" w14:paraId="5F67D5FD" w14:textId="77777777">
      <w:pPr>
        <w:spacing w:line="240" w:lineRule="auto"/>
        <w:jc w:val="center"/>
        <w:rPr>
          <w:rFonts w:ascii="Times New Roman" w:hAnsi="Times New Roman"/>
          <w:sz w:val="23"/>
          <w:szCs w:val="23"/>
          <w:lang w:val="es-MX"/>
        </w:rPr>
      </w:pPr>
      <w:r w:rsidRPr="004C2D03">
        <w:rPr>
          <w:rFonts w:ascii="Times New Roman" w:hAnsi="Times New Roman"/>
          <w:b/>
          <w:bCs/>
          <w:sz w:val="23"/>
          <w:szCs w:val="23"/>
        </w:rPr>
        <w:t>Gonzalo Abad del Busto - Vocal</w:t>
      </w:r>
    </w:p>
    <w:p w:rsidRPr="005A556C" w:rsidR="000341A4" w:rsidP="001D5079" w:rsidRDefault="000341A4" w14:paraId="78842804" w14:textId="77777777">
      <w:pPr>
        <w:jc w:val="both"/>
        <w:rPr>
          <w:rFonts w:ascii="Times New Roman" w:hAnsi="Times New Roman"/>
          <w:sz w:val="23"/>
          <w:szCs w:val="23"/>
          <w:lang w:val="es-MX"/>
        </w:rPr>
      </w:pPr>
    </w:p>
    <w:p w:rsidRPr="005A2126" w:rsidR="0089374D" w:rsidRDefault="0089374D" w14:paraId="7A3A0BC6" w14:textId="77777777">
      <w:pPr>
        <w:rPr>
          <w:rFonts w:ascii="Times New Roman" w:hAnsi="Times New Roman"/>
          <w:sz w:val="24"/>
          <w:szCs w:val="24"/>
        </w:rPr>
      </w:pPr>
    </w:p>
    <w:sectPr w:rsidRPr="005A2126"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53275" w:rsidP="00722F1A" w:rsidRDefault="00153275" w14:paraId="49107744" w14:textId="77777777">
      <w:pPr>
        <w:spacing w:after="0" w:line="240" w:lineRule="auto"/>
      </w:pPr>
      <w:r>
        <w:separator/>
      </w:r>
    </w:p>
  </w:endnote>
  <w:endnote w:type="continuationSeparator" w:id="0">
    <w:p w:rsidR="00153275" w:rsidP="00722F1A" w:rsidRDefault="00153275" w14:paraId="2A971042" w14:textId="77777777">
      <w:pPr>
        <w:spacing w:after="0" w:line="240" w:lineRule="auto"/>
      </w:pPr>
      <w:r>
        <w:continuationSeparator/>
      </w:r>
    </w:p>
  </w:endnote>
  <w:endnote w:type="continuationNotice" w:id="1">
    <w:p w:rsidR="00153275" w:rsidRDefault="00153275" w14:paraId="38EB67F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53275" w:rsidP="00722F1A" w:rsidRDefault="00153275" w14:paraId="6256DC20" w14:textId="77777777">
      <w:pPr>
        <w:spacing w:after="0" w:line="240" w:lineRule="auto"/>
      </w:pPr>
      <w:r>
        <w:separator/>
      </w:r>
    </w:p>
  </w:footnote>
  <w:footnote w:type="continuationSeparator" w:id="0">
    <w:p w:rsidR="00153275" w:rsidP="00722F1A" w:rsidRDefault="00153275" w14:paraId="0F0815D4" w14:textId="77777777">
      <w:pPr>
        <w:spacing w:after="0" w:line="240" w:lineRule="auto"/>
      </w:pPr>
      <w:r>
        <w:continuationSeparator/>
      </w:r>
    </w:p>
  </w:footnote>
  <w:footnote w:type="continuationNotice" w:id="1">
    <w:p w:rsidR="00153275" w:rsidRDefault="00153275" w14:paraId="06636C4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15A187E"/>
    <w:multiLevelType w:val="hybridMultilevel"/>
    <w:tmpl w:val="2634FD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1F0068D"/>
    <w:multiLevelType w:val="hybridMultilevel"/>
    <w:tmpl w:val="DD5EE8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7"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5C066CD"/>
    <w:multiLevelType w:val="hybridMultilevel"/>
    <w:tmpl w:val="944EF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6885ACB"/>
    <w:multiLevelType w:val="hybridMultilevel"/>
    <w:tmpl w:val="BAF4C190"/>
    <w:lvl w:ilvl="0" w:tplc="9DEA940A">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70074E5"/>
    <w:multiLevelType w:val="hybridMultilevel"/>
    <w:tmpl w:val="7CEE2FE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FCA0BC3"/>
    <w:multiLevelType w:val="hybridMultilevel"/>
    <w:tmpl w:val="F924969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50BA3593"/>
    <w:multiLevelType w:val="hybridMultilevel"/>
    <w:tmpl w:val="16D42C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764262A"/>
    <w:multiLevelType w:val="hybridMultilevel"/>
    <w:tmpl w:val="BF70DAB0"/>
    <w:lvl w:ilvl="0" w:tplc="215A012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9"/>
  </w:num>
  <w:num w:numId="7" w16cid:durableId="1973601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3"/>
  </w:num>
  <w:num w:numId="12" w16cid:durableId="1692608256">
    <w:abstractNumId w:val="7"/>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2"/>
  </w:num>
  <w:num w:numId="15" w16cid:durableId="60712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7"/>
  </w:num>
  <w:num w:numId="17" w16cid:durableId="759523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149679682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9"/>
  </w:num>
  <w:num w:numId="22" w16cid:durableId="17658772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22"/>
  </w:num>
  <w:num w:numId="27" w16cid:durableId="65152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5344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4634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42241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6588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40410620">
    <w:abstractNumId w:val="30"/>
  </w:num>
  <w:num w:numId="33" w16cid:durableId="11265089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037505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384A"/>
    <w:rsid w:val="000943A4"/>
    <w:rsid w:val="0009564E"/>
    <w:rsid w:val="00096D11"/>
    <w:rsid w:val="000A05B4"/>
    <w:rsid w:val="000A637B"/>
    <w:rsid w:val="000A6DB2"/>
    <w:rsid w:val="000B29AE"/>
    <w:rsid w:val="000B4C03"/>
    <w:rsid w:val="000C1F00"/>
    <w:rsid w:val="000C358B"/>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3275"/>
    <w:rsid w:val="00154A06"/>
    <w:rsid w:val="00156440"/>
    <w:rsid w:val="00163666"/>
    <w:rsid w:val="0016447F"/>
    <w:rsid w:val="0016703A"/>
    <w:rsid w:val="001700F1"/>
    <w:rsid w:val="00173308"/>
    <w:rsid w:val="00180E23"/>
    <w:rsid w:val="00181367"/>
    <w:rsid w:val="00185516"/>
    <w:rsid w:val="00187FCB"/>
    <w:rsid w:val="00190DC3"/>
    <w:rsid w:val="0019297C"/>
    <w:rsid w:val="00192B6A"/>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E76C5"/>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983"/>
    <w:rsid w:val="003B6C85"/>
    <w:rsid w:val="003C0612"/>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17753"/>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C2D03"/>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556C"/>
    <w:rsid w:val="005A6F5E"/>
    <w:rsid w:val="005B1319"/>
    <w:rsid w:val="005B7527"/>
    <w:rsid w:val="005C2472"/>
    <w:rsid w:val="005C2726"/>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6A42"/>
    <w:rsid w:val="006479B8"/>
    <w:rsid w:val="00651DB4"/>
    <w:rsid w:val="00655C05"/>
    <w:rsid w:val="00664D34"/>
    <w:rsid w:val="006653E8"/>
    <w:rsid w:val="006677FB"/>
    <w:rsid w:val="006700A3"/>
    <w:rsid w:val="00674D55"/>
    <w:rsid w:val="00676288"/>
    <w:rsid w:val="00682C14"/>
    <w:rsid w:val="0068645A"/>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0C96"/>
    <w:rsid w:val="006F309C"/>
    <w:rsid w:val="006F5F21"/>
    <w:rsid w:val="00701AF4"/>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1240"/>
    <w:rsid w:val="00766307"/>
    <w:rsid w:val="00766E78"/>
    <w:rsid w:val="00767845"/>
    <w:rsid w:val="00770984"/>
    <w:rsid w:val="0077105C"/>
    <w:rsid w:val="00771D4E"/>
    <w:rsid w:val="00773552"/>
    <w:rsid w:val="00775058"/>
    <w:rsid w:val="00786219"/>
    <w:rsid w:val="00790DF4"/>
    <w:rsid w:val="007927D4"/>
    <w:rsid w:val="007A33BF"/>
    <w:rsid w:val="007A4A6D"/>
    <w:rsid w:val="007A51E2"/>
    <w:rsid w:val="007B4101"/>
    <w:rsid w:val="007B48E1"/>
    <w:rsid w:val="007C066E"/>
    <w:rsid w:val="007C1D34"/>
    <w:rsid w:val="007C277E"/>
    <w:rsid w:val="007C2EAB"/>
    <w:rsid w:val="007C51E3"/>
    <w:rsid w:val="007D2634"/>
    <w:rsid w:val="007D3EB0"/>
    <w:rsid w:val="007D442E"/>
    <w:rsid w:val="007E38B7"/>
    <w:rsid w:val="007E5287"/>
    <w:rsid w:val="007E58B4"/>
    <w:rsid w:val="007E72A3"/>
    <w:rsid w:val="007E7DAB"/>
    <w:rsid w:val="007F00A7"/>
    <w:rsid w:val="007F4488"/>
    <w:rsid w:val="007F581F"/>
    <w:rsid w:val="007F6EC2"/>
    <w:rsid w:val="00801C5F"/>
    <w:rsid w:val="008050AA"/>
    <w:rsid w:val="00806576"/>
    <w:rsid w:val="00814ECD"/>
    <w:rsid w:val="008156DD"/>
    <w:rsid w:val="0081637E"/>
    <w:rsid w:val="0081715A"/>
    <w:rsid w:val="00820F79"/>
    <w:rsid w:val="00823931"/>
    <w:rsid w:val="00826317"/>
    <w:rsid w:val="00830643"/>
    <w:rsid w:val="00831CCC"/>
    <w:rsid w:val="00833D15"/>
    <w:rsid w:val="008371AD"/>
    <w:rsid w:val="00837965"/>
    <w:rsid w:val="00842964"/>
    <w:rsid w:val="0084721E"/>
    <w:rsid w:val="008476FD"/>
    <w:rsid w:val="00854EE6"/>
    <w:rsid w:val="00861AC6"/>
    <w:rsid w:val="00861E9C"/>
    <w:rsid w:val="0086243A"/>
    <w:rsid w:val="008634CA"/>
    <w:rsid w:val="0086567E"/>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28F0"/>
    <w:rsid w:val="008E32C6"/>
    <w:rsid w:val="008E57F8"/>
    <w:rsid w:val="008E5819"/>
    <w:rsid w:val="008E7D37"/>
    <w:rsid w:val="008F29CC"/>
    <w:rsid w:val="008F3B72"/>
    <w:rsid w:val="008F52DF"/>
    <w:rsid w:val="008F73B7"/>
    <w:rsid w:val="009013AD"/>
    <w:rsid w:val="00903126"/>
    <w:rsid w:val="00905717"/>
    <w:rsid w:val="009111C7"/>
    <w:rsid w:val="009217F9"/>
    <w:rsid w:val="0092351B"/>
    <w:rsid w:val="00923B73"/>
    <w:rsid w:val="00925B69"/>
    <w:rsid w:val="009278EB"/>
    <w:rsid w:val="00936470"/>
    <w:rsid w:val="00950713"/>
    <w:rsid w:val="00954297"/>
    <w:rsid w:val="00960CAD"/>
    <w:rsid w:val="009623BD"/>
    <w:rsid w:val="00962534"/>
    <w:rsid w:val="00962DDA"/>
    <w:rsid w:val="00962F29"/>
    <w:rsid w:val="00963CE2"/>
    <w:rsid w:val="009651D2"/>
    <w:rsid w:val="00965981"/>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3E36"/>
    <w:rsid w:val="00A151A2"/>
    <w:rsid w:val="00A17B8F"/>
    <w:rsid w:val="00A209BF"/>
    <w:rsid w:val="00A2495F"/>
    <w:rsid w:val="00A265AA"/>
    <w:rsid w:val="00A27659"/>
    <w:rsid w:val="00A27C06"/>
    <w:rsid w:val="00A30166"/>
    <w:rsid w:val="00A32713"/>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3B4F"/>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E2129"/>
    <w:rsid w:val="00AF51BE"/>
    <w:rsid w:val="00AF51CD"/>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31307"/>
    <w:rsid w:val="00B3136B"/>
    <w:rsid w:val="00B328D9"/>
    <w:rsid w:val="00B33B03"/>
    <w:rsid w:val="00B344D9"/>
    <w:rsid w:val="00B35BE7"/>
    <w:rsid w:val="00B41080"/>
    <w:rsid w:val="00B42CC1"/>
    <w:rsid w:val="00B431F7"/>
    <w:rsid w:val="00B43C0F"/>
    <w:rsid w:val="00B44C7C"/>
    <w:rsid w:val="00B4605A"/>
    <w:rsid w:val="00B462C1"/>
    <w:rsid w:val="00B46490"/>
    <w:rsid w:val="00B46A28"/>
    <w:rsid w:val="00B47681"/>
    <w:rsid w:val="00B47F63"/>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977B3"/>
    <w:rsid w:val="00BB0B6D"/>
    <w:rsid w:val="00BB32F1"/>
    <w:rsid w:val="00BC0F09"/>
    <w:rsid w:val="00BC19B0"/>
    <w:rsid w:val="00BC3B77"/>
    <w:rsid w:val="00BC69EF"/>
    <w:rsid w:val="00BD52E3"/>
    <w:rsid w:val="00BD5530"/>
    <w:rsid w:val="00BD6E56"/>
    <w:rsid w:val="00BD7BB1"/>
    <w:rsid w:val="00BE100C"/>
    <w:rsid w:val="00BE1DD6"/>
    <w:rsid w:val="00BE20BB"/>
    <w:rsid w:val="00BE287A"/>
    <w:rsid w:val="00BE33FF"/>
    <w:rsid w:val="00BE4AC4"/>
    <w:rsid w:val="00BE5FB3"/>
    <w:rsid w:val="00C04542"/>
    <w:rsid w:val="00C06056"/>
    <w:rsid w:val="00C06FF7"/>
    <w:rsid w:val="00C15254"/>
    <w:rsid w:val="00C2073B"/>
    <w:rsid w:val="00C2198B"/>
    <w:rsid w:val="00C22A8E"/>
    <w:rsid w:val="00C24EA8"/>
    <w:rsid w:val="00C25494"/>
    <w:rsid w:val="00C27371"/>
    <w:rsid w:val="00C332C0"/>
    <w:rsid w:val="00C36917"/>
    <w:rsid w:val="00C44F80"/>
    <w:rsid w:val="00C45618"/>
    <w:rsid w:val="00C45DD3"/>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19A0"/>
    <w:rsid w:val="00D75700"/>
    <w:rsid w:val="00D77FFB"/>
    <w:rsid w:val="00D80CF0"/>
    <w:rsid w:val="00D81343"/>
    <w:rsid w:val="00D81F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11DC"/>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AF703"/>
    <w:rsid w:val="00EB07FA"/>
    <w:rsid w:val="00EB2C0D"/>
    <w:rsid w:val="00EB3063"/>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356A"/>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3F21"/>
    <w:rsid w:val="00FB4AA4"/>
    <w:rsid w:val="00FB566A"/>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3E1FF82"/>
    <w:rsid w:val="12159057"/>
    <w:rsid w:val="2EE302D1"/>
    <w:rsid w:val="3583EBE9"/>
    <w:rsid w:val="74419655"/>
    <w:rsid w:val="7452A0B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2071">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56353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03528541">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444662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0884103">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533941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153001">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08425573">
      <w:bodyDiv w:val="1"/>
      <w:marLeft w:val="0"/>
      <w:marRight w:val="0"/>
      <w:marTop w:val="0"/>
      <w:marBottom w:val="0"/>
      <w:divBdr>
        <w:top w:val="none" w:sz="0" w:space="0" w:color="auto"/>
        <w:left w:val="none" w:sz="0" w:space="0" w:color="auto"/>
        <w:bottom w:val="none" w:sz="0" w:space="0" w:color="auto"/>
        <w:right w:val="none" w:sz="0" w:space="0" w:color="auto"/>
      </w:divBdr>
    </w:div>
    <w:div w:id="2111272750">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EB25C4A-60BD-40D8-B5E2-91A55CAAB906}"/>
</file>

<file path=customXml/itemProps3.xml><?xml version="1.0" encoding="utf-8"?>
<ds:datastoreItem xmlns:ds="http://schemas.openxmlformats.org/officeDocument/2006/customXml" ds:itemID="{C2A8F446-B11F-4C6E-A884-98E728E1A05E}"/>
</file>

<file path=customXml/itemProps4.xml><?xml version="1.0" encoding="utf-8"?>
<ds:datastoreItem xmlns:ds="http://schemas.openxmlformats.org/officeDocument/2006/customXml" ds:itemID="{8AECAFD8-0310-4EAA-9493-4F03E5E8E2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741</cp:revision>
  <cp:lastPrinted>2024-01-03T17:38:00Z</cp:lastPrinted>
  <dcterms:created xsi:type="dcterms:W3CDTF">2022-12-22T22:59:00Z</dcterms:created>
  <dcterms:modified xsi:type="dcterms:W3CDTF">2025-07-30T17:43:00Z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