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43BF9" w:rsidR="00707C99" w:rsidP="00272F4F" w:rsidRDefault="00201C0D" w14:paraId="19FE0E96" w14:textId="29DFA8C5">
      <w:pPr>
        <w:spacing w:after="0" w:line="240" w:lineRule="auto"/>
        <w:jc w:val="center"/>
        <w:rPr>
          <w:rFonts w:ascii="Times New Roman" w:hAnsi="Times New Roman" w:cs="Times New Roman"/>
          <w:b/>
          <w:sz w:val="24"/>
          <w:szCs w:val="24"/>
          <w:lang w:val="es-PE" w:eastAsia="ar-SA"/>
        </w:rPr>
      </w:pPr>
      <w:r w:rsidRPr="00743BF9">
        <w:rPr>
          <w:rFonts w:ascii="Times New Roman" w:hAnsi="Times New Roman" w:cs="Times New Roman"/>
          <w:b/>
          <w:sz w:val="24"/>
          <w:szCs w:val="24"/>
          <w:lang w:val="es-PE" w:eastAsia="ar-SA"/>
        </w:rPr>
        <w:t xml:space="preserve">RESOLUCIÓN DE RECURSO IMPUGNATIVO </w:t>
      </w:r>
      <w:r w:rsidRPr="00743BF9" w:rsidR="00707C99">
        <w:rPr>
          <w:rFonts w:ascii="Times New Roman" w:hAnsi="Times New Roman" w:cs="Times New Roman"/>
          <w:b/>
          <w:sz w:val="24"/>
          <w:szCs w:val="24"/>
          <w:lang w:val="es-PE" w:eastAsia="ar-SA"/>
        </w:rPr>
        <w:t xml:space="preserve">N° </w:t>
      </w:r>
      <w:r w:rsidRPr="00743BF9" w:rsidR="00516293">
        <w:rPr>
          <w:rFonts w:ascii="Times New Roman" w:hAnsi="Times New Roman" w:cs="Times New Roman"/>
          <w:b/>
          <w:sz w:val="24"/>
          <w:szCs w:val="24"/>
          <w:lang w:val="es-PE" w:eastAsia="ar-SA"/>
        </w:rPr>
        <w:t>0</w:t>
      </w:r>
      <w:r w:rsidRPr="00743BF9" w:rsidR="00543015">
        <w:rPr>
          <w:rFonts w:ascii="Times New Roman" w:hAnsi="Times New Roman" w:cs="Times New Roman"/>
          <w:b/>
          <w:sz w:val="24"/>
          <w:szCs w:val="24"/>
          <w:lang w:val="es-PE" w:eastAsia="ar-SA"/>
        </w:rPr>
        <w:t>0</w:t>
      </w:r>
      <w:r w:rsidRPr="00743BF9" w:rsidR="00DE4BF9">
        <w:rPr>
          <w:rFonts w:ascii="Times New Roman" w:hAnsi="Times New Roman" w:cs="Times New Roman"/>
          <w:b/>
          <w:sz w:val="24"/>
          <w:szCs w:val="24"/>
          <w:lang w:val="es-PE" w:eastAsia="ar-SA"/>
        </w:rPr>
        <w:t>2</w:t>
      </w:r>
      <w:r w:rsidRPr="00743BF9" w:rsidR="00C671F5">
        <w:rPr>
          <w:rFonts w:ascii="Times New Roman" w:hAnsi="Times New Roman" w:cs="Times New Roman"/>
          <w:b/>
          <w:sz w:val="24"/>
          <w:szCs w:val="24"/>
          <w:lang w:val="es-PE" w:eastAsia="ar-SA"/>
        </w:rPr>
        <w:t>/2</w:t>
      </w:r>
      <w:r w:rsidRPr="00743BF9" w:rsidR="00543015">
        <w:rPr>
          <w:rFonts w:ascii="Times New Roman" w:hAnsi="Times New Roman" w:cs="Times New Roman"/>
          <w:b/>
          <w:sz w:val="24"/>
          <w:szCs w:val="24"/>
          <w:lang w:val="es-PE" w:eastAsia="ar-SA"/>
        </w:rPr>
        <w:t>4</w:t>
      </w:r>
    </w:p>
    <w:p w:rsidRPr="00743BF9" w:rsidR="00F7567C" w:rsidP="00BE695C" w:rsidRDefault="00F7567C" w14:paraId="74F6CE19" w14:textId="77777777">
      <w:pPr>
        <w:pStyle w:val="Default"/>
        <w:jc w:val="both"/>
        <w:rPr>
          <w:rFonts w:ascii="Times New Roman" w:hAnsi="Times New Roman" w:cs="Times New Roman"/>
          <w:b/>
        </w:rPr>
      </w:pPr>
    </w:p>
    <w:p w:rsidRPr="00743BF9" w:rsidR="00543015" w:rsidP="00543015" w:rsidRDefault="00543015" w14:paraId="2AB29307" w14:textId="77777777">
      <w:pPr>
        <w:spacing w:after="0" w:line="240" w:lineRule="auto"/>
        <w:jc w:val="both"/>
        <w:rPr>
          <w:rFonts w:ascii="Times New Roman" w:hAnsi="Times New Roman" w:cs="Times New Roman"/>
          <w:b/>
          <w:sz w:val="24"/>
          <w:szCs w:val="24"/>
          <w:lang w:val="es-PE"/>
        </w:rPr>
      </w:pPr>
    </w:p>
    <w:p w:rsidRPr="00743BF9" w:rsidR="00743BF9" w:rsidP="00743BF9" w:rsidRDefault="00743BF9" w14:paraId="6A860FB7" w14:textId="77777777">
      <w:pPr>
        <w:jc w:val="both"/>
        <w:outlineLvl w:val="0"/>
        <w:rPr>
          <w:rFonts w:ascii="Times New Roman" w:hAnsi="Times New Roman" w:cs="Times New Roman"/>
          <w:b/>
          <w:bCs/>
          <w:sz w:val="24"/>
          <w:szCs w:val="24"/>
          <w:lang w:val="es-MX"/>
        </w:rPr>
      </w:pPr>
      <w:r w:rsidRPr="00743BF9">
        <w:rPr>
          <w:rFonts w:ascii="Times New Roman" w:hAnsi="Times New Roman" w:cs="Times New Roman"/>
          <w:b/>
          <w:bCs/>
          <w:sz w:val="24"/>
          <w:szCs w:val="24"/>
          <w:lang w:val="es-MX"/>
        </w:rPr>
        <w:t>VISTOS:</w:t>
      </w:r>
    </w:p>
    <w:p w:rsidRPr="00743BF9" w:rsidR="00743BF9" w:rsidP="00743BF9" w:rsidRDefault="00743BF9" w14:paraId="45D152A5" w14:textId="127BCD62">
      <w:pPr>
        <w:pStyle w:val="Default"/>
        <w:jc w:val="both"/>
        <w:rPr>
          <w:rFonts w:ascii="Times New Roman" w:hAnsi="Times New Roman" w:cs="Times New Roman"/>
        </w:rPr>
      </w:pPr>
      <w:r w:rsidRPr="48E76D9D" w:rsidR="00743BF9">
        <w:rPr>
          <w:rFonts w:ascii="Times New Roman" w:hAnsi="Times New Roman" w:cs="Times New Roman"/>
        </w:rPr>
        <w:t xml:space="preserve">El recurso de impugnación presentado por </w:t>
      </w:r>
      <w:r w:rsidRPr="48E76D9D" w:rsidR="6AC0A225">
        <w:rPr>
          <w:rFonts w:ascii="Times New Roman" w:hAnsi="Times New Roman" w:cs="Times New Roman"/>
        </w:rPr>
        <w:t>...........................................</w:t>
      </w:r>
      <w:r w:rsidRPr="48E76D9D" w:rsidR="00743BF9">
        <w:rPr>
          <w:rFonts w:ascii="Times New Roman" w:hAnsi="Times New Roman" w:cs="Times New Roman"/>
        </w:rPr>
        <w:t xml:space="preserve"> respecto de la Resolución Nro. 235/23, expedida por esta Defensoría del Asegurado (DEFASEG), conforme a la cual se declaró INFUNDADA la reclamación interpuesta contra </w:t>
      </w:r>
      <w:r w:rsidRPr="48E76D9D" w:rsidR="3DECDF93">
        <w:rPr>
          <w:rFonts w:ascii="Times New Roman" w:hAnsi="Times New Roman" w:cs="Times New Roman"/>
        </w:rPr>
        <w:t>....................................</w:t>
      </w:r>
      <w:r w:rsidRPr="48E76D9D" w:rsidR="00743BF9">
        <w:rPr>
          <w:rFonts w:ascii="Times New Roman" w:hAnsi="Times New Roman" w:cs="Times New Roman"/>
        </w:rPr>
        <w:t xml:space="preserve"> respecto al SEGURO DE DESGRAVAMEN </w:t>
      </w:r>
      <w:r w:rsidRPr="48E76D9D" w:rsidR="6EEB8813">
        <w:rPr>
          <w:rFonts w:ascii="Times New Roman" w:hAnsi="Times New Roman" w:cs="Times New Roman"/>
        </w:rPr>
        <w:t>....................................</w:t>
      </w:r>
      <w:r w:rsidRPr="48E76D9D" w:rsidR="00743BF9">
        <w:rPr>
          <w:rFonts w:ascii="Times New Roman" w:hAnsi="Times New Roman" w:cs="Times New Roman"/>
        </w:rPr>
        <w:t xml:space="preserve">- PAGO EXPRESS 2 – PÓLIZA No </w:t>
      </w:r>
      <w:r w:rsidRPr="48E76D9D" w:rsidR="194F4872">
        <w:rPr>
          <w:rFonts w:ascii="Times New Roman" w:hAnsi="Times New Roman" w:cs="Times New Roman"/>
        </w:rPr>
        <w:t>....................................</w:t>
      </w:r>
      <w:r w:rsidRPr="48E76D9D" w:rsidR="00743BF9">
        <w:rPr>
          <w:rFonts w:ascii="Times New Roman" w:hAnsi="Times New Roman" w:cs="Times New Roman"/>
        </w:rPr>
        <w:t>.</w:t>
      </w:r>
    </w:p>
    <w:p w:rsidR="00743BF9" w:rsidP="00743BF9" w:rsidRDefault="00743BF9" w14:paraId="12970D68" w14:textId="77777777">
      <w:pPr>
        <w:pStyle w:val="Textoindependiente"/>
      </w:pPr>
    </w:p>
    <w:p w:rsidRPr="00743BF9" w:rsidR="00743BF9" w:rsidP="00743BF9" w:rsidRDefault="00743BF9" w14:paraId="1275AB21" w14:textId="739F1C0C">
      <w:pPr>
        <w:pStyle w:val="Textoindependiente"/>
      </w:pPr>
      <w:r w:rsidR="00743BF9">
        <w:rPr/>
        <w:t xml:space="preserve">Que, el indicado recurso se sustenta resumidamente en lo siguiente: (1) </w:t>
      </w:r>
      <w:r w:rsidRPr="48E76D9D" w:rsidR="00743BF9">
        <w:rPr>
          <w:color w:val="000000" w:themeColor="text1" w:themeTint="FF" w:themeShade="FF"/>
          <w:lang w:val="es-PE" w:eastAsia="es-PE"/>
        </w:rPr>
        <w:t xml:space="preserve">obtuvo tres productos con el </w:t>
      </w:r>
      <w:r w:rsidRPr="48E76D9D" w:rsidR="6EEB8813">
        <w:rPr>
          <w:color w:val="000000" w:themeColor="text1" w:themeTint="FF" w:themeShade="FF"/>
          <w:lang w:val="es-PE" w:eastAsia="es-PE"/>
        </w:rPr>
        <w:t>....................................</w:t>
      </w:r>
      <w:r w:rsidRPr="48E76D9D" w:rsidR="00743BF9">
        <w:rPr>
          <w:color w:val="000000" w:themeColor="text1" w:themeTint="FF" w:themeShade="FF"/>
          <w:lang w:val="es-PE" w:eastAsia="es-PE"/>
        </w:rPr>
        <w:t xml:space="preserve">, tal como se refiere en la resolución impugnada, primigeniamente, dichos créditos los obtuvo del </w:t>
      </w:r>
      <w:r w:rsidRPr="48E76D9D" w:rsidR="0CA3574E">
        <w:rPr>
          <w:color w:val="000000" w:themeColor="text1" w:themeTint="FF" w:themeShade="FF"/>
          <w:lang w:val="es-PE" w:eastAsia="es-PE"/>
        </w:rPr>
        <w:t>.............</w:t>
      </w:r>
      <w:r w:rsidRPr="48E76D9D" w:rsidR="00743BF9">
        <w:rPr>
          <w:color w:val="000000" w:themeColor="text1" w:themeTint="FF" w:themeShade="FF"/>
          <w:lang w:val="es-PE" w:eastAsia="es-PE"/>
        </w:rPr>
        <w:t xml:space="preserve"> y que luego de recibir una llamada telefónica de funcionarias del </w:t>
      </w:r>
      <w:r w:rsidRPr="48E76D9D" w:rsidR="6EEB8813">
        <w:rPr>
          <w:color w:val="000000" w:themeColor="text1" w:themeTint="FF" w:themeShade="FF"/>
          <w:lang w:val="es-PE" w:eastAsia="es-PE"/>
        </w:rPr>
        <w:t>....................................</w:t>
      </w:r>
      <w:r w:rsidRPr="48E76D9D" w:rsidR="00743BF9">
        <w:rPr>
          <w:color w:val="000000" w:themeColor="text1" w:themeTint="FF" w:themeShade="FF"/>
          <w:lang w:val="es-PE" w:eastAsia="es-PE"/>
        </w:rPr>
        <w:t xml:space="preserve">, ofreciendo comprar la deuda y con un interés menor es que accedió a realizar la operación respectiva, para lo cual en virtud de las consecuencias del COVID -19, todas las transacciones se realizaban de manera presencial, es que se procedió a su efectivización, de manera tal que </w:t>
      </w:r>
      <w:r w:rsidRPr="48E76D9D" w:rsidR="6EEB8813">
        <w:rPr>
          <w:color w:val="000000" w:themeColor="text1" w:themeTint="FF" w:themeShade="FF"/>
          <w:lang w:val="es-PE" w:eastAsia="es-PE"/>
        </w:rPr>
        <w:t>....................................</w:t>
      </w:r>
      <w:r w:rsidRPr="48E76D9D" w:rsidR="00743BF9">
        <w:rPr>
          <w:color w:val="000000" w:themeColor="text1" w:themeTint="FF" w:themeShade="FF"/>
          <w:lang w:val="es-PE" w:eastAsia="es-PE"/>
        </w:rPr>
        <w:t xml:space="preserve">, remitió a su correo electrónico la información respectiva, sin informarme mayor detalle o requiriéndome información acerca de su estado de salud; (2) nació el 17-09-1970, con un diagnóstico de Luxación Congénita en la cadera izquierda, versión que se desprende del Certificado Médico e Incapacidad -DS N°166-2005-EF, </w:t>
      </w:r>
      <w:r w:rsidRPr="48E76D9D" w:rsidR="00743BF9">
        <w:rPr>
          <w:color w:val="000000" w:themeColor="text1" w:themeTint="FF" w:themeShade="FF"/>
          <w:lang w:val="es-PE" w:eastAsia="es-PE"/>
        </w:rPr>
        <w:t>N°</w:t>
      </w:r>
      <w:r w:rsidRPr="48E76D9D" w:rsidR="7BBEE3C7">
        <w:rPr>
          <w:color w:val="000000" w:themeColor="text1" w:themeTint="FF" w:themeShade="FF"/>
          <w:lang w:val="es-PE" w:eastAsia="es-PE"/>
        </w:rPr>
        <w:t>................</w:t>
      </w:r>
      <w:r w:rsidRPr="48E76D9D" w:rsidR="00743BF9">
        <w:rPr>
          <w:color w:val="000000" w:themeColor="text1" w:themeTint="FF" w:themeShade="FF"/>
          <w:lang w:val="es-PE" w:eastAsia="es-PE"/>
        </w:rPr>
        <w:t xml:space="preserve">, de fecha 11.07.2023; (3) mas no porque al nacer haya sido diagnosticada por profesional alguno en los años 70; (4) la información que he venido proporcionando, es en base al mencionado Certificado Oficial extendido por la Comisión Médica Calificadora de la Incapacidad, tal es así que desde su niñez se ha desenvuelto con normalidad, hasta que en el año 2015, tal como lo demuestra con la Historia Clínica, en virtud a ciertas incomodidades, acudió al Seguro de ESSALUD y luego de una larga etapa de consultas, evaluaciones, exámenes; los Profesionales Especializados concluyeron que padecía de una “enfermedad congénita” </w:t>
      </w:r>
      <w:r w:rsidRPr="48E76D9D" w:rsidR="00743BF9">
        <w:rPr>
          <w:i w:val="1"/>
          <w:iCs w:val="1"/>
          <w:color w:val="000000" w:themeColor="text1" w:themeTint="FF" w:themeShade="FF"/>
          <w:lang w:val="es-PE" w:eastAsia="es-PE"/>
        </w:rPr>
        <w:t>(congénita es un problema que afecta a cómo se forman las partes de cuerpo de un bebé y/o a cómo funcionan. El bebé nace con ese problema, pero es posible que este no se ponga de manifiesto hasta más adelante)</w:t>
      </w:r>
      <w:r w:rsidRPr="48E76D9D" w:rsidR="00743BF9">
        <w:rPr>
          <w:color w:val="000000" w:themeColor="text1" w:themeTint="FF" w:themeShade="FF"/>
          <w:lang w:val="es-PE" w:eastAsia="es-PE"/>
        </w:rPr>
        <w:t>; enfermedad que se puso en evidencia ya en su etapa adulta; (5) procedió a solicitar una revaluación a la referida Comisión, los mismos que advirtiendo su legal reclamo, procedieron a ejecutar la revaluación, emitiendo un nuevo CERTIFICADO MÉDICO DE INCAPACIDAD – DS N°166-2005-EF, signado con el N°</w:t>
      </w:r>
      <w:r w:rsidRPr="48E76D9D" w:rsidR="2BCB0673">
        <w:rPr>
          <w:color w:val="000000" w:themeColor="text1" w:themeTint="FF" w:themeShade="FF"/>
          <w:lang w:val="es-PE" w:eastAsia="es-PE"/>
        </w:rPr>
        <w:t>................</w:t>
      </w:r>
      <w:r w:rsidRPr="48E76D9D" w:rsidR="00743BF9">
        <w:rPr>
          <w:color w:val="000000" w:themeColor="text1" w:themeTint="FF" w:themeShade="FF"/>
          <w:lang w:val="es-PE" w:eastAsia="es-PE"/>
        </w:rPr>
        <w:t>, de fecha 05.12.2023 y que ofrece como nuevo medio de prueba, para que procedan a valorar de acuerdo a ley y que adjunta al presente recurso; (6) el Certificado Médico de Incapacidad N°</w:t>
      </w:r>
      <w:r w:rsidRPr="48E76D9D" w:rsidR="2BCB0673">
        <w:rPr>
          <w:color w:val="000000" w:themeColor="text1" w:themeTint="FF" w:themeShade="FF"/>
          <w:lang w:val="es-PE" w:eastAsia="es-PE"/>
        </w:rPr>
        <w:t>................</w:t>
      </w:r>
      <w:r w:rsidRPr="48E76D9D" w:rsidR="00743BF9">
        <w:rPr>
          <w:color w:val="000000" w:themeColor="text1" w:themeTint="FF" w:themeShade="FF"/>
          <w:lang w:val="es-PE" w:eastAsia="es-PE"/>
        </w:rPr>
        <w:t>, de fecha 05.12.2023, contiene el diagnóstico completo y en concordancia con la Historia Clínica e Informes realizados por los especialistas y que como se podrá apreciar que adicionalmente al Diagnóstico de fecha 11.07.2023, se ha adicionado: OSTEOARTROSIS GENERALIZADA CON COMPROMISO DE MANOS - M15.0; (7) en el Certificado N°</w:t>
      </w:r>
      <w:r w:rsidRPr="48E76D9D" w:rsidR="2BCB0673">
        <w:rPr>
          <w:color w:val="000000" w:themeColor="text1" w:themeTint="FF" w:themeShade="FF"/>
          <w:lang w:val="es-PE" w:eastAsia="es-PE"/>
        </w:rPr>
        <w:t>................</w:t>
      </w:r>
      <w:r w:rsidRPr="48E76D9D" w:rsidR="00743BF9">
        <w:rPr>
          <w:color w:val="000000" w:themeColor="text1" w:themeTint="FF" w:themeShade="FF"/>
          <w:lang w:val="es-PE" w:eastAsia="es-PE"/>
        </w:rPr>
        <w:t>, los profesionales de la salud han concluido en el punto III; literal b. Característica de la Incapacidad:</w:t>
      </w:r>
      <w:r w:rsidR="00743BF9">
        <w:rPr/>
        <w:t xml:space="preserve"> Naturaleza de la Incapacidad: PERMANENTE, Grado de Incapacidad : TOTAL, </w:t>
      </w:r>
      <w:r w:rsidRPr="48E76D9D" w:rsidR="00743BF9">
        <w:rPr>
          <w:color w:val="000000" w:themeColor="text1" w:themeTint="FF" w:themeShade="FF"/>
          <w:lang w:val="es-PE" w:eastAsia="es-PE"/>
        </w:rPr>
        <w:t xml:space="preserve">Menoscabo : 68%; (8) cumple con lo estipulado en el literal b) del artículo 115 del Reglamento del TUO del SPP, el cual establece que, para efectos de la pensión de invalidez, son aplicables: “b) INVALIDEZ TOTAL…cuando quede impedido para el trabajo cuando menos en dos terceras partes de su capacidad de trabajo”; es decir 66.67% y mi porcentaje de acuerdo al Certificado actualizado de Menoscabo es de 68%.; (9) queda demostrado con medio de prueba idóneo, esto es el Certificado Médico de Incapacidad, emitido por la Comisión Médica Calificadora de la </w:t>
      </w:r>
      <w:r w:rsidRPr="48E76D9D" w:rsidR="00743BF9">
        <w:rPr>
          <w:color w:val="000000" w:themeColor="text1" w:themeTint="FF" w:themeShade="FF"/>
          <w:lang w:val="es-PE" w:eastAsia="es-PE"/>
        </w:rPr>
        <w:t>Incapacidad, en la que se establece el diagnóstico pormenorizado su Discapacidad es PERMANENTE Y TOTAL Y CON UN MENOSCABO DEL 68%.</w:t>
      </w:r>
    </w:p>
    <w:p w:rsidRPr="00743BF9" w:rsidR="00743BF9" w:rsidP="00743BF9" w:rsidRDefault="00743BF9" w14:paraId="4732BB06" w14:textId="77777777">
      <w:pPr>
        <w:pStyle w:val="Textoindependiente"/>
      </w:pPr>
    </w:p>
    <w:p w:rsidRPr="00743BF9" w:rsidR="00743BF9" w:rsidP="00743BF9" w:rsidRDefault="00743BF9" w14:paraId="003DAB34" w14:textId="77777777">
      <w:pPr>
        <w:pStyle w:val="Textoindependiente"/>
        <w:rPr>
          <w:color w:val="000000"/>
          <w:lang w:val="es-PE" w:eastAsia="es-PE"/>
        </w:rPr>
      </w:pPr>
      <w:r w:rsidRPr="00743BF9">
        <w:t>Que, la aseguradora absolvió el traslado del recurso interpuesto, manifestando en síntesis lo siguiente: (1) la</w:t>
      </w:r>
      <w:r w:rsidRPr="00743BF9">
        <w:rPr>
          <w:color w:val="000000"/>
          <w:lang w:val="es-PE" w:eastAsia="es-PE"/>
        </w:rPr>
        <w:t xml:space="preserve"> solicitud de cobertura realizada por la reclamante, así como el reclamo realizado ante la Defensoría del Asegurado, fueron sustentados en el supuesto de una “invalidez total y permanente” de la asegurada, justificado en el Certificado Médico de fecha 11 de julio de 2023 que fue presentado por la misma y en el que se advierte la determinación de un porcentaje de menoscabo global de sus capacidades de 60%; (2) la compañía cumplió con sustentar el rechazo de la cobertura en razón a que, para configurarse una “invalidez total y permanente” el porcentaje de menoscabo global debe ser superior al 66,67%; por lo que, de la lectura del Certificado Médico presentado, la Asegurada no se encontraba en el supuesto de “invalidez total y permanente”; (3) la resolución N°235/23 declara infundado el reclamo de la asegurada en atención a lo señalado en el Reglamento del TUO de la SPP, que, en su artículo 115 establece que para configurarse una “invalidez total y permanente” el porcentaje de menoscabo global debe ser superior al 66,7%, lo que no se cumple en el caso de la Asegurada y que, por lo tanto, implica la exclusión de la cobertura en concordancia con los términos de la póliza; (4) la asegurada, en su escrito impugnatorio, sostiene que sí cumple con el supuesto de “invalidez total y permanente” y lo sustenta en un nuevo Certificado médico de fecha 05 de diciembre de 2023 en el que se determina un menoscabo global de sus capacidades del 68% debido a una condición que la Asegurada padece en las manos; (5) respecto de este nuevo Certificado Médico, el mismo no ha formado parte de la documentación presentada por la asegurada originalmente, por lo que la Compañía, al realizar el análisis de la solicitud de cobertura y posterior rechazo, no pudo advertir lo establecido en este último documento; (6) no cabe el pedido de la asegurada en el que pretende que se aplique la cobertura de la póliza en razón a un supuesto distinto al originalmente presentado, toda vez que esto requeriría necesariamente una atención y evaluación distinta para determinar si procede o no la cobertura; (7) el Certificado médico de fecha 05 de diciembre del 2023 así como la condición médica referida por la Asegurada en su escrito impugnatorio, no fue informada en ningún momento; ni siquiera en la audiencia llevada a cabo el 13 de noviembre de 2023 ante la Defensoría, por lo que la Compañía no ha podido, sino hasta este momento tomar conocimiento del mismo; (8) la Compañía rechazó el pedido de la Asegurada adecuadamente, fundamentando su posición en la evaluación de la documentación presentada contrastada con lo establecido en la normativa aplicable al caso, lo que llevó a determinar que la solicitud de cobertura no procedía por no adherirse a los términos de la póliza; (9) mantenemos nuestra posición de rechazo de la aplicación de la cobertura póliza e indicamos que el escrito impugnatorio presentado por la asegurada pretende cambiar el sustento de la solicitud de cobertura original, alegando un supuesto del que la Compañía nunca tuvo conocimiento y, por lo tanto, no pudo haber evaluado ni pudo haberse pronunciado. </w:t>
      </w:r>
    </w:p>
    <w:p w:rsidRPr="00743BF9" w:rsidR="00743BF9" w:rsidP="00743BF9" w:rsidRDefault="00743BF9" w14:paraId="58DD8B15" w14:textId="77777777">
      <w:pPr>
        <w:pStyle w:val="Textoindependiente"/>
        <w:rPr>
          <w:lang w:val="es-PE"/>
        </w:rPr>
      </w:pPr>
    </w:p>
    <w:p w:rsidRPr="00743BF9" w:rsidR="00743BF9" w:rsidP="00743BF9" w:rsidRDefault="00743BF9" w14:paraId="462D9061" w14:textId="77777777">
      <w:pPr>
        <w:pStyle w:val="Textoindependiente"/>
        <w:tabs>
          <w:tab w:val="left" w:pos="930"/>
        </w:tabs>
      </w:pPr>
      <w:r w:rsidRPr="00743BF9">
        <w:t>Que, atendiendo a lo expuesto, esta Defensoría resuelve finalmente lo siguiente:</w:t>
      </w:r>
    </w:p>
    <w:p w:rsidRPr="00743BF9" w:rsidR="00743BF9" w:rsidP="00743BF9" w:rsidRDefault="00743BF9" w14:paraId="5D08A2BE" w14:textId="77777777">
      <w:pPr>
        <w:jc w:val="both"/>
        <w:rPr>
          <w:rFonts w:ascii="Times New Roman" w:hAnsi="Times New Roman" w:cs="Times New Roman"/>
          <w:b/>
          <w:sz w:val="24"/>
          <w:szCs w:val="24"/>
          <w:u w:val="single"/>
          <w:lang w:val="es-PE"/>
        </w:rPr>
      </w:pPr>
    </w:p>
    <w:p w:rsidRPr="00743BF9" w:rsidR="00743BF9" w:rsidP="00743BF9" w:rsidRDefault="00743BF9" w14:paraId="2F583422" w14:textId="77777777">
      <w:pPr>
        <w:jc w:val="both"/>
        <w:rPr>
          <w:rFonts w:ascii="Times New Roman" w:hAnsi="Times New Roman" w:cs="Times New Roman"/>
          <w:sz w:val="24"/>
          <w:szCs w:val="24"/>
          <w:lang w:val="es-PE"/>
        </w:rPr>
      </w:pPr>
      <w:r w:rsidRPr="00743BF9">
        <w:rPr>
          <w:rFonts w:ascii="Times New Roman" w:hAnsi="Times New Roman" w:cs="Times New Roman"/>
          <w:b/>
          <w:sz w:val="24"/>
          <w:szCs w:val="24"/>
          <w:u w:val="single"/>
          <w:lang w:val="es-PE"/>
        </w:rPr>
        <w:t>PRIMERO</w:t>
      </w:r>
      <w:r w:rsidRPr="00743BF9">
        <w:rPr>
          <w:rFonts w:ascii="Times New Roman" w:hAnsi="Times New Roman" w:cs="Times New Roman"/>
          <w:b/>
          <w:sz w:val="24"/>
          <w:szCs w:val="24"/>
          <w:lang w:val="es-PE"/>
        </w:rPr>
        <w:t>:</w:t>
      </w:r>
      <w:r w:rsidRPr="00743BF9">
        <w:rPr>
          <w:rFonts w:ascii="Times New Roman" w:hAnsi="Times New Roman" w:cs="Times New Roman"/>
          <w:sz w:val="24"/>
          <w:szCs w:val="24"/>
          <w:lang w:val="es-PE"/>
        </w:rPr>
        <w:t xml:space="preserve"> El artículo 10 (Procedimiento) del Reglamento de la DEFASEG </w:t>
      </w:r>
      <w:r w:rsidRPr="00743BF9">
        <w:rPr>
          <w:rFonts w:ascii="Times New Roman" w:hAnsi="Times New Roman" w:eastAsia="Arial Unicode MS" w:cs="Times New Roman"/>
          <w:sz w:val="24"/>
          <w:szCs w:val="24"/>
          <w:lang w:val="es-PE"/>
        </w:rPr>
        <w:t>(http://www.defaseg.com.pe/reglamento)</w:t>
      </w:r>
      <w:r w:rsidRPr="00743BF9">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743BF9" w:rsidR="00743BF9" w:rsidP="00743BF9" w:rsidRDefault="00743BF9" w14:paraId="65D4BF69" w14:textId="77777777">
      <w:pPr>
        <w:jc w:val="both"/>
        <w:rPr>
          <w:rFonts w:ascii="Times New Roman" w:hAnsi="Times New Roman" w:cs="Times New Roman"/>
          <w:sz w:val="24"/>
          <w:szCs w:val="24"/>
          <w:lang w:val="es-PE"/>
        </w:rPr>
      </w:pPr>
    </w:p>
    <w:p w:rsidRPr="00743BF9" w:rsidR="00743BF9" w:rsidP="00743BF9" w:rsidRDefault="00743BF9" w14:paraId="2DC00ECA" w14:textId="77777777">
      <w:pPr>
        <w:jc w:val="both"/>
        <w:rPr>
          <w:rFonts w:ascii="Times New Roman" w:hAnsi="Times New Roman" w:cs="Times New Roman"/>
          <w:bCs/>
          <w:sz w:val="24"/>
          <w:szCs w:val="24"/>
          <w:lang w:val="es-PE"/>
        </w:rPr>
      </w:pPr>
      <w:r w:rsidRPr="00743BF9">
        <w:rPr>
          <w:rFonts w:ascii="Times New Roman" w:hAnsi="Times New Roman" w:cs="Times New Roman"/>
          <w:sz w:val="24"/>
          <w:szCs w:val="24"/>
          <w:lang w:val="es-PE"/>
        </w:rPr>
        <w:t xml:space="preserve">Conforme a ello, en el caso concreto, el reclamante </w:t>
      </w:r>
      <w:r w:rsidRPr="00743BF9">
        <w:rPr>
          <w:rFonts w:ascii="Times New Roman" w:hAnsi="Times New Roman" w:cs="Times New Roman"/>
          <w:bCs/>
          <w:sz w:val="24"/>
          <w:szCs w:val="24"/>
          <w:lang w:val="es-PE"/>
        </w:rPr>
        <w:t>sustenta su impugnación al presentar nueva prueba sobre la incapacidad que padece.</w:t>
      </w:r>
    </w:p>
    <w:p w:rsidRPr="00743BF9" w:rsidR="00743BF9" w:rsidP="48E76D9D" w:rsidRDefault="00743BF9" w14:paraId="066F74EC" w14:textId="2D4D6C7E">
      <w:pPr>
        <w:jc w:val="both"/>
        <w:rPr>
          <w:rFonts w:ascii="Times New Roman" w:hAnsi="Times New Roman" w:cs="Times New Roman"/>
          <w:sz w:val="24"/>
          <w:szCs w:val="24"/>
          <w:lang w:val="es-PE"/>
        </w:rPr>
      </w:pPr>
      <w:r w:rsidRPr="48E76D9D" w:rsidR="00743BF9">
        <w:rPr>
          <w:rFonts w:ascii="Times New Roman" w:hAnsi="Times New Roman" w:cs="Times New Roman"/>
          <w:b w:val="1"/>
          <w:bCs w:val="1"/>
          <w:sz w:val="24"/>
          <w:szCs w:val="24"/>
          <w:u w:val="single"/>
          <w:lang w:val="es-PE"/>
        </w:rPr>
        <w:t>SEGUNDO</w:t>
      </w:r>
      <w:r w:rsidRPr="48E76D9D" w:rsidR="00743BF9">
        <w:rPr>
          <w:rFonts w:ascii="Times New Roman" w:hAnsi="Times New Roman" w:cs="Times New Roman"/>
          <w:b w:val="1"/>
          <w:bCs w:val="1"/>
          <w:sz w:val="24"/>
          <w:szCs w:val="24"/>
          <w:lang w:val="es-PE"/>
        </w:rPr>
        <w:t>:</w:t>
      </w:r>
      <w:r w:rsidRPr="48E76D9D" w:rsidR="00743BF9">
        <w:rPr>
          <w:rFonts w:ascii="Times New Roman" w:hAnsi="Times New Roman" w:cs="Times New Roman"/>
          <w:sz w:val="24"/>
          <w:szCs w:val="24"/>
          <w:lang w:val="es-PE"/>
        </w:rPr>
        <w:t xml:space="preserve"> Conforme al octavo considerando de la resolución impugnada, se declaró infundada la reclamación en función a la calificación contenida en el Certificado de Incapacidad No </w:t>
      </w:r>
      <w:r w:rsidRPr="48E76D9D" w:rsidR="7BBEE3C7">
        <w:rPr>
          <w:rFonts w:ascii="Times New Roman" w:hAnsi="Times New Roman" w:cs="Times New Roman"/>
          <w:sz w:val="24"/>
          <w:szCs w:val="24"/>
          <w:lang w:val="es-PE"/>
        </w:rPr>
        <w:t>................</w:t>
      </w:r>
      <w:r w:rsidRPr="48E76D9D" w:rsidR="00743BF9">
        <w:rPr>
          <w:rFonts w:ascii="Times New Roman" w:hAnsi="Times New Roman" w:cs="Times New Roman"/>
          <w:sz w:val="24"/>
          <w:szCs w:val="24"/>
          <w:lang w:val="es-PE"/>
        </w:rPr>
        <w:t xml:space="preserve"> de fecha 11 de julio de 2023, según la cual la incapacidad era del 60%.</w:t>
      </w:r>
    </w:p>
    <w:p w:rsidRPr="00743BF9" w:rsidR="00743BF9" w:rsidP="48E76D9D" w:rsidRDefault="00743BF9" w14:paraId="7D90C8CE" w14:textId="001ADCBC">
      <w:pPr>
        <w:jc w:val="both"/>
        <w:rPr>
          <w:rFonts w:ascii="Times New Roman" w:hAnsi="Times New Roman" w:cs="Times New Roman"/>
          <w:sz w:val="24"/>
          <w:szCs w:val="24"/>
          <w:lang w:val="es-PE"/>
        </w:rPr>
      </w:pPr>
      <w:r w:rsidRPr="48E76D9D" w:rsidR="00743BF9">
        <w:rPr>
          <w:rFonts w:ascii="Times New Roman" w:hAnsi="Times New Roman" w:cs="Times New Roman"/>
          <w:sz w:val="24"/>
          <w:szCs w:val="24"/>
          <w:lang w:val="es-PE"/>
        </w:rPr>
        <w:t xml:space="preserve">En vía de impugnación la reclamante actualiza la evaluación de su condición de incapacidad mediante el Certificado Médico de Incapacidad No </w:t>
      </w:r>
      <w:r w:rsidRPr="48E76D9D" w:rsidR="2BCB0673">
        <w:rPr>
          <w:rFonts w:ascii="Times New Roman" w:hAnsi="Times New Roman" w:cs="Times New Roman"/>
          <w:sz w:val="24"/>
          <w:szCs w:val="24"/>
          <w:lang w:val="es-PE"/>
        </w:rPr>
        <w:t>................</w:t>
      </w:r>
      <w:r w:rsidRPr="48E76D9D" w:rsidR="00743BF9">
        <w:rPr>
          <w:rFonts w:ascii="Times New Roman" w:hAnsi="Times New Roman" w:cs="Times New Roman"/>
          <w:sz w:val="24"/>
          <w:szCs w:val="24"/>
          <w:lang w:val="es-PE"/>
        </w:rPr>
        <w:t xml:space="preserve"> de fecha 5 de diciembre de 2023, donde se verifica que el </w:t>
      </w:r>
      <w:r w:rsidRPr="48E76D9D" w:rsidR="00743BF9">
        <w:rPr>
          <w:rFonts w:ascii="Times New Roman" w:hAnsi="Times New Roman" w:cs="Times New Roman"/>
          <w:sz w:val="24"/>
          <w:szCs w:val="24"/>
          <w:lang w:val="es-PE"/>
        </w:rPr>
        <w:t>menoscabo dictaminado para la invalidez de la asegurada asciende al 68%, por lo que la invalidez es calificada como total y permanente.</w:t>
      </w:r>
    </w:p>
    <w:p w:rsidRPr="00743BF9" w:rsidR="00743BF9" w:rsidP="00743BF9" w:rsidRDefault="00743BF9" w14:paraId="61E6A25A" w14:textId="22232D18">
      <w:pPr>
        <w:jc w:val="both"/>
        <w:rPr>
          <w:rFonts w:ascii="Times New Roman" w:hAnsi="Times New Roman" w:cs="Times New Roman"/>
          <w:sz w:val="24"/>
          <w:szCs w:val="24"/>
          <w:lang w:val="es-PE"/>
        </w:rPr>
      </w:pPr>
      <w:r w:rsidRPr="00743BF9">
        <w:rPr>
          <w:rFonts w:ascii="Times New Roman" w:hAnsi="Times New Roman" w:cs="Times New Roman"/>
          <w:sz w:val="24"/>
          <w:szCs w:val="24"/>
          <w:lang w:val="es-PE"/>
        </w:rPr>
        <w:t>Asimismo, en dicho certificado se advierte que la incapacidad tiene como fecha de inicio el 17 de septiembre de 1970. Siendo que ha habido dictámenes previos donde se le dio un menoscabo menor, queda claro que estamos ante una enfermedad que fue afectando la capacidad de la asegurada, hasta configurar durante la vigencia de la póliza una invalidez total y permanente, incapacidad que inicia en 1970, pero que recién configura el grado total permanente, con la emisión de este último certificado médico, como se aprecia a continuación:</w:t>
      </w:r>
    </w:p>
    <w:p w:rsidRPr="00743BF9" w:rsidR="00743BF9" w:rsidP="00743BF9" w:rsidRDefault="00743BF9" w14:paraId="67EF3C5F" w14:textId="7DB0E2E0">
      <w:pPr>
        <w:jc w:val="both"/>
      </w:pPr>
      <w:r w:rsidR="5488D127">
        <w:rPr/>
        <w:t>.................................................................................................................................................................</w:t>
      </w:r>
    </w:p>
    <w:p w:rsidRPr="00743BF9" w:rsidR="00743BF9" w:rsidP="00743BF9" w:rsidRDefault="00743BF9" w14:paraId="7A232829" w14:textId="77777777">
      <w:pPr>
        <w:jc w:val="both"/>
        <w:rPr>
          <w:rFonts w:ascii="Times New Roman" w:hAnsi="Times New Roman" w:cs="Times New Roman"/>
          <w:sz w:val="24"/>
          <w:szCs w:val="24"/>
          <w:lang w:val="es-PE"/>
        </w:rPr>
      </w:pPr>
      <w:r w:rsidRPr="00743BF9">
        <w:rPr>
          <w:rFonts w:ascii="Times New Roman" w:hAnsi="Times New Roman" w:cs="Times New Roman"/>
          <w:sz w:val="24"/>
          <w:szCs w:val="24"/>
          <w:lang w:val="es-PE"/>
        </w:rPr>
        <w:t>La aseguradora, lejos de expresar su posición sobre este nuevo certificado de seguro, evaluarlo, y pronunciarse al respecto, se ha limitado a señalar que</w:t>
      </w:r>
      <w:r w:rsidRPr="00743BF9">
        <w:rPr>
          <w:rFonts w:ascii="Times New Roman" w:hAnsi="Times New Roman" w:cs="Times New Roman"/>
          <w:color w:val="000000"/>
          <w:sz w:val="24"/>
          <w:szCs w:val="24"/>
          <w:lang w:val="es-PE" w:eastAsia="es-PE"/>
        </w:rPr>
        <w:t xml:space="preserve"> la asegurada pretende cambiar el sustento de la solicitud de cobertura original, alegando un supuesto del que la Compañía nunca tuvo conocimiento y, por lo tanto, no pudo haber evaluado ni pudo haberse pronunciado. No obstante, es claro que a través del presente procedimiento la aseguradora ha tomado conocimiento de dicho dictamen, el que justamente prueba que sí se ha alcanzado el grado de invalidez requerido, habiendo tenido la oportunidad de pronunciarse al respecto, al absolver el traslado de la impugnación. </w:t>
      </w:r>
    </w:p>
    <w:p w:rsidRPr="00743BF9" w:rsidR="00743BF9" w:rsidP="00743BF9" w:rsidRDefault="00743BF9" w14:paraId="31C8B650" w14:textId="77777777">
      <w:pPr>
        <w:jc w:val="both"/>
        <w:rPr>
          <w:rFonts w:ascii="Times New Roman" w:hAnsi="Times New Roman" w:cs="Times New Roman"/>
          <w:sz w:val="24"/>
          <w:szCs w:val="24"/>
          <w:lang w:val="es-PE"/>
        </w:rPr>
      </w:pPr>
    </w:p>
    <w:p w:rsidRPr="00743BF9" w:rsidR="00743BF9" w:rsidP="00743BF9" w:rsidRDefault="00743BF9" w14:paraId="7C06F9FE" w14:textId="77777777">
      <w:pPr>
        <w:jc w:val="both"/>
        <w:rPr>
          <w:rFonts w:ascii="Times New Roman" w:hAnsi="Times New Roman" w:cs="Times New Roman"/>
          <w:sz w:val="24"/>
          <w:szCs w:val="24"/>
          <w:lang w:val="es-PE"/>
        </w:rPr>
      </w:pPr>
      <w:r w:rsidRPr="00743BF9">
        <w:rPr>
          <w:rFonts w:ascii="Times New Roman" w:hAnsi="Times New Roman" w:cs="Times New Roman"/>
          <w:sz w:val="24"/>
          <w:szCs w:val="24"/>
          <w:lang w:val="es-PE"/>
        </w:rPr>
        <w:lastRenderedPageBreak/>
        <w:t>En lo que respecta a la exclusión por preexistencia, de acuerdo con la carta de rechazo de fecha 28 de agosto de 2023, la aseguradora ha invocado que la incapacidad se origina por una enfermedad anterior a la contratación del seguro, que ocurrió el 30 de octubre de 2022.</w:t>
      </w:r>
    </w:p>
    <w:p w:rsidRPr="00743BF9" w:rsidR="00743BF9" w:rsidP="00743BF9" w:rsidRDefault="00743BF9" w14:paraId="602681F5" w14:textId="2BE3FE5F">
      <w:pPr>
        <w:jc w:val="both"/>
        <w:rPr>
          <w:rFonts w:ascii="Times New Roman" w:hAnsi="Times New Roman" w:cs="Times New Roman"/>
          <w:sz w:val="24"/>
          <w:szCs w:val="24"/>
          <w:lang w:val="es-PE"/>
        </w:rPr>
      </w:pPr>
      <w:r w:rsidRPr="48E76D9D" w:rsidR="00743BF9">
        <w:rPr>
          <w:rFonts w:ascii="Times New Roman" w:hAnsi="Times New Roman" w:cs="Times New Roman"/>
          <w:sz w:val="24"/>
          <w:szCs w:val="24"/>
          <w:lang w:val="es-PE"/>
        </w:rPr>
        <w:t xml:space="preserve">En el Certificado de Seguro presentado por </w:t>
      </w:r>
      <w:r w:rsidRPr="48E76D9D" w:rsidR="281F27D1">
        <w:rPr>
          <w:rFonts w:ascii="Times New Roman" w:hAnsi="Times New Roman" w:cs="Times New Roman"/>
          <w:sz w:val="24"/>
          <w:szCs w:val="24"/>
          <w:lang w:val="es-PE"/>
        </w:rPr>
        <w:t>................</w:t>
      </w:r>
      <w:r w:rsidRPr="48E76D9D" w:rsidR="00743BF9">
        <w:rPr>
          <w:rFonts w:ascii="Times New Roman" w:hAnsi="Times New Roman" w:cs="Times New Roman"/>
          <w:sz w:val="24"/>
          <w:szCs w:val="24"/>
          <w:lang w:val="es-PE"/>
        </w:rPr>
        <w:t xml:space="preserve"> obra la exclusión de cobertura cuando la invalidez ocurre como consecuencia de una condición o enfermedad o accidentes graves y/o crónicas preexistentes a la contratación de la Póliza (literal h, página 6/13).</w:t>
      </w:r>
    </w:p>
    <w:p w:rsidRPr="00743BF9" w:rsidR="00743BF9" w:rsidP="00743BF9" w:rsidRDefault="00743BF9" w14:paraId="0631392A" w14:textId="77777777">
      <w:pPr>
        <w:jc w:val="both"/>
        <w:rPr>
          <w:rFonts w:ascii="Times New Roman" w:hAnsi="Times New Roman" w:cs="Times New Roman"/>
          <w:sz w:val="24"/>
          <w:szCs w:val="24"/>
          <w:lang w:val="es-PE"/>
        </w:rPr>
      </w:pPr>
      <w:r w:rsidRPr="00743BF9">
        <w:rPr>
          <w:rFonts w:ascii="Times New Roman" w:hAnsi="Times New Roman" w:cs="Times New Roman"/>
          <w:sz w:val="24"/>
          <w:szCs w:val="24"/>
          <w:lang w:val="es-PE"/>
        </w:rPr>
        <w:t>Ahora bien, de la verificación de la documentación que obra en autos, se advierte que el mencionado Certificado de Seguro no está firmado por la asegurada. Tampoco se ha aportado prueba que acredite el envío del certificado o de la póliza a la asegurada.</w:t>
      </w:r>
    </w:p>
    <w:p w:rsidRPr="00743BF9" w:rsidR="00743BF9" w:rsidP="00743BF9" w:rsidRDefault="00743BF9" w14:paraId="7E445C0B" w14:textId="77777777">
      <w:pPr>
        <w:tabs>
          <w:tab w:val="left" w:pos="2160"/>
          <w:tab w:val="left" w:pos="7608"/>
        </w:tabs>
        <w:jc w:val="both"/>
        <w:rPr>
          <w:rFonts w:ascii="Times New Roman" w:hAnsi="Times New Roman" w:cs="Times New Roman"/>
          <w:sz w:val="24"/>
          <w:szCs w:val="24"/>
          <w:lang w:val="es-PE"/>
        </w:rPr>
      </w:pPr>
      <w:r w:rsidRPr="00743BF9">
        <w:rPr>
          <w:rFonts w:ascii="Times New Roman" w:hAnsi="Times New Roman" w:cs="Times New Roman"/>
          <w:sz w:val="24"/>
          <w:szCs w:val="24"/>
          <w:lang w:val="es-PE"/>
        </w:rPr>
        <w:t>Consecuentemente, se aprecia que la aseguradora no ha probado que la asegurada pudo conocer las exclusiones de cobertura del seguro contratado.</w:t>
      </w:r>
    </w:p>
    <w:p w:rsidRPr="00743BF9" w:rsidR="00743BF9" w:rsidP="00743BF9" w:rsidRDefault="00743BF9" w14:paraId="59333C69" w14:textId="77777777">
      <w:pPr>
        <w:jc w:val="both"/>
        <w:rPr>
          <w:rFonts w:ascii="Times New Roman" w:hAnsi="Times New Roman" w:cs="Times New Roman"/>
          <w:sz w:val="24"/>
          <w:szCs w:val="24"/>
          <w:lang w:val="es-MX"/>
        </w:rPr>
      </w:pPr>
      <w:r w:rsidRPr="00743BF9">
        <w:rPr>
          <w:rFonts w:ascii="Times New Roman" w:hAnsi="Times New Roman" w:cs="Times New Roman"/>
          <w:sz w:val="24"/>
          <w:szCs w:val="24"/>
          <w:lang w:val="es-PE"/>
        </w:rPr>
        <w:t xml:space="preserve">Luego de probado el incumplimiento de la </w:t>
      </w:r>
      <w:r w:rsidRPr="00743BF9">
        <w:rPr>
          <w:rFonts w:ascii="Times New Roman" w:hAnsi="Times New Roman" w:cs="Times New Roman"/>
          <w:sz w:val="24"/>
          <w:szCs w:val="24"/>
          <w:lang w:val="es-MX"/>
        </w:rPr>
        <w:t>aseguradora, corresponde determinar las consecuencias o efectos de tal omisión.</w:t>
      </w:r>
    </w:p>
    <w:p w:rsidRPr="00743BF9" w:rsidR="00743BF9" w:rsidP="00743BF9" w:rsidRDefault="00743BF9" w14:paraId="57074660" w14:textId="77777777">
      <w:pPr>
        <w:jc w:val="both"/>
        <w:rPr>
          <w:rFonts w:ascii="Times New Roman" w:hAnsi="Times New Roman" w:cs="Times New Roman"/>
          <w:sz w:val="24"/>
          <w:szCs w:val="24"/>
          <w:lang w:val="es-MX"/>
        </w:rPr>
      </w:pPr>
      <w:r w:rsidRPr="00743BF9">
        <w:rPr>
          <w:rFonts w:ascii="Times New Roman" w:hAnsi="Times New Roman" w:cs="Times New Roman"/>
          <w:sz w:val="24"/>
          <w:szCs w:val="24"/>
          <w:lang w:val="es-MX"/>
        </w:rPr>
        <w:t xml:space="preserve">A este efecto, existe puntual previsión legal, contenida en el artículo 137 de la Ley del Contrato de Seguro, el cual establece que </w:t>
      </w:r>
      <w:r w:rsidRPr="00743BF9">
        <w:rPr>
          <w:rFonts w:ascii="Times New Roman" w:hAnsi="Times New Roman" w:cs="Times New Roman"/>
          <w:i/>
          <w:sz w:val="24"/>
          <w:szCs w:val="24"/>
          <w:lang w:val="es-MX"/>
        </w:rPr>
        <w:t>“no son oponibles al asegurado los contenidos contractuales que no le hayan sido informados en el certificado mencionado en el artículo anterior, cuyo contenido mínimo se sujeta a las disposiciones de la Superintendencia”</w:t>
      </w:r>
      <w:r w:rsidRPr="00743BF9">
        <w:rPr>
          <w:rFonts w:ascii="Times New Roman" w:hAnsi="Times New Roman" w:cs="Times New Roman"/>
          <w:sz w:val="24"/>
          <w:szCs w:val="24"/>
          <w:lang w:val="es-MX"/>
        </w:rPr>
        <w:t>.</w:t>
      </w:r>
    </w:p>
    <w:p w:rsidRPr="00743BF9" w:rsidR="00743BF9" w:rsidP="00743BF9" w:rsidRDefault="00743BF9" w14:paraId="6FA33A42" w14:textId="77777777">
      <w:pPr>
        <w:tabs>
          <w:tab w:val="left" w:pos="2386"/>
        </w:tabs>
        <w:jc w:val="both"/>
        <w:rPr>
          <w:rFonts w:ascii="Times New Roman" w:hAnsi="Times New Roman" w:cs="Times New Roman"/>
          <w:sz w:val="24"/>
          <w:szCs w:val="24"/>
          <w:lang w:val="es-PE"/>
        </w:rPr>
      </w:pPr>
      <w:r w:rsidRPr="00743BF9">
        <w:rPr>
          <w:rFonts w:ascii="Times New Roman" w:hAnsi="Times New Roman" w:cs="Times New Roman"/>
          <w:sz w:val="24"/>
          <w:szCs w:val="24"/>
          <w:lang w:val="es-PE"/>
        </w:rPr>
        <w:t xml:space="preserve">Sobre el particular, este colegiado reitera su posición uniforme destacada en diversas resoluciones ya expedidas en el sentido que, </w:t>
      </w:r>
      <w:r w:rsidRPr="00743BF9">
        <w:rPr>
          <w:rFonts w:ascii="Times New Roman" w:hAnsi="Times New Roman" w:cs="Times New Roman"/>
          <w:sz w:val="24"/>
          <w:szCs w:val="24"/>
          <w:lang w:val="es-MX"/>
        </w:rPr>
        <w:t>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r w:rsidRPr="00743BF9">
        <w:rPr>
          <w:rFonts w:ascii="Times New Roman" w:hAnsi="Times New Roman" w:cs="Times New Roman"/>
          <w:sz w:val="24"/>
          <w:szCs w:val="24"/>
          <w:lang w:val="es-PE"/>
        </w:rPr>
        <w:t xml:space="preserve">  </w:t>
      </w:r>
    </w:p>
    <w:p w:rsidRPr="00743BF9" w:rsidR="00743BF9" w:rsidP="00743BF9" w:rsidRDefault="00743BF9" w14:paraId="446B54BC" w14:textId="77777777">
      <w:pPr>
        <w:jc w:val="both"/>
        <w:rPr>
          <w:rFonts w:ascii="Times New Roman" w:hAnsi="Times New Roman" w:cs="Times New Roman"/>
          <w:sz w:val="24"/>
          <w:szCs w:val="24"/>
          <w:lang w:val="es-PE"/>
        </w:rPr>
      </w:pPr>
      <w:r w:rsidRPr="00743BF9">
        <w:rPr>
          <w:rFonts w:ascii="Times New Roman" w:hAnsi="Times New Roman" w:cs="Times New Roman"/>
          <w:sz w:val="24"/>
          <w:szCs w:val="24"/>
          <w:lang w:val="es-MX"/>
        </w:rPr>
        <w:t xml:space="preserve">Por consiguiente, </w:t>
      </w:r>
      <w:r w:rsidRPr="00743BF9">
        <w:rPr>
          <w:rFonts w:ascii="Times New Roman" w:hAnsi="Times New Roman" w:cs="Times New Roman"/>
          <w:sz w:val="24"/>
          <w:szCs w:val="24"/>
          <w:lang w:val="es-PE"/>
        </w:rPr>
        <w:t xml:space="preserve">este Colegiado destaca que habiéndose opuesto una exclusión, como es el caso de no cobertura de siniestros relacionados con o a consecuencia de preexistencias a la fecha de celebración del contrato de seguro, resulta manifiesto que la aseguradora tiene la carga procesal esencial de demostrar el cumplimiento de los requisitos para oponer válidamente el respectivo pacto, esto es, que haya informado de los alcances del seguro al asegurado, como es la exclusión invocada.  </w:t>
      </w:r>
    </w:p>
    <w:p w:rsidRPr="00743BF9" w:rsidR="00743BF9" w:rsidP="00743BF9" w:rsidRDefault="00743BF9" w14:paraId="31B8CBCB" w14:textId="77777777">
      <w:pPr>
        <w:jc w:val="both"/>
        <w:rPr>
          <w:rFonts w:ascii="Times New Roman" w:hAnsi="Times New Roman" w:cs="Times New Roman"/>
          <w:sz w:val="24"/>
          <w:szCs w:val="24"/>
          <w:lang w:val="es-PE"/>
        </w:rPr>
      </w:pPr>
      <w:r w:rsidRPr="00743BF9">
        <w:rPr>
          <w:rFonts w:ascii="Times New Roman" w:hAnsi="Times New Roman" w:cs="Times New Roman"/>
          <w:sz w:val="24"/>
          <w:szCs w:val="24"/>
          <w:lang w:val="es-PE"/>
        </w:rPr>
        <w:t xml:space="preserve">En consecuencia, al no cumplir con esa carga probatoria, la aseguradora no está legitimada para oponer la exclusión de cobertura que invoca. </w:t>
      </w:r>
    </w:p>
    <w:p w:rsidRPr="00743BF9" w:rsidR="00743BF9" w:rsidP="48E76D9D" w:rsidRDefault="00743BF9" w14:paraId="503E40A0" w14:textId="1285E95C">
      <w:pPr>
        <w:jc w:val="both"/>
        <w:rPr>
          <w:rFonts w:ascii="Times New Roman" w:hAnsi="Times New Roman" w:cs="Times New Roman"/>
          <w:sz w:val="24"/>
          <w:szCs w:val="24"/>
          <w:lang w:val="es-PE"/>
        </w:rPr>
      </w:pPr>
      <w:r w:rsidRPr="48E76D9D" w:rsidR="00743BF9">
        <w:rPr>
          <w:rFonts w:ascii="Times New Roman" w:hAnsi="Times New Roman" w:cs="Times New Roman"/>
          <w:sz w:val="24"/>
          <w:szCs w:val="24"/>
          <w:lang w:val="es-PE"/>
        </w:rPr>
        <w:t xml:space="preserve">Por lo tanto, en el presente caso se aprecia que con el </w:t>
      </w:r>
      <w:r w:rsidRPr="48E76D9D" w:rsidR="00743BF9">
        <w:rPr>
          <w:rFonts w:ascii="Times New Roman" w:hAnsi="Times New Roman" w:cs="Times New Roman"/>
          <w:sz w:val="24"/>
          <w:szCs w:val="24"/>
          <w:lang w:val="es-PE"/>
        </w:rPr>
        <w:t xml:space="preserve">Certificado Médico de Incapacidad No </w:t>
      </w:r>
      <w:r w:rsidRPr="48E76D9D" w:rsidR="2BCB0673">
        <w:rPr>
          <w:rFonts w:ascii="Times New Roman" w:hAnsi="Times New Roman" w:cs="Times New Roman"/>
          <w:sz w:val="24"/>
          <w:szCs w:val="24"/>
          <w:lang w:val="es-PE"/>
        </w:rPr>
        <w:t>................</w:t>
      </w:r>
      <w:r w:rsidRPr="48E76D9D" w:rsidR="00743BF9">
        <w:rPr>
          <w:rFonts w:ascii="Times New Roman" w:hAnsi="Times New Roman" w:cs="Times New Roman"/>
          <w:sz w:val="24"/>
          <w:szCs w:val="24"/>
          <w:lang w:val="es-PE"/>
        </w:rPr>
        <w:t xml:space="preserve"> de fecha 5 de diciembre de 2023 queda acreditado que la asegurada padece de una Incapacidad Total y Permanente con un menoscabo del 68%, lo que configura un riego bajo cobertura en el seguro contratado.</w:t>
      </w:r>
    </w:p>
    <w:p w:rsidRPr="00743BF9" w:rsidR="00743BF9" w:rsidP="00743BF9" w:rsidRDefault="00743BF9" w14:paraId="7F421216" w14:textId="77777777">
      <w:pPr>
        <w:jc w:val="both"/>
        <w:rPr>
          <w:rFonts w:ascii="Times New Roman" w:hAnsi="Times New Roman" w:cs="Times New Roman"/>
          <w:bCs/>
          <w:sz w:val="24"/>
          <w:szCs w:val="24"/>
          <w:lang w:val="es-PE"/>
        </w:rPr>
      </w:pPr>
    </w:p>
    <w:p w:rsidRPr="00743BF9" w:rsidR="00743BF9" w:rsidP="00743BF9" w:rsidRDefault="00743BF9" w14:paraId="24BCDFA3" w14:textId="77777777">
      <w:pPr>
        <w:jc w:val="both"/>
        <w:rPr>
          <w:rFonts w:ascii="Times New Roman" w:hAnsi="Times New Roman" w:cs="Times New Roman"/>
          <w:sz w:val="24"/>
          <w:szCs w:val="24"/>
          <w:lang w:val="es-PE"/>
        </w:rPr>
      </w:pPr>
      <w:r w:rsidRPr="00743BF9">
        <w:rPr>
          <w:rFonts w:ascii="Times New Roman" w:hAnsi="Times New Roman" w:cs="Times New Roman"/>
          <w:bCs/>
          <w:sz w:val="24"/>
          <w:szCs w:val="24"/>
          <w:lang w:val="es-PE"/>
        </w:rPr>
        <w:lastRenderedPageBreak/>
        <w:t>En atención a lo expuesto, este Colegiado encuentra que el rechazo de cobertura materia de la presente reclamación resulta carente de legitimidad, por lo que corresponde que la aseguradora otorgue la cobertura por Invalidez Total y Permanente.</w:t>
      </w:r>
    </w:p>
    <w:p w:rsidRPr="00743BF9" w:rsidR="00743BF9" w:rsidP="00743BF9" w:rsidRDefault="00743BF9" w14:paraId="2834A23A" w14:textId="77777777">
      <w:pPr>
        <w:jc w:val="both"/>
        <w:rPr>
          <w:rFonts w:ascii="Times New Roman" w:hAnsi="Times New Roman" w:cs="Times New Roman"/>
          <w:sz w:val="24"/>
          <w:szCs w:val="24"/>
          <w:lang w:val="es-PE"/>
        </w:rPr>
      </w:pPr>
      <w:r w:rsidRPr="00743BF9">
        <w:rPr>
          <w:rFonts w:ascii="Times New Roman" w:hAnsi="Times New Roman" w:cs="Times New Roman"/>
          <w:b/>
          <w:sz w:val="24"/>
          <w:szCs w:val="24"/>
          <w:u w:val="single"/>
          <w:lang w:val="es-PE"/>
        </w:rPr>
        <w:t>TERCERO</w:t>
      </w:r>
      <w:r w:rsidRPr="00743BF9">
        <w:rPr>
          <w:rFonts w:ascii="Times New Roman" w:hAnsi="Times New Roman" w:cs="Times New Roman"/>
          <w:b/>
          <w:sz w:val="24"/>
          <w:szCs w:val="24"/>
          <w:lang w:val="es-PE"/>
        </w:rPr>
        <w:t>:</w:t>
      </w:r>
      <w:r w:rsidRPr="00743BF9">
        <w:rPr>
          <w:rFonts w:ascii="Times New Roman" w:hAnsi="Times New Roman" w:cs="Times New Roman"/>
          <w:sz w:val="24"/>
          <w:szCs w:val="24"/>
          <w:lang w:val="es-PE"/>
        </w:rPr>
        <w:t xml:space="preserve"> En atención a las consideraciones precedentes, este colegiado aprecia finalmente que en virtud de la nueva prueba aportada existe mérito suficiente y razón objetiva para revocar la resolución recurrida.</w:t>
      </w:r>
    </w:p>
    <w:p w:rsidRPr="00743BF9" w:rsidR="00743BF9" w:rsidP="00743BF9" w:rsidRDefault="00743BF9" w14:paraId="6E639C36" w14:textId="77777777">
      <w:pPr>
        <w:jc w:val="both"/>
        <w:rPr>
          <w:rFonts w:ascii="Times New Roman" w:hAnsi="Times New Roman" w:cs="Times New Roman"/>
          <w:b/>
          <w:sz w:val="24"/>
          <w:szCs w:val="24"/>
          <w:lang w:val="es-PE"/>
        </w:rPr>
      </w:pPr>
      <w:r w:rsidRPr="00743BF9">
        <w:rPr>
          <w:rFonts w:ascii="Times New Roman" w:hAnsi="Times New Roman" w:cs="Times New Roman"/>
          <w:b/>
          <w:sz w:val="24"/>
          <w:szCs w:val="24"/>
          <w:lang w:val="es-PE"/>
        </w:rPr>
        <w:t>RESUELVE:</w:t>
      </w:r>
    </w:p>
    <w:p w:rsidRPr="00743BF9" w:rsidR="00743BF9" w:rsidP="00743BF9" w:rsidRDefault="00743BF9" w14:paraId="2CE36993" w14:textId="77777777">
      <w:pPr>
        <w:jc w:val="both"/>
        <w:rPr>
          <w:rFonts w:ascii="Times New Roman" w:hAnsi="Times New Roman" w:cs="Times New Roman"/>
          <w:sz w:val="24"/>
          <w:szCs w:val="24"/>
          <w:lang w:val="es-PE"/>
        </w:rPr>
      </w:pPr>
      <w:r w:rsidRPr="00743BF9">
        <w:rPr>
          <w:rFonts w:ascii="Times New Roman" w:hAnsi="Times New Roman" w:eastAsia="Arial Unicode MS" w:cs="Times New Roman"/>
          <w:b/>
          <w:sz w:val="24"/>
          <w:szCs w:val="24"/>
          <w:lang w:val="es-PE"/>
        </w:rPr>
        <w:t>Declarar FUNDADO el recurso de impugnación interpuesto y, por consiguiente, REVOCAR la Resolución Nro. 235/23</w:t>
      </w:r>
      <w:r w:rsidRPr="00743BF9">
        <w:rPr>
          <w:rFonts w:ascii="Times New Roman" w:hAnsi="Times New Roman" w:cs="Times New Roman"/>
          <w:sz w:val="24"/>
          <w:szCs w:val="24"/>
          <w:lang w:val="es-PE"/>
        </w:rPr>
        <w:t>.</w:t>
      </w:r>
    </w:p>
    <w:p w:rsidRPr="00743BF9" w:rsidR="00FA1290" w:rsidP="00FA1290" w:rsidRDefault="00743BF9" w14:paraId="06345190" w14:textId="231B2339">
      <w:pPr>
        <w:jc w:val="both"/>
        <w:rPr>
          <w:rFonts w:ascii="Times New Roman" w:hAnsi="Times New Roman" w:cs="Times New Roman"/>
          <w:b w:val="1"/>
          <w:bCs w:val="1"/>
          <w:sz w:val="24"/>
          <w:szCs w:val="24"/>
          <w:lang w:val="es-PE"/>
        </w:rPr>
      </w:pPr>
      <w:r w:rsidRPr="48E76D9D" w:rsidR="00743BF9">
        <w:rPr>
          <w:rFonts w:ascii="Times New Roman" w:hAnsi="Times New Roman" w:cs="Times New Roman"/>
          <w:b w:val="1"/>
          <w:bCs w:val="1"/>
          <w:sz w:val="24"/>
          <w:szCs w:val="24"/>
          <w:lang w:val="es-PE"/>
        </w:rPr>
        <w:t xml:space="preserve">En consecuencia, declarar FUNDADA la reclamación interpuesta por </w:t>
      </w:r>
      <w:r w:rsidRPr="48E76D9D" w:rsidR="6AC0A225">
        <w:rPr>
          <w:rFonts w:ascii="Times New Roman" w:hAnsi="Times New Roman" w:cs="Times New Roman"/>
          <w:b w:val="1"/>
          <w:bCs w:val="1"/>
          <w:sz w:val="24"/>
          <w:szCs w:val="24"/>
          <w:lang w:val="es-PE"/>
        </w:rPr>
        <w:t>...........................................</w:t>
      </w:r>
      <w:r w:rsidRPr="48E76D9D" w:rsidR="00743BF9">
        <w:rPr>
          <w:rFonts w:ascii="Times New Roman" w:hAnsi="Times New Roman" w:cs="Times New Roman"/>
          <w:b w:val="1"/>
          <w:bCs w:val="1"/>
          <w:sz w:val="24"/>
          <w:szCs w:val="24"/>
          <w:lang w:val="es-PE"/>
        </w:rPr>
        <w:t xml:space="preserve"> contra </w:t>
      </w:r>
      <w:r w:rsidRPr="48E76D9D" w:rsidR="3DECDF93">
        <w:rPr>
          <w:rFonts w:ascii="Times New Roman" w:hAnsi="Times New Roman" w:cs="Times New Roman"/>
          <w:b w:val="1"/>
          <w:bCs w:val="1"/>
          <w:sz w:val="24"/>
          <w:szCs w:val="24"/>
          <w:lang w:val="es-PE"/>
        </w:rPr>
        <w:t>....................................</w:t>
      </w:r>
      <w:r w:rsidRPr="48E76D9D" w:rsidR="00743BF9">
        <w:rPr>
          <w:rFonts w:ascii="Times New Roman" w:hAnsi="Times New Roman" w:cs="Times New Roman"/>
          <w:b w:val="1"/>
          <w:bCs w:val="1"/>
          <w:sz w:val="24"/>
          <w:szCs w:val="24"/>
          <w:lang w:val="es-PE"/>
        </w:rPr>
        <w:t xml:space="preserve"> con relación al SEGURO DE DESGRAVAMEN </w:t>
      </w:r>
      <w:r w:rsidRPr="48E76D9D" w:rsidR="6EEB8813">
        <w:rPr>
          <w:rFonts w:ascii="Times New Roman" w:hAnsi="Times New Roman" w:cs="Times New Roman"/>
          <w:b w:val="1"/>
          <w:bCs w:val="1"/>
          <w:sz w:val="24"/>
          <w:szCs w:val="24"/>
          <w:lang w:val="es-PE"/>
        </w:rPr>
        <w:t>....................................</w:t>
      </w:r>
      <w:r w:rsidRPr="48E76D9D" w:rsidR="00743BF9">
        <w:rPr>
          <w:rFonts w:ascii="Times New Roman" w:hAnsi="Times New Roman" w:cs="Times New Roman"/>
          <w:b w:val="1"/>
          <w:bCs w:val="1"/>
          <w:sz w:val="24"/>
          <w:szCs w:val="24"/>
          <w:lang w:val="es-PE"/>
        </w:rPr>
        <w:t xml:space="preserve">- PAGO EXPRESS 2 – PÓLIZA No </w:t>
      </w:r>
      <w:r w:rsidRPr="48E76D9D" w:rsidR="194F4872">
        <w:rPr>
          <w:rFonts w:ascii="Times New Roman" w:hAnsi="Times New Roman" w:cs="Times New Roman"/>
          <w:b w:val="1"/>
          <w:bCs w:val="1"/>
          <w:sz w:val="24"/>
          <w:szCs w:val="24"/>
          <w:lang w:val="es-PE"/>
        </w:rPr>
        <w:t>....................................</w:t>
      </w:r>
      <w:r w:rsidRPr="48E76D9D" w:rsidR="00743BF9">
        <w:rPr>
          <w:rFonts w:ascii="Times New Roman" w:hAnsi="Times New Roman" w:cs="Times New Roman"/>
          <w:b w:val="1"/>
          <w:bCs w:val="1"/>
          <w:sz w:val="24"/>
          <w:szCs w:val="24"/>
          <w:lang w:val="es-PE"/>
        </w:rPr>
        <w:t>,</w:t>
      </w:r>
      <w:r w:rsidRPr="48E76D9D" w:rsidR="00743BF9">
        <w:rPr>
          <w:rFonts w:ascii="Times New Roman" w:hAnsi="Times New Roman" w:cs="Times New Roman"/>
          <w:sz w:val="24"/>
          <w:szCs w:val="24"/>
          <w:lang w:val="es-MX"/>
        </w:rPr>
        <w:t xml:space="preserve"> </w:t>
      </w:r>
      <w:r w:rsidRPr="48E76D9D" w:rsidR="00743BF9">
        <w:rPr>
          <w:rFonts w:ascii="Times New Roman" w:hAnsi="Times New Roman" w:cs="Times New Roman"/>
          <w:b w:val="1"/>
          <w:bCs w:val="1"/>
          <w:sz w:val="24"/>
          <w:szCs w:val="24"/>
          <w:lang w:val="es-MX"/>
        </w:rPr>
        <w:t>por lo que la aseguradora debe cumplir con otorgar cobertura a la asegurada conforme a los términos y condiciones de dicha póliza.</w:t>
      </w:r>
    </w:p>
    <w:p w:rsidRPr="00743BF9" w:rsidR="008B6A09" w:rsidP="008B6A09" w:rsidRDefault="0091528B" w14:paraId="000A434B" w14:textId="447AF784">
      <w:pPr>
        <w:jc w:val="right"/>
        <w:rPr>
          <w:rFonts w:ascii="Times New Roman" w:hAnsi="Times New Roman" w:cs="Times New Roman"/>
          <w:sz w:val="24"/>
          <w:szCs w:val="24"/>
          <w:lang w:val="es-PE"/>
        </w:rPr>
      </w:pPr>
      <w:r w:rsidRPr="00743BF9">
        <w:rPr>
          <w:rFonts w:ascii="Times New Roman" w:hAnsi="Times New Roman" w:eastAsia="Arial Unicode MS" w:cs="Times New Roman"/>
          <w:sz w:val="24"/>
          <w:szCs w:val="24"/>
          <w:lang w:val="es-PE" w:eastAsia="ar-SA"/>
        </w:rPr>
        <w:t xml:space="preserve">Lima, </w:t>
      </w:r>
      <w:r w:rsidRPr="00743BF9" w:rsidR="00DE4BF9">
        <w:rPr>
          <w:rFonts w:ascii="Times New Roman" w:hAnsi="Times New Roman" w:eastAsia="Arial Unicode MS" w:cs="Times New Roman"/>
          <w:sz w:val="24"/>
          <w:szCs w:val="24"/>
          <w:lang w:val="es-PE" w:eastAsia="ar-SA"/>
        </w:rPr>
        <w:t>12</w:t>
      </w:r>
      <w:r w:rsidRPr="00743BF9" w:rsidR="00570ED6">
        <w:rPr>
          <w:rFonts w:ascii="Times New Roman" w:hAnsi="Times New Roman" w:eastAsia="Arial Unicode MS" w:cs="Times New Roman"/>
          <w:sz w:val="24"/>
          <w:szCs w:val="24"/>
          <w:lang w:val="es-PE" w:eastAsia="ar-SA"/>
        </w:rPr>
        <w:t xml:space="preserve"> </w:t>
      </w:r>
      <w:r w:rsidRPr="00743BF9" w:rsidR="00707C99">
        <w:rPr>
          <w:rFonts w:ascii="Times New Roman" w:hAnsi="Times New Roman" w:eastAsia="Arial Unicode MS" w:cs="Times New Roman"/>
          <w:sz w:val="24"/>
          <w:szCs w:val="24"/>
          <w:lang w:val="es-PE" w:eastAsia="ar-SA"/>
        </w:rPr>
        <w:t xml:space="preserve">de </w:t>
      </w:r>
      <w:r w:rsidRPr="00743BF9" w:rsidR="00DE4BF9">
        <w:rPr>
          <w:rFonts w:ascii="Times New Roman" w:hAnsi="Times New Roman" w:eastAsia="Arial Unicode MS" w:cs="Times New Roman"/>
          <w:sz w:val="24"/>
          <w:szCs w:val="24"/>
          <w:lang w:val="es-PE" w:eastAsia="ar-SA"/>
        </w:rPr>
        <w:t>febrero</w:t>
      </w:r>
      <w:r w:rsidRPr="00743BF9" w:rsidR="002F478E">
        <w:rPr>
          <w:rFonts w:ascii="Times New Roman" w:hAnsi="Times New Roman" w:eastAsia="Arial Unicode MS" w:cs="Times New Roman"/>
          <w:sz w:val="24"/>
          <w:szCs w:val="24"/>
          <w:lang w:val="es-PE" w:eastAsia="ar-SA"/>
        </w:rPr>
        <w:t xml:space="preserve"> </w:t>
      </w:r>
      <w:r w:rsidRPr="00743BF9" w:rsidR="00F06498">
        <w:rPr>
          <w:rFonts w:ascii="Times New Roman" w:hAnsi="Times New Roman" w:eastAsia="Arial Unicode MS" w:cs="Times New Roman"/>
          <w:sz w:val="24"/>
          <w:szCs w:val="24"/>
          <w:lang w:val="es-PE" w:eastAsia="ar-SA"/>
        </w:rPr>
        <w:t>de 202</w:t>
      </w:r>
      <w:r w:rsidRPr="00743BF9" w:rsidR="00543015">
        <w:rPr>
          <w:rFonts w:ascii="Times New Roman" w:hAnsi="Times New Roman" w:eastAsia="Arial Unicode MS" w:cs="Times New Roman"/>
          <w:sz w:val="24"/>
          <w:szCs w:val="24"/>
          <w:lang w:val="es-PE" w:eastAsia="ar-SA"/>
        </w:rPr>
        <w:t>4</w:t>
      </w:r>
      <w:r w:rsidRPr="00743BF9" w:rsidR="00707C99">
        <w:rPr>
          <w:rFonts w:ascii="Times New Roman" w:hAnsi="Times New Roman" w:eastAsia="Times New Roman" w:cs="Times New Roman"/>
          <w:sz w:val="24"/>
          <w:szCs w:val="24"/>
          <w:lang w:val="es-PE" w:eastAsia="ar-SA"/>
        </w:rPr>
        <w:t xml:space="preserve"> </w:t>
      </w:r>
    </w:p>
    <w:p w:rsidRPr="00743BF9"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743BF9"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743BF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43BF9"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743BF9"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743BF9">
        <w:rPr>
          <w:rFonts w:ascii="Times New Roman" w:hAnsi="Times New Roman" w:cs="Times New Roman"/>
          <w:b/>
          <w:bCs/>
          <w:sz w:val="24"/>
          <w:szCs w:val="24"/>
          <w:lang w:val="es-PE"/>
        </w:rPr>
        <w:t xml:space="preserve">María Eugenia Valdez Fernández Baca </w:t>
      </w:r>
      <w:r w:rsidRPr="00743BF9" w:rsidR="007543CD">
        <w:rPr>
          <w:rFonts w:ascii="Times New Roman" w:hAnsi="Times New Roman" w:cs="Times New Roman"/>
          <w:b/>
          <w:bCs/>
          <w:sz w:val="24"/>
          <w:szCs w:val="24"/>
          <w:lang w:val="es-PE"/>
        </w:rPr>
        <w:t xml:space="preserve">– </w:t>
      </w:r>
      <w:proofErr w:type="gramStart"/>
      <w:r w:rsidRPr="00743BF9" w:rsidR="007543CD">
        <w:rPr>
          <w:rFonts w:ascii="Times New Roman" w:hAnsi="Times New Roman" w:cs="Times New Roman"/>
          <w:b/>
          <w:bCs/>
          <w:sz w:val="24"/>
          <w:szCs w:val="24"/>
          <w:lang w:val="es-PE"/>
        </w:rPr>
        <w:t>Presidente</w:t>
      </w:r>
      <w:proofErr w:type="gramEnd"/>
    </w:p>
    <w:p w:rsidRPr="00743BF9"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743BF9">
        <w:rPr>
          <w:rFonts w:ascii="Times New Roman" w:hAnsi="Times New Roman" w:cs="Times New Roman"/>
          <w:b/>
          <w:bCs/>
          <w:sz w:val="24"/>
          <w:szCs w:val="24"/>
          <w:lang w:val="es-PE"/>
        </w:rPr>
        <w:t xml:space="preserve">Rolando Eyzaguirre </w:t>
      </w:r>
      <w:proofErr w:type="spellStart"/>
      <w:r w:rsidRPr="00743BF9">
        <w:rPr>
          <w:rFonts w:ascii="Times New Roman" w:hAnsi="Times New Roman" w:cs="Times New Roman"/>
          <w:b/>
          <w:bCs/>
          <w:sz w:val="24"/>
          <w:szCs w:val="24"/>
          <w:lang w:val="es-PE"/>
        </w:rPr>
        <w:t>Maccan</w:t>
      </w:r>
      <w:proofErr w:type="spellEnd"/>
      <w:r w:rsidRPr="00743BF9">
        <w:rPr>
          <w:rFonts w:ascii="Times New Roman" w:hAnsi="Times New Roman" w:cs="Times New Roman"/>
          <w:b/>
          <w:bCs/>
          <w:sz w:val="24"/>
          <w:szCs w:val="24"/>
          <w:lang w:val="es-PE"/>
        </w:rPr>
        <w:t xml:space="preserve"> </w:t>
      </w:r>
      <w:r w:rsidRPr="00743BF9" w:rsidR="007543CD">
        <w:rPr>
          <w:rFonts w:ascii="Times New Roman" w:hAnsi="Times New Roman" w:cs="Times New Roman"/>
          <w:b/>
          <w:bCs/>
          <w:sz w:val="24"/>
          <w:szCs w:val="24"/>
          <w:lang w:val="es-PE"/>
        </w:rPr>
        <w:t>– Vocal</w:t>
      </w:r>
    </w:p>
    <w:p w:rsidRPr="00743BF9"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743BF9">
        <w:rPr>
          <w:rFonts w:ascii="Times New Roman" w:hAnsi="Times New Roman" w:cs="Times New Roman"/>
          <w:b/>
          <w:bCs/>
          <w:sz w:val="24"/>
          <w:szCs w:val="24"/>
          <w:lang w:val="es-PE"/>
        </w:rPr>
        <w:t>Omar Alfaro Villanueva – Vocal</w:t>
      </w:r>
    </w:p>
    <w:p w:rsidRPr="00743BF9"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743BF9">
        <w:rPr>
          <w:rFonts w:ascii="Times New Roman" w:hAnsi="Times New Roman" w:cs="Times New Roman"/>
          <w:b/>
          <w:bCs/>
          <w:sz w:val="24"/>
          <w:szCs w:val="24"/>
          <w:lang w:val="es-PE"/>
        </w:rPr>
        <w:t>Gonzalo Abad del Busto – Vocal</w:t>
      </w:r>
    </w:p>
    <w:p w:rsidRPr="00FA1290"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17140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140F" w:rsidP="00784355" w:rsidRDefault="0017140F" w14:paraId="2D7132BA" w14:textId="77777777">
      <w:pPr>
        <w:spacing w:after="0" w:line="240" w:lineRule="auto"/>
      </w:pPr>
      <w:r>
        <w:separator/>
      </w:r>
    </w:p>
  </w:endnote>
  <w:endnote w:type="continuationSeparator" w:id="0">
    <w:p w:rsidR="0017140F" w:rsidP="00784355" w:rsidRDefault="0017140F" w14:paraId="12AF1EB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140F" w:rsidP="00784355" w:rsidRDefault="0017140F" w14:paraId="2E385D21" w14:textId="77777777">
      <w:pPr>
        <w:spacing w:after="0" w:line="240" w:lineRule="auto"/>
      </w:pPr>
      <w:r>
        <w:separator/>
      </w:r>
    </w:p>
  </w:footnote>
  <w:footnote w:type="continuationSeparator" w:id="0">
    <w:p w:rsidR="0017140F" w:rsidP="00784355" w:rsidRDefault="0017140F" w14:paraId="5EA0FB5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11AC"/>
    <w:rsid w:val="00FF3F82"/>
    <w:rsid w:val="00FF41F3"/>
    <w:rsid w:val="0CA3574E"/>
    <w:rsid w:val="13C8400B"/>
    <w:rsid w:val="194F4872"/>
    <w:rsid w:val="281F27D1"/>
    <w:rsid w:val="2BC75893"/>
    <w:rsid w:val="2BCB0673"/>
    <w:rsid w:val="395BD356"/>
    <w:rsid w:val="3DECDF93"/>
    <w:rsid w:val="48E76D9D"/>
    <w:rsid w:val="5488D127"/>
    <w:rsid w:val="6AC0A225"/>
    <w:rsid w:val="6EEB8813"/>
    <w:rsid w:val="78115C7F"/>
    <w:rsid w:val="7BBEE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6D716E6-D65D-4189-81E3-B80A98B63D31}"/>
</file>

<file path=customXml/itemProps3.xml><?xml version="1.0" encoding="utf-8"?>
<ds:datastoreItem xmlns:ds="http://schemas.openxmlformats.org/officeDocument/2006/customXml" ds:itemID="{38567C69-5C2C-469A-80AE-26980901E9F6}"/>
</file>

<file path=customXml/itemProps4.xml><?xml version="1.0" encoding="utf-8"?>
<ds:datastoreItem xmlns:ds="http://schemas.openxmlformats.org/officeDocument/2006/customXml" ds:itemID="{3CD67D5D-CB8F-4253-9699-2D762A64AB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241</cp:revision>
  <cp:lastPrinted>2024-02-12T14:48:00Z</cp:lastPrinted>
  <dcterms:created xsi:type="dcterms:W3CDTF">2023-02-14T22:37:00Z</dcterms:created>
  <dcterms:modified xsi:type="dcterms:W3CDTF">2025-12-04T20:24:38Z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