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70901" w:rsidR="00707C99" w:rsidP="00272F4F" w:rsidRDefault="00201C0D" w14:paraId="19FE0E96" w14:textId="12012814">
      <w:pPr>
        <w:spacing w:after="0" w:line="240" w:lineRule="auto"/>
        <w:jc w:val="center"/>
        <w:rPr>
          <w:rFonts w:ascii="Times New Roman" w:hAnsi="Times New Roman" w:cs="Times New Roman"/>
          <w:b/>
          <w:sz w:val="24"/>
          <w:szCs w:val="24"/>
          <w:lang w:val="es-PE" w:eastAsia="ar-SA"/>
        </w:rPr>
      </w:pPr>
      <w:r w:rsidRPr="00A70901">
        <w:rPr>
          <w:rFonts w:ascii="Times New Roman" w:hAnsi="Times New Roman" w:cs="Times New Roman"/>
          <w:b/>
          <w:sz w:val="24"/>
          <w:szCs w:val="24"/>
          <w:lang w:val="es-PE" w:eastAsia="ar-SA"/>
        </w:rPr>
        <w:t xml:space="preserve">RESOLUCIÓN DE RECURSO IMPUGNATIVO </w:t>
      </w:r>
      <w:r w:rsidRPr="00A70901" w:rsidR="00707C99">
        <w:rPr>
          <w:rFonts w:ascii="Times New Roman" w:hAnsi="Times New Roman" w:cs="Times New Roman"/>
          <w:b/>
          <w:sz w:val="24"/>
          <w:szCs w:val="24"/>
          <w:lang w:val="es-PE" w:eastAsia="ar-SA"/>
        </w:rPr>
        <w:t xml:space="preserve">N° </w:t>
      </w:r>
      <w:r w:rsidRPr="00A70901" w:rsidR="00516293">
        <w:rPr>
          <w:rFonts w:ascii="Times New Roman" w:hAnsi="Times New Roman" w:cs="Times New Roman"/>
          <w:b/>
          <w:sz w:val="24"/>
          <w:szCs w:val="24"/>
          <w:lang w:val="es-PE" w:eastAsia="ar-SA"/>
        </w:rPr>
        <w:t>0</w:t>
      </w:r>
      <w:r w:rsidRPr="00A70901" w:rsidR="00543015">
        <w:rPr>
          <w:rFonts w:ascii="Times New Roman" w:hAnsi="Times New Roman" w:cs="Times New Roman"/>
          <w:b/>
          <w:sz w:val="24"/>
          <w:szCs w:val="24"/>
          <w:lang w:val="es-PE" w:eastAsia="ar-SA"/>
        </w:rPr>
        <w:t>0</w:t>
      </w:r>
      <w:r w:rsidRPr="00A70901" w:rsidR="007C248E">
        <w:rPr>
          <w:rFonts w:ascii="Times New Roman" w:hAnsi="Times New Roman" w:cs="Times New Roman"/>
          <w:b/>
          <w:sz w:val="24"/>
          <w:szCs w:val="24"/>
          <w:lang w:val="es-PE" w:eastAsia="ar-SA"/>
        </w:rPr>
        <w:t>4</w:t>
      </w:r>
      <w:r w:rsidRPr="00A70901" w:rsidR="00C671F5">
        <w:rPr>
          <w:rFonts w:ascii="Times New Roman" w:hAnsi="Times New Roman" w:cs="Times New Roman"/>
          <w:b/>
          <w:sz w:val="24"/>
          <w:szCs w:val="24"/>
          <w:lang w:val="es-PE" w:eastAsia="ar-SA"/>
        </w:rPr>
        <w:t>/2</w:t>
      </w:r>
      <w:r w:rsidRPr="00A70901" w:rsidR="00543015">
        <w:rPr>
          <w:rFonts w:ascii="Times New Roman" w:hAnsi="Times New Roman" w:cs="Times New Roman"/>
          <w:b/>
          <w:sz w:val="24"/>
          <w:szCs w:val="24"/>
          <w:lang w:val="es-PE" w:eastAsia="ar-SA"/>
        </w:rPr>
        <w:t>4</w:t>
      </w:r>
    </w:p>
    <w:p w:rsidRPr="00A70901" w:rsidR="00F7567C" w:rsidP="00BE695C" w:rsidRDefault="00F7567C" w14:paraId="74F6CE19" w14:textId="77777777">
      <w:pPr>
        <w:pStyle w:val="Default"/>
        <w:jc w:val="both"/>
        <w:rPr>
          <w:rFonts w:ascii="Times New Roman" w:hAnsi="Times New Roman" w:cs="Times New Roman"/>
          <w:b/>
        </w:rPr>
      </w:pPr>
    </w:p>
    <w:p w:rsidRPr="00A70901" w:rsidR="00A70901" w:rsidP="00A70901" w:rsidRDefault="00A70901" w14:paraId="34E052AC" w14:textId="77777777">
      <w:pPr>
        <w:jc w:val="both"/>
        <w:outlineLvl w:val="0"/>
        <w:rPr>
          <w:rFonts w:ascii="Times New Roman" w:hAnsi="Times New Roman" w:cs="Times New Roman"/>
          <w:b/>
          <w:bCs/>
          <w:sz w:val="24"/>
          <w:szCs w:val="24"/>
          <w:lang w:val="es-MX"/>
        </w:rPr>
      </w:pPr>
      <w:r w:rsidRPr="00A70901">
        <w:rPr>
          <w:rFonts w:ascii="Times New Roman" w:hAnsi="Times New Roman" w:cs="Times New Roman"/>
          <w:b/>
          <w:bCs/>
          <w:sz w:val="24"/>
          <w:szCs w:val="24"/>
          <w:lang w:val="es-MX"/>
        </w:rPr>
        <w:t>VISTOS:</w:t>
      </w:r>
    </w:p>
    <w:p w:rsidRPr="00A70901" w:rsidR="00A70901" w:rsidP="00A70901" w:rsidRDefault="00A70901" w14:paraId="7F97C5D5" w14:textId="467AF482">
      <w:pPr>
        <w:pStyle w:val="Default"/>
        <w:jc w:val="both"/>
        <w:rPr>
          <w:rFonts w:ascii="Times New Roman" w:hAnsi="Times New Roman" w:cs="Times New Roman"/>
        </w:rPr>
      </w:pPr>
      <w:r w:rsidRPr="5102F83E" w:rsidR="00A70901">
        <w:rPr>
          <w:rFonts w:ascii="Times New Roman" w:hAnsi="Times New Roman" w:cs="Times New Roman"/>
        </w:rPr>
        <w:t xml:space="preserve">El recurso de impugnación presentado por </w:t>
      </w:r>
      <w:r w:rsidRPr="5102F83E" w:rsidR="26D06AF7">
        <w:rPr>
          <w:rFonts w:ascii="Times New Roman" w:hAnsi="Times New Roman" w:cs="Times New Roman"/>
        </w:rPr>
        <w:t>............................................................</w:t>
      </w:r>
      <w:r w:rsidRPr="5102F83E" w:rsidR="00A70901">
        <w:rPr>
          <w:rFonts w:ascii="Times New Roman" w:hAnsi="Times New Roman" w:cs="Times New Roman"/>
        </w:rPr>
        <w:t xml:space="preserve"> respecto de la Resolución Nro. 201/23, expedida por el Órgano Resolutivo Unipersonal de esta Defensoría del Asegurado (DEFASEG), conforme a la cual se declaró INFUNDADA la reclamación interpuesta contra CHUBB SEGUROS respecto al SEGURO DE PROTECCIÓN DE TARJETA RETIRO SEGURO </w:t>
      </w:r>
      <w:r w:rsidRPr="5102F83E" w:rsidR="67550E94">
        <w:rPr>
          <w:rFonts w:ascii="Times New Roman" w:hAnsi="Times New Roman" w:cs="Times New Roman"/>
        </w:rPr>
        <w:t>...............</w:t>
      </w:r>
      <w:r w:rsidRPr="5102F83E" w:rsidR="00A70901">
        <w:rPr>
          <w:rFonts w:ascii="Times New Roman" w:hAnsi="Times New Roman" w:cs="Times New Roman"/>
        </w:rPr>
        <w:t xml:space="preserve">– PÓLIZA No </w:t>
      </w:r>
      <w:r w:rsidRPr="5102F83E" w:rsidR="26598A11">
        <w:rPr>
          <w:rFonts w:ascii="Times New Roman" w:hAnsi="Times New Roman" w:cs="Times New Roman"/>
        </w:rPr>
        <w:t>...............</w:t>
      </w:r>
      <w:r w:rsidRPr="5102F83E" w:rsidR="00A70901">
        <w:rPr>
          <w:rFonts w:ascii="Times New Roman" w:hAnsi="Times New Roman" w:cs="Times New Roman"/>
        </w:rPr>
        <w:t>.</w:t>
      </w:r>
    </w:p>
    <w:p w:rsidRPr="00A70901" w:rsidR="00A70901" w:rsidP="00A70901" w:rsidRDefault="00A70901" w14:paraId="7C8D85CB" w14:textId="77777777">
      <w:pPr>
        <w:pStyle w:val="Default"/>
        <w:jc w:val="both"/>
        <w:rPr>
          <w:rFonts w:ascii="Times New Roman" w:hAnsi="Times New Roman" w:cs="Times New Roman"/>
        </w:rPr>
      </w:pPr>
    </w:p>
    <w:p w:rsidRPr="00A70901" w:rsidR="00A70901" w:rsidP="00A70901" w:rsidRDefault="00A70901" w14:paraId="5C52C20B" w14:textId="0DC47B45">
      <w:pPr>
        <w:pStyle w:val="Textoindependiente"/>
      </w:pPr>
      <w:r w:rsidR="00A70901">
        <w:rPr/>
        <w:t xml:space="preserve">Que, el indicado recurso se sustenta resumidamente en lo siguiente: (1) expresa su disconformidad con la resolución impugnada; (2) sobre el arma utilizada, indica que en su manifestación policial argumenta con más detalle la versión que dio en la denuncia policial, en donde el efectivo policial hace hincapié en las preguntas 5 y 6 a quién de las agraviadas el ocupante de atrás de la moto amenazó con un arma de fuego, ya que en la denuncia no queda claro, por ello se puede afirmar que la atacada fue la reclamante; (3) sobre la hora y lugar del retiro, manifiesta que el entrevistador para corroborar si dio una versión falsa o estaba mintiendo le muestra una imágenes donde pudo visualizar que eran los cajeros que estaban dentro del Centro Comercial Mega Plaza, por lo que con la reclamante sí se cumplieron la finalidad de la entrevista que es aclarar los hechos, pero en cambio no se hizo con su socia </w:t>
      </w:r>
      <w:r w:rsidR="5F650965">
        <w:rPr/>
        <w:t>...............</w:t>
      </w:r>
      <w:r w:rsidR="00A70901">
        <w:rPr/>
        <w:t>; (4)  en la denuncia se describe la participación de dos agraviados y de dos delincuentes, por lo que queda claro que su socia fue amenazada con el arma de fuego por el copiloto y la reclamante fue amenazada con cuchillo por el piloto de la moto; (5) en su manifestación y la de su socia son horas aproximadas nunca se dice la hora exacta, y la reclamante en todo momento de la entrevista y manifestación indicó hora aproximada, y su socia indica aproximadamente, entonces nunca dijo ella hora exacta; (6) no hay contradicciones, medios falsos, ni exageración, ni fraude (falta a la verdad), con el arma con el que fueron atacadas.</w:t>
      </w:r>
    </w:p>
    <w:p w:rsidRPr="00A70901" w:rsidR="00A70901" w:rsidP="00A70901" w:rsidRDefault="00A70901" w14:paraId="6DEAFF3A" w14:textId="77777777">
      <w:pPr>
        <w:pStyle w:val="Textoindependiente"/>
        <w:rPr>
          <w:b/>
          <w:bCs w:val="0"/>
          <w:lang w:val="es-PE" w:eastAsia="es-PE"/>
        </w:rPr>
      </w:pPr>
    </w:p>
    <w:p w:rsidRPr="00A70901" w:rsidR="00A70901" w:rsidP="00A70901" w:rsidRDefault="00A70901" w14:paraId="6B4E4F1A" w14:textId="778CCB7C">
      <w:pPr>
        <w:pStyle w:val="Textoindependiente"/>
        <w:rPr>
          <w:color w:val="000000"/>
          <w:lang w:val="es-PE" w:eastAsia="es-PE"/>
        </w:rPr>
      </w:pPr>
      <w:r w:rsidR="00A70901">
        <w:rPr/>
        <w:t xml:space="preserve">Que, la aseguradora absolvió el traslado del recurso impugnatorio indicando, en síntesis, lo siguiente: (1) </w:t>
      </w:r>
      <w:r w:rsidRPr="5102F83E" w:rsidR="00A70901">
        <w:rPr>
          <w:color w:val="000000" w:themeColor="text1" w:themeTint="FF" w:themeShade="FF"/>
          <w:lang w:val="es-PE" w:eastAsia="es-PE"/>
        </w:rPr>
        <w:t xml:space="preserve">mediante el recurso presentado, la reclamante pretende que el Colegiado incurra en error, para lo cual realiza afirmaciones con las cuales pretenden desvirtuar – equivocadamente, las contradicciones de su declaración realizada en la denuncia policial y en las declaraciones posteriores; (2) al referirse al arma utilizada, la reclamante manifestó en la entrevista, en las preguntas 5 y 6, una referencia solo al arma de fuego como el arma utilizada por los delincuentes, indicando que fue el copiloto quien bajó de la moto y la amenazó con una pistola; (3) no obstante, en la pregunta 7 de dicha entrevista, cuando se le consultó si durante el robo los delincuentes estaban armados, la amenazaron y si tuvo alguna lesión, a lo cual respondió que ambos delincuentes estaban armados, y que quien la amenazó al parecer tenía un arma de fuego, pero no tuvo lesión; (4) lo antes descrito evidencia una contradicción por parte de la reclamante, pues su socia, la señora </w:t>
      </w:r>
      <w:r w:rsidRPr="5102F83E" w:rsidR="0DCA425D">
        <w:rPr>
          <w:color w:val="000000" w:themeColor="text1" w:themeTint="FF" w:themeShade="FF"/>
          <w:lang w:val="es-PE" w:eastAsia="es-PE"/>
        </w:rPr>
        <w:t>...............................</w:t>
      </w:r>
      <w:r w:rsidRPr="5102F83E" w:rsidR="00A70901">
        <w:rPr>
          <w:color w:val="000000" w:themeColor="text1" w:themeTint="FF" w:themeShade="FF"/>
          <w:lang w:val="es-PE" w:eastAsia="es-PE"/>
        </w:rPr>
        <w:t xml:space="preserve">, manifestó en su oportunidad que ella fue amenazada por el copiloto de la moto con un arma blanca (cuchillo), lo cual acredita claramente una imprecisión a la denuncia policial, en la cual ambas refieren que fueron amenazadas por arma de fuego, situación que no coincide con lo señalado durante la entrevista personal de la señora </w:t>
      </w:r>
      <w:r w:rsidRPr="5102F83E" w:rsidR="5B47CD9C">
        <w:rPr>
          <w:color w:val="000000" w:themeColor="text1" w:themeTint="FF" w:themeShade="FF"/>
          <w:lang w:val="es-PE" w:eastAsia="es-PE"/>
        </w:rPr>
        <w:t>...............................</w:t>
      </w:r>
      <w:r w:rsidRPr="5102F83E" w:rsidR="00A70901">
        <w:rPr>
          <w:color w:val="000000" w:themeColor="text1" w:themeTint="FF" w:themeShade="FF"/>
          <w:lang w:val="es-PE" w:eastAsia="es-PE"/>
        </w:rPr>
        <w:t xml:space="preserve">, existiendo una omisión de información por parte de la reclamante o por lo menos una tergiversación que abunda para la declaración falsa y posterior reclamación fraudulenta; (5) inclusive, de la misma carta de impugnación remitida por la reclamante, en la página 3, se aprecia una evidente contradicción, puesto que en la denuncia policial indican que quien baja de la moto fue el copiloto, sin mencionar al piloto. </w:t>
      </w:r>
      <w:r w:rsidRPr="5102F83E" w:rsidR="00A70901">
        <w:rPr>
          <w:color w:val="000000" w:themeColor="text1" w:themeTint="FF" w:themeShade="FF"/>
          <w:lang w:val="es-PE" w:eastAsia="es-PE"/>
        </w:rPr>
        <w:t>Posteriormente en la entrevista, la socia de la reclamante refiere que el piloto bajó y la amenazó con un cuchillo (información que no fue declarada en la denuncia inicial). Por su parte, la reclamante refiere haber sido amenazada por el copiloto “</w:t>
      </w:r>
      <w:r w:rsidRPr="5102F83E" w:rsidR="00A70901">
        <w:rPr>
          <w:i w:val="1"/>
          <w:iCs w:val="1"/>
          <w:color w:val="000000" w:themeColor="text1" w:themeTint="FF" w:themeShade="FF"/>
          <w:lang w:val="es-PE" w:eastAsia="es-PE"/>
        </w:rPr>
        <w:t>al parecer</w:t>
      </w:r>
      <w:r w:rsidRPr="5102F83E" w:rsidR="00A70901">
        <w:rPr>
          <w:color w:val="000000" w:themeColor="text1" w:themeTint="FF" w:themeShade="FF"/>
          <w:lang w:val="es-PE" w:eastAsia="es-PE"/>
        </w:rPr>
        <w:t xml:space="preserve">” con arma de fuego. Es decir, nuevamente, queda en evidencia otra contradicción, puesto que en la denuncia policial inicial no se describe que ambos hayan descendido de la moto, solo se señala que fue el copiloto quien descendió del vehículo y las amenazó; (6) respecto a la ubicación del centro comercial donde realizó el retiro, fue la socia de la reclamante, con quien se encontraba al momento de los hechos, quien en la pregunta 6 manifiesta que se encontraba en el Centro Comercial Plaza Norte, por lo que es falso que el entrevistador haya buscado o intentado confundirla, siendo que las entrevistas realizadas a los asegurados tienen únicamente como fin, lograr un mayor entendimiento de la circunstancia del evento y pérdida reclamada; (7) por su parte, la reclamante intenta justificar el reiterado cambio de versión de los hechos, alegando que ella no dio una versión falsa, cuando ya se hizo evidente que tanto ella como su socia, pese a encontrarse juntas al momento de los hechos, brindan versiones distintas; (8) durante la entrevista personal se le consultó si tenía algo que agregar, quitar o variar, a lo cual indicó negativamente, procediendo a la firma del acta en señal de conformidad. No obstante, también se ratificó en la denuncia policial; (9) debido a las serias imprecisiones e inexactitudes declaradas por la reclamante se denegó la cobertura, debido a que el mismo es un evento no amparado por la Póliza del Seguro, de acuerdo con lo establecido en el Art.73° de la Ley del Contrato de Seguros. </w:t>
      </w:r>
    </w:p>
    <w:p w:rsidRPr="00A70901" w:rsidR="00A70901" w:rsidP="00A70901" w:rsidRDefault="00A70901" w14:paraId="363D7C2D" w14:textId="77777777">
      <w:pPr>
        <w:pStyle w:val="Textoindependiente"/>
        <w:rPr>
          <w:lang w:val="es-PE"/>
        </w:rPr>
      </w:pPr>
    </w:p>
    <w:p w:rsidRPr="00A70901" w:rsidR="00A70901" w:rsidP="00A70901" w:rsidRDefault="00A70901" w14:paraId="6FD19B31" w14:textId="77777777">
      <w:pPr>
        <w:pStyle w:val="Textoindependiente"/>
        <w:tabs>
          <w:tab w:val="left" w:pos="930"/>
        </w:tabs>
      </w:pPr>
      <w:r w:rsidRPr="00A70901">
        <w:t>Que, atendiendo a lo expuesto, esta Defensoría resuelve finalmente lo siguiente:</w:t>
      </w:r>
    </w:p>
    <w:p w:rsidR="00A70901" w:rsidP="00A70901" w:rsidRDefault="00A70901" w14:paraId="22817D46" w14:textId="77777777">
      <w:pPr>
        <w:jc w:val="both"/>
        <w:rPr>
          <w:rFonts w:ascii="Times New Roman" w:hAnsi="Times New Roman" w:cs="Times New Roman"/>
          <w:b/>
          <w:sz w:val="24"/>
          <w:szCs w:val="24"/>
          <w:u w:val="single"/>
          <w:lang w:val="es-PE"/>
        </w:rPr>
      </w:pPr>
    </w:p>
    <w:p w:rsidRPr="00A70901" w:rsidR="00A70901" w:rsidP="00A70901" w:rsidRDefault="00A70901" w14:paraId="267443D5" w14:textId="09587B5E">
      <w:pPr>
        <w:jc w:val="both"/>
        <w:rPr>
          <w:rFonts w:ascii="Times New Roman" w:hAnsi="Times New Roman" w:cs="Times New Roman"/>
          <w:sz w:val="24"/>
          <w:szCs w:val="24"/>
          <w:lang w:val="es-PE"/>
        </w:rPr>
      </w:pPr>
      <w:r w:rsidRPr="00A70901">
        <w:rPr>
          <w:rFonts w:ascii="Times New Roman" w:hAnsi="Times New Roman" w:cs="Times New Roman"/>
          <w:b/>
          <w:sz w:val="24"/>
          <w:szCs w:val="24"/>
          <w:u w:val="single"/>
          <w:lang w:val="es-PE"/>
        </w:rPr>
        <w:t>PRIMERO</w:t>
      </w:r>
      <w:r w:rsidRPr="00A70901">
        <w:rPr>
          <w:rFonts w:ascii="Times New Roman" w:hAnsi="Times New Roman" w:cs="Times New Roman"/>
          <w:b/>
          <w:sz w:val="24"/>
          <w:szCs w:val="24"/>
          <w:lang w:val="es-PE"/>
        </w:rPr>
        <w:t>:</w:t>
      </w:r>
      <w:r w:rsidRPr="00A70901">
        <w:rPr>
          <w:rFonts w:ascii="Times New Roman" w:hAnsi="Times New Roman" w:cs="Times New Roman"/>
          <w:sz w:val="24"/>
          <w:szCs w:val="24"/>
          <w:lang w:val="es-PE"/>
        </w:rPr>
        <w:t xml:space="preserve"> El artículo 10 (Procedimiento) del Reglamento de la DEFASEG </w:t>
      </w:r>
      <w:r w:rsidRPr="00A70901">
        <w:rPr>
          <w:rFonts w:ascii="Times New Roman" w:hAnsi="Times New Roman" w:eastAsia="Arial Unicode MS" w:cs="Times New Roman"/>
          <w:sz w:val="24"/>
          <w:szCs w:val="24"/>
          <w:lang w:val="es-PE"/>
        </w:rPr>
        <w:t>(http://www.defaseg.com.pe/reglamento)</w:t>
      </w:r>
      <w:r w:rsidRPr="00A70901">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A70901" w:rsidR="00A70901" w:rsidP="00A70901" w:rsidRDefault="00A70901" w14:paraId="22B28964" w14:textId="77777777">
      <w:pPr>
        <w:jc w:val="both"/>
        <w:rPr>
          <w:rFonts w:ascii="Times New Roman" w:hAnsi="Times New Roman" w:cs="Times New Roman"/>
          <w:bCs/>
          <w:sz w:val="24"/>
          <w:szCs w:val="24"/>
          <w:lang w:val="es-PE"/>
        </w:rPr>
      </w:pPr>
      <w:r w:rsidRPr="00A70901">
        <w:rPr>
          <w:rFonts w:ascii="Times New Roman" w:hAnsi="Times New Roman" w:cs="Times New Roman"/>
          <w:sz w:val="24"/>
          <w:szCs w:val="24"/>
          <w:lang w:val="es-PE"/>
        </w:rPr>
        <w:t xml:space="preserve">Conforme a ello, en el caso concreto, la reclamante </w:t>
      </w:r>
      <w:r w:rsidRPr="00A70901">
        <w:rPr>
          <w:rFonts w:ascii="Times New Roman" w:hAnsi="Times New Roman" w:cs="Times New Roman"/>
          <w:bCs/>
          <w:sz w:val="24"/>
          <w:szCs w:val="24"/>
          <w:lang w:val="es-PE"/>
        </w:rPr>
        <w:t>sustenta su impugnación al discrepar del contenido de la resolución impugnada.</w:t>
      </w:r>
    </w:p>
    <w:p w:rsidRPr="00A70901" w:rsidR="00A70901" w:rsidP="00A70901" w:rsidRDefault="00A70901" w14:paraId="552AAD23" w14:textId="77777777">
      <w:pPr>
        <w:jc w:val="both"/>
        <w:rPr>
          <w:rFonts w:ascii="Times New Roman" w:hAnsi="Times New Roman" w:cs="Times New Roman"/>
          <w:sz w:val="24"/>
          <w:szCs w:val="24"/>
          <w:lang w:val="es-PE"/>
        </w:rPr>
      </w:pPr>
      <w:r w:rsidRPr="00A70901">
        <w:rPr>
          <w:rFonts w:ascii="Times New Roman" w:hAnsi="Times New Roman" w:cs="Times New Roman"/>
          <w:b/>
          <w:bCs/>
          <w:sz w:val="24"/>
          <w:szCs w:val="24"/>
          <w:u w:val="single"/>
          <w:lang w:val="es-PE"/>
        </w:rPr>
        <w:t>SEGUNDO</w:t>
      </w:r>
      <w:r w:rsidRPr="00A70901">
        <w:rPr>
          <w:rFonts w:ascii="Times New Roman" w:hAnsi="Times New Roman" w:cs="Times New Roman"/>
          <w:b/>
          <w:bCs/>
          <w:sz w:val="24"/>
          <w:szCs w:val="24"/>
          <w:lang w:val="es-PE"/>
        </w:rPr>
        <w:t>:</w:t>
      </w:r>
      <w:r w:rsidRPr="00A70901">
        <w:rPr>
          <w:rFonts w:ascii="Times New Roman" w:hAnsi="Times New Roman" w:cs="Times New Roman"/>
          <w:bCs/>
          <w:sz w:val="24"/>
          <w:szCs w:val="24"/>
          <w:lang w:val="es-PE"/>
        </w:rPr>
        <w:t xml:space="preserve"> Conforme al séptimo considerando de la resolución impugnada, la reclamación fue desestimada por cuanto se </w:t>
      </w:r>
      <w:r w:rsidRPr="00A70901">
        <w:rPr>
          <w:rFonts w:ascii="Times New Roman" w:hAnsi="Times New Roman" w:cs="Times New Roman"/>
          <w:sz w:val="24"/>
          <w:szCs w:val="24"/>
          <w:lang w:val="es-PE"/>
        </w:rPr>
        <w:t xml:space="preserve">advierte que existen serias contradicciones en lo manifestado en las entrevistas por las supuestas víctimas de un mismo evento, formulando declaraciones inexactas sobre el lugar donde se encontraban, la hora y la forma en que ocurrió. </w:t>
      </w:r>
    </w:p>
    <w:p w:rsidRPr="00A70901" w:rsidR="00A70901" w:rsidP="00A70901" w:rsidRDefault="00A70901" w14:paraId="6140EC62" w14:textId="30C72BA9">
      <w:pPr>
        <w:jc w:val="both"/>
        <w:rPr>
          <w:rFonts w:ascii="Times New Roman" w:hAnsi="Times New Roman" w:cs="Times New Roman"/>
          <w:sz w:val="24"/>
          <w:szCs w:val="24"/>
          <w:lang w:val="es-PE"/>
        </w:rPr>
      </w:pPr>
      <w:r w:rsidRPr="5102F83E" w:rsidR="00A70901">
        <w:rPr>
          <w:rFonts w:ascii="Times New Roman" w:hAnsi="Times New Roman" w:cs="Times New Roman"/>
          <w:sz w:val="24"/>
          <w:szCs w:val="24"/>
          <w:lang w:val="es-PE"/>
        </w:rPr>
        <w:t xml:space="preserve">En ese marco, se apreció que </w:t>
      </w:r>
      <w:r w:rsidRPr="5102F83E" w:rsidR="00A70901">
        <w:rPr>
          <w:rFonts w:ascii="Times New Roman" w:hAnsi="Times New Roman" w:cs="Times New Roman"/>
          <w:sz w:val="24"/>
          <w:szCs w:val="24"/>
          <w:lang w:val="es-PE"/>
        </w:rPr>
        <w:t xml:space="preserve">las supuestas agraviadas declaran que se encontraban juntas, pero identifican centros comerciales distintos. Es así como, mientras que la reclamante manifiesta que estuvieron en el Centro Comercial MEGA PLAZA, la Señora </w:t>
      </w:r>
      <w:r w:rsidRPr="5102F83E" w:rsidR="0DCA425D">
        <w:rPr>
          <w:rFonts w:ascii="Times New Roman" w:hAnsi="Times New Roman" w:cs="Times New Roman"/>
          <w:sz w:val="24"/>
          <w:szCs w:val="24"/>
          <w:lang w:val="es-PE"/>
        </w:rPr>
        <w:t>...............................</w:t>
      </w:r>
      <w:r w:rsidRPr="5102F83E" w:rsidR="00A70901">
        <w:rPr>
          <w:rFonts w:ascii="Times New Roman" w:hAnsi="Times New Roman" w:cs="Times New Roman"/>
          <w:sz w:val="24"/>
          <w:szCs w:val="24"/>
          <w:lang w:val="es-PE"/>
        </w:rPr>
        <w:t xml:space="preserve"> indicó que se encontraban en PLAZA NORTE. Igualmente, ambas se contradicen respecto de las horas, ya que la reclamante indicó realizó retiros entre las 7:40 y 8:00 pm, la amiga o socio declaró que fue hasta las 6:30 pm. Finalmente, las supuestas víctimas de robo se contradicen sobre la forma cómo este se materializó, habida cuenta que la reclamante declara que fue con arma blanca, en tanto que la socia o amiga indicó que fue con arma blanca. </w:t>
      </w:r>
    </w:p>
    <w:p w:rsidRPr="00A70901" w:rsidR="00A70901" w:rsidP="00A70901" w:rsidRDefault="00A70901" w14:paraId="12B94F2F" w14:textId="77777777">
      <w:pPr>
        <w:jc w:val="both"/>
        <w:rPr>
          <w:rFonts w:ascii="Times New Roman" w:hAnsi="Times New Roman" w:cs="Times New Roman"/>
          <w:sz w:val="24"/>
          <w:szCs w:val="24"/>
          <w:lang w:val="es-PE"/>
        </w:rPr>
      </w:pPr>
    </w:p>
    <w:p w:rsidRPr="00A70901" w:rsidR="00A70901" w:rsidP="00A70901" w:rsidRDefault="00A70901" w14:paraId="6A1F80E8" w14:textId="77777777">
      <w:pPr>
        <w:jc w:val="both"/>
        <w:rPr>
          <w:rFonts w:ascii="Times New Roman" w:hAnsi="Times New Roman" w:cs="Times New Roman"/>
          <w:sz w:val="24"/>
          <w:szCs w:val="24"/>
          <w:lang w:val="es-PE"/>
        </w:rPr>
      </w:pPr>
      <w:r w:rsidRPr="00A70901">
        <w:rPr>
          <w:rFonts w:ascii="Times New Roman" w:hAnsi="Times New Roman" w:cs="Times New Roman"/>
          <w:sz w:val="24"/>
          <w:szCs w:val="24"/>
          <w:lang w:val="es-PE"/>
        </w:rPr>
        <w:lastRenderedPageBreak/>
        <w:t>En vía de impugnación no se ha aportado elementos que lleven a una conclusión distinta a la adoptada mediante a la resolución impugnada.</w:t>
      </w:r>
    </w:p>
    <w:p w:rsidRPr="00A70901" w:rsidR="00A70901" w:rsidP="00A70901" w:rsidRDefault="00A70901" w14:paraId="26EF992B" w14:textId="77777777">
      <w:pPr>
        <w:jc w:val="both"/>
        <w:rPr>
          <w:rFonts w:ascii="Times New Roman" w:hAnsi="Times New Roman" w:cs="Times New Roman"/>
          <w:sz w:val="24"/>
          <w:szCs w:val="24"/>
          <w:lang w:val="es-PE"/>
        </w:rPr>
      </w:pPr>
      <w:r w:rsidRPr="00A70901">
        <w:rPr>
          <w:rFonts w:ascii="Times New Roman" w:hAnsi="Times New Roman" w:cs="Times New Roman"/>
          <w:sz w:val="24"/>
          <w:szCs w:val="24"/>
          <w:lang w:val="es-PE"/>
        </w:rPr>
        <w:t>En ese sentido, se aprecia que de los antecedentes que obran en autos, está probado que existen serias contradicciones e inexactitudes en las declaraciones formuladas por las supuestas víctimas de un mismo evento.</w:t>
      </w:r>
    </w:p>
    <w:p w:rsidRPr="00A70901" w:rsidR="00A70901" w:rsidP="00A70901" w:rsidRDefault="00A70901" w14:paraId="699C3474" w14:textId="77777777">
      <w:pPr>
        <w:jc w:val="both"/>
        <w:rPr>
          <w:rFonts w:ascii="Times New Roman" w:hAnsi="Times New Roman" w:cs="Times New Roman"/>
          <w:sz w:val="24"/>
          <w:szCs w:val="24"/>
          <w:lang w:val="es-PE"/>
        </w:rPr>
      </w:pPr>
      <w:r w:rsidRPr="00A70901">
        <w:rPr>
          <w:rFonts w:ascii="Times New Roman" w:hAnsi="Times New Roman" w:cs="Times New Roman"/>
          <w:sz w:val="24"/>
          <w:szCs w:val="24"/>
          <w:lang w:val="es-PE"/>
        </w:rPr>
        <w:t>Dicha circunstancia configura indicio razonable de la existencia de una reclamación fraudulenta que conlleva la pérdida del derecho indemnizatorio.</w:t>
      </w:r>
    </w:p>
    <w:p w:rsidRPr="00A70901" w:rsidR="00A70901" w:rsidP="00A70901" w:rsidRDefault="00A70901" w14:paraId="7F068EAD" w14:textId="77777777">
      <w:pPr>
        <w:jc w:val="both"/>
        <w:rPr>
          <w:rFonts w:ascii="Times New Roman" w:hAnsi="Times New Roman" w:cs="Times New Roman"/>
          <w:bCs/>
          <w:sz w:val="24"/>
          <w:szCs w:val="24"/>
          <w:lang w:val="es-PE"/>
        </w:rPr>
      </w:pPr>
      <w:r w:rsidRPr="00A70901">
        <w:rPr>
          <w:rFonts w:ascii="Times New Roman" w:hAnsi="Times New Roman" w:cs="Times New Roman"/>
          <w:b/>
          <w:sz w:val="24"/>
          <w:szCs w:val="24"/>
          <w:u w:val="single"/>
          <w:lang w:val="es-PE"/>
        </w:rPr>
        <w:t>TERCERO</w:t>
      </w:r>
      <w:r w:rsidRPr="00A70901">
        <w:rPr>
          <w:rFonts w:ascii="Times New Roman" w:hAnsi="Times New Roman" w:cs="Times New Roman"/>
          <w:b/>
          <w:sz w:val="24"/>
          <w:szCs w:val="24"/>
          <w:lang w:val="es-PE"/>
        </w:rPr>
        <w:t>:</w:t>
      </w:r>
      <w:r w:rsidRPr="00A70901">
        <w:rPr>
          <w:rFonts w:ascii="Times New Roman" w:hAnsi="Times New Roman" w:cs="Times New Roman"/>
          <w:sz w:val="24"/>
          <w:szCs w:val="24"/>
          <w:lang w:val="es-PE"/>
        </w:rPr>
        <w:t xml:space="preserve"> </w:t>
      </w:r>
      <w:r w:rsidRPr="00A70901">
        <w:rPr>
          <w:rFonts w:ascii="Times New Roman" w:hAnsi="Times New Roman" w:cs="Times New Roman"/>
          <w:bCs/>
          <w:sz w:val="24"/>
          <w:szCs w:val="24"/>
          <w:lang w:val="es-PE"/>
        </w:rPr>
        <w:t xml:space="preserve">Atendiendo a lo anterior, se concluye que no existe error ni nueva prueba que contradiga el sustento fáctico de la decisión adoptada por el Órgano Resolutorio Unipersonal. </w:t>
      </w:r>
    </w:p>
    <w:p w:rsidRPr="00A70901" w:rsidR="00A70901" w:rsidP="00A70901" w:rsidRDefault="00A70901" w14:paraId="43092ABB" w14:textId="77777777">
      <w:pPr>
        <w:jc w:val="both"/>
        <w:rPr>
          <w:rFonts w:ascii="Times New Roman" w:hAnsi="Times New Roman" w:cs="Times New Roman"/>
          <w:sz w:val="24"/>
          <w:szCs w:val="24"/>
          <w:lang w:val="es-PE"/>
        </w:rPr>
      </w:pPr>
      <w:r w:rsidRPr="00A70901">
        <w:rPr>
          <w:rFonts w:ascii="Times New Roman" w:hAnsi="Times New Roman" w:cs="Times New Roman"/>
          <w:bCs/>
          <w:sz w:val="24"/>
          <w:szCs w:val="24"/>
          <w:lang w:val="es-PE"/>
        </w:rPr>
        <w:t xml:space="preserve">En ese sentido, el Colegiado reitera su convicción que, de los antecedentes fácticos del caso, se verifican pruebas en el sentido que existen razones fundadas para estimar que el rechazo de cobertura es legítimo, </w:t>
      </w:r>
      <w:r w:rsidRPr="00A70901">
        <w:rPr>
          <w:rFonts w:ascii="Times New Roman" w:hAnsi="Times New Roman" w:cs="Times New Roman"/>
          <w:sz w:val="24"/>
          <w:szCs w:val="24"/>
          <w:lang w:val="es-PE"/>
        </w:rPr>
        <w:t>por lo que no existe mérito suficiente ni razón objetiva para revocar la resolución recurrida.</w:t>
      </w:r>
    </w:p>
    <w:p w:rsidRPr="00A70901" w:rsidR="00A70901" w:rsidP="00A70901" w:rsidRDefault="00A70901" w14:paraId="456E64D1" w14:textId="77777777">
      <w:pPr>
        <w:jc w:val="both"/>
        <w:rPr>
          <w:rFonts w:ascii="Times New Roman" w:hAnsi="Times New Roman" w:cs="Times New Roman"/>
          <w:b/>
          <w:sz w:val="24"/>
          <w:szCs w:val="24"/>
          <w:lang w:val="es-PE"/>
        </w:rPr>
      </w:pPr>
      <w:r w:rsidRPr="00A70901">
        <w:rPr>
          <w:rFonts w:ascii="Times New Roman" w:hAnsi="Times New Roman" w:cs="Times New Roman"/>
          <w:b/>
          <w:sz w:val="24"/>
          <w:szCs w:val="24"/>
          <w:lang w:val="es-PE"/>
        </w:rPr>
        <w:t>RESUELVE:</w:t>
      </w:r>
    </w:p>
    <w:p w:rsidRPr="00A70901" w:rsidR="00A70901" w:rsidP="00A70901" w:rsidRDefault="00A70901" w14:paraId="2AD2D473" w14:textId="77777777">
      <w:pPr>
        <w:jc w:val="both"/>
        <w:rPr>
          <w:rFonts w:ascii="Times New Roman" w:hAnsi="Times New Roman" w:cs="Times New Roman"/>
          <w:sz w:val="24"/>
          <w:szCs w:val="24"/>
          <w:lang w:val="es-PE"/>
        </w:rPr>
      </w:pPr>
      <w:r w:rsidRPr="00A70901">
        <w:rPr>
          <w:rFonts w:ascii="Times New Roman" w:hAnsi="Times New Roman" w:eastAsia="Arial Unicode MS" w:cs="Times New Roman"/>
          <w:b/>
          <w:sz w:val="24"/>
          <w:szCs w:val="24"/>
          <w:lang w:val="es-PE"/>
        </w:rPr>
        <w:t>Declarar INFUNDADO el recurso de impugnación interpuesto y, por consiguiente, CONFIRMAR la Resolución Nro. 201/23</w:t>
      </w:r>
      <w:r w:rsidRPr="00A70901">
        <w:rPr>
          <w:rFonts w:ascii="Times New Roman" w:hAnsi="Times New Roman" w:cs="Times New Roman"/>
          <w:sz w:val="24"/>
          <w:szCs w:val="24"/>
          <w:lang w:val="es-PE"/>
        </w:rPr>
        <w:t>.</w:t>
      </w:r>
    </w:p>
    <w:p w:rsidRPr="00A70901" w:rsidR="008B6A09" w:rsidP="008B6A09" w:rsidRDefault="0091528B" w14:paraId="000A434B" w14:textId="447AF784">
      <w:pPr>
        <w:jc w:val="right"/>
        <w:rPr>
          <w:rFonts w:ascii="Times New Roman" w:hAnsi="Times New Roman" w:cs="Times New Roman"/>
          <w:sz w:val="24"/>
          <w:szCs w:val="24"/>
          <w:lang w:val="es-PE"/>
        </w:rPr>
      </w:pPr>
      <w:r w:rsidRPr="00A70901">
        <w:rPr>
          <w:rFonts w:ascii="Times New Roman" w:hAnsi="Times New Roman" w:eastAsia="Arial Unicode MS" w:cs="Times New Roman"/>
          <w:sz w:val="24"/>
          <w:szCs w:val="24"/>
          <w:lang w:val="es-PE" w:eastAsia="ar-SA"/>
        </w:rPr>
        <w:t xml:space="preserve">Lima, </w:t>
      </w:r>
      <w:r w:rsidRPr="00A70901" w:rsidR="00DE4BF9">
        <w:rPr>
          <w:rFonts w:ascii="Times New Roman" w:hAnsi="Times New Roman" w:eastAsia="Arial Unicode MS" w:cs="Times New Roman"/>
          <w:sz w:val="24"/>
          <w:szCs w:val="24"/>
          <w:lang w:val="es-PE" w:eastAsia="ar-SA"/>
        </w:rPr>
        <w:t>12</w:t>
      </w:r>
      <w:r w:rsidRPr="00A70901" w:rsidR="00570ED6">
        <w:rPr>
          <w:rFonts w:ascii="Times New Roman" w:hAnsi="Times New Roman" w:eastAsia="Arial Unicode MS" w:cs="Times New Roman"/>
          <w:sz w:val="24"/>
          <w:szCs w:val="24"/>
          <w:lang w:val="es-PE" w:eastAsia="ar-SA"/>
        </w:rPr>
        <w:t xml:space="preserve"> </w:t>
      </w:r>
      <w:r w:rsidRPr="00A70901" w:rsidR="00707C99">
        <w:rPr>
          <w:rFonts w:ascii="Times New Roman" w:hAnsi="Times New Roman" w:eastAsia="Arial Unicode MS" w:cs="Times New Roman"/>
          <w:sz w:val="24"/>
          <w:szCs w:val="24"/>
          <w:lang w:val="es-PE" w:eastAsia="ar-SA"/>
        </w:rPr>
        <w:t xml:space="preserve">de </w:t>
      </w:r>
      <w:r w:rsidRPr="00A70901" w:rsidR="00DE4BF9">
        <w:rPr>
          <w:rFonts w:ascii="Times New Roman" w:hAnsi="Times New Roman" w:eastAsia="Arial Unicode MS" w:cs="Times New Roman"/>
          <w:sz w:val="24"/>
          <w:szCs w:val="24"/>
          <w:lang w:val="es-PE" w:eastAsia="ar-SA"/>
        </w:rPr>
        <w:t>febrero</w:t>
      </w:r>
      <w:r w:rsidRPr="00A70901" w:rsidR="002F478E">
        <w:rPr>
          <w:rFonts w:ascii="Times New Roman" w:hAnsi="Times New Roman" w:eastAsia="Arial Unicode MS" w:cs="Times New Roman"/>
          <w:sz w:val="24"/>
          <w:szCs w:val="24"/>
          <w:lang w:val="es-PE" w:eastAsia="ar-SA"/>
        </w:rPr>
        <w:t xml:space="preserve"> </w:t>
      </w:r>
      <w:r w:rsidRPr="00A70901" w:rsidR="00F06498">
        <w:rPr>
          <w:rFonts w:ascii="Times New Roman" w:hAnsi="Times New Roman" w:eastAsia="Arial Unicode MS" w:cs="Times New Roman"/>
          <w:sz w:val="24"/>
          <w:szCs w:val="24"/>
          <w:lang w:val="es-PE" w:eastAsia="ar-SA"/>
        </w:rPr>
        <w:t>de 202</w:t>
      </w:r>
      <w:r w:rsidRPr="00A70901" w:rsidR="00543015">
        <w:rPr>
          <w:rFonts w:ascii="Times New Roman" w:hAnsi="Times New Roman" w:eastAsia="Arial Unicode MS" w:cs="Times New Roman"/>
          <w:sz w:val="24"/>
          <w:szCs w:val="24"/>
          <w:lang w:val="es-PE" w:eastAsia="ar-SA"/>
        </w:rPr>
        <w:t>4</w:t>
      </w:r>
      <w:r w:rsidRPr="00A70901" w:rsidR="00707C99">
        <w:rPr>
          <w:rFonts w:ascii="Times New Roman" w:hAnsi="Times New Roman" w:eastAsia="Times New Roman" w:cs="Times New Roman"/>
          <w:sz w:val="24"/>
          <w:szCs w:val="24"/>
          <w:lang w:val="es-PE" w:eastAsia="ar-SA"/>
        </w:rPr>
        <w:t xml:space="preserve"> </w:t>
      </w:r>
    </w:p>
    <w:p w:rsidRPr="00A70901"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A70901"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A7090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70901"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A70901" w:rsidR="007543CD" w:rsidP="007543CD" w:rsidRDefault="00543015" w14:paraId="220AA7AD" w14:textId="133296B2">
      <w:pPr>
        <w:spacing w:after="0" w:line="360" w:lineRule="auto"/>
        <w:jc w:val="center"/>
        <w:rPr>
          <w:rFonts w:ascii="Times New Roman" w:hAnsi="Times New Roman" w:cs="Times New Roman"/>
          <w:b/>
          <w:bCs/>
          <w:sz w:val="24"/>
          <w:szCs w:val="24"/>
          <w:lang w:val="es-PE"/>
        </w:rPr>
      </w:pPr>
      <w:r w:rsidRPr="00A70901">
        <w:rPr>
          <w:rFonts w:ascii="Times New Roman" w:hAnsi="Times New Roman" w:cs="Times New Roman"/>
          <w:b/>
          <w:bCs/>
          <w:sz w:val="24"/>
          <w:szCs w:val="24"/>
          <w:lang w:val="es-PE"/>
        </w:rPr>
        <w:t xml:space="preserve">María Eugenia Valdez Fernández Baca </w:t>
      </w:r>
      <w:r w:rsidRPr="00A70901" w:rsidR="007543CD">
        <w:rPr>
          <w:rFonts w:ascii="Times New Roman" w:hAnsi="Times New Roman" w:cs="Times New Roman"/>
          <w:b/>
          <w:bCs/>
          <w:sz w:val="24"/>
          <w:szCs w:val="24"/>
          <w:lang w:val="es-PE"/>
        </w:rPr>
        <w:t>– Presidente</w:t>
      </w:r>
    </w:p>
    <w:p w:rsidRPr="00A70901"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A70901">
        <w:rPr>
          <w:rFonts w:ascii="Times New Roman" w:hAnsi="Times New Roman" w:cs="Times New Roman"/>
          <w:b/>
          <w:bCs/>
          <w:sz w:val="24"/>
          <w:szCs w:val="24"/>
          <w:lang w:val="es-PE"/>
        </w:rPr>
        <w:t>Omar Alfaro Villanueva – Vocal</w:t>
      </w:r>
    </w:p>
    <w:p w:rsidRPr="00A70901"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A70901">
        <w:rPr>
          <w:rFonts w:ascii="Times New Roman" w:hAnsi="Times New Roman" w:cs="Times New Roman"/>
          <w:b/>
          <w:bCs/>
          <w:sz w:val="24"/>
          <w:szCs w:val="24"/>
          <w:lang w:val="es-PE"/>
        </w:rPr>
        <w:t>Gonzalo Abad del Busto – Vocal</w:t>
      </w:r>
    </w:p>
    <w:p w:rsidRPr="00E1040C"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155D7B">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55D7B" w:rsidP="00784355" w:rsidRDefault="00155D7B" w14:paraId="5EEE1216" w14:textId="77777777">
      <w:pPr>
        <w:spacing w:after="0" w:line="240" w:lineRule="auto"/>
      </w:pPr>
      <w:r>
        <w:separator/>
      </w:r>
    </w:p>
  </w:endnote>
  <w:endnote w:type="continuationSeparator" w:id="0">
    <w:p w:rsidR="00155D7B" w:rsidP="00784355" w:rsidRDefault="00155D7B" w14:paraId="112B5FA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55D7B" w:rsidP="00784355" w:rsidRDefault="00155D7B" w14:paraId="0C07BE6E" w14:textId="77777777">
      <w:pPr>
        <w:spacing w:after="0" w:line="240" w:lineRule="auto"/>
      </w:pPr>
      <w:r>
        <w:separator/>
      </w:r>
    </w:p>
  </w:footnote>
  <w:footnote w:type="continuationSeparator" w:id="0">
    <w:p w:rsidR="00155D7B" w:rsidP="00784355" w:rsidRDefault="00155D7B" w14:paraId="330392C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5D7B"/>
    <w:rsid w:val="00157979"/>
    <w:rsid w:val="00160361"/>
    <w:rsid w:val="001703D8"/>
    <w:rsid w:val="00170E39"/>
    <w:rsid w:val="0017140F"/>
    <w:rsid w:val="00171DF3"/>
    <w:rsid w:val="00174918"/>
    <w:rsid w:val="001749D2"/>
    <w:rsid w:val="00174DA5"/>
    <w:rsid w:val="00181908"/>
    <w:rsid w:val="00181DCE"/>
    <w:rsid w:val="00187BFD"/>
    <w:rsid w:val="0019385F"/>
    <w:rsid w:val="00196365"/>
    <w:rsid w:val="001A008A"/>
    <w:rsid w:val="001A3395"/>
    <w:rsid w:val="001A43EC"/>
    <w:rsid w:val="001A44E1"/>
    <w:rsid w:val="001A5178"/>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C795C"/>
    <w:rsid w:val="004D05F2"/>
    <w:rsid w:val="004E65DD"/>
    <w:rsid w:val="004F0319"/>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248E"/>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42"/>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0901"/>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2D04"/>
    <w:rsid w:val="00B93C7A"/>
    <w:rsid w:val="00B956C4"/>
    <w:rsid w:val="00B9570E"/>
    <w:rsid w:val="00BA3C20"/>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1040C"/>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91FE9"/>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B297F"/>
    <w:rsid w:val="00FB4B0C"/>
    <w:rsid w:val="00FC0D10"/>
    <w:rsid w:val="00FC1934"/>
    <w:rsid w:val="00FD308B"/>
    <w:rsid w:val="00FE38F0"/>
    <w:rsid w:val="00FE43A9"/>
    <w:rsid w:val="00FE6588"/>
    <w:rsid w:val="00FE73F3"/>
    <w:rsid w:val="00FF11AC"/>
    <w:rsid w:val="00FF3F82"/>
    <w:rsid w:val="00FF41F3"/>
    <w:rsid w:val="08D4B7AC"/>
    <w:rsid w:val="0DCA425D"/>
    <w:rsid w:val="1358EBCE"/>
    <w:rsid w:val="26598A11"/>
    <w:rsid w:val="26D06AF7"/>
    <w:rsid w:val="3B6C6989"/>
    <w:rsid w:val="5102F83E"/>
    <w:rsid w:val="5B47CD9C"/>
    <w:rsid w:val="5F650965"/>
    <w:rsid w:val="67550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DDDEA53-412F-47FB-892E-88794D8E4A8C}"/>
</file>

<file path=customXml/itemProps3.xml><?xml version="1.0" encoding="utf-8"?>
<ds:datastoreItem xmlns:ds="http://schemas.openxmlformats.org/officeDocument/2006/customXml" ds:itemID="{BC04D71F-B4D6-4070-B690-786BDCA30F94}"/>
</file>

<file path=customXml/itemProps4.xml><?xml version="1.0" encoding="utf-8"?>
<ds:datastoreItem xmlns:ds="http://schemas.openxmlformats.org/officeDocument/2006/customXml" ds:itemID="{A42900BD-5D3A-450E-9D5E-6BD3A777792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248</cp:revision>
  <cp:lastPrinted>2024-02-12T14:58:00Z</cp:lastPrinted>
  <dcterms:created xsi:type="dcterms:W3CDTF">2023-02-14T22:37:00Z</dcterms:created>
  <dcterms:modified xsi:type="dcterms:W3CDTF">2025-12-04T20:30:56Z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