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1040C" w:rsidR="00707C99" w:rsidP="00272F4F" w:rsidRDefault="00201C0D" w14:paraId="19FE0E96" w14:textId="1B2B78AB">
      <w:pPr>
        <w:spacing w:after="0" w:line="240" w:lineRule="auto"/>
        <w:jc w:val="center"/>
        <w:rPr>
          <w:rFonts w:ascii="Times New Roman" w:hAnsi="Times New Roman" w:cs="Times New Roman"/>
          <w:b/>
          <w:sz w:val="24"/>
          <w:szCs w:val="24"/>
          <w:lang w:val="es-PE" w:eastAsia="ar-SA"/>
        </w:rPr>
      </w:pPr>
      <w:r w:rsidRPr="00E1040C">
        <w:rPr>
          <w:rFonts w:ascii="Times New Roman" w:hAnsi="Times New Roman" w:cs="Times New Roman"/>
          <w:b/>
          <w:sz w:val="24"/>
          <w:szCs w:val="24"/>
          <w:lang w:val="es-PE" w:eastAsia="ar-SA"/>
        </w:rPr>
        <w:t xml:space="preserve">RESOLUCIÓN DE RECURSO IMPUGNATIVO </w:t>
      </w:r>
      <w:r w:rsidRPr="00E1040C" w:rsidR="00707C99">
        <w:rPr>
          <w:rFonts w:ascii="Times New Roman" w:hAnsi="Times New Roman" w:cs="Times New Roman"/>
          <w:b/>
          <w:sz w:val="24"/>
          <w:szCs w:val="24"/>
          <w:lang w:val="es-PE" w:eastAsia="ar-SA"/>
        </w:rPr>
        <w:t xml:space="preserve">N° </w:t>
      </w:r>
      <w:r w:rsidRPr="00E1040C" w:rsidR="00516293">
        <w:rPr>
          <w:rFonts w:ascii="Times New Roman" w:hAnsi="Times New Roman" w:cs="Times New Roman"/>
          <w:b/>
          <w:sz w:val="24"/>
          <w:szCs w:val="24"/>
          <w:lang w:val="es-PE" w:eastAsia="ar-SA"/>
        </w:rPr>
        <w:t>0</w:t>
      </w:r>
      <w:r w:rsidRPr="00E1040C" w:rsidR="00543015">
        <w:rPr>
          <w:rFonts w:ascii="Times New Roman" w:hAnsi="Times New Roman" w:cs="Times New Roman"/>
          <w:b/>
          <w:sz w:val="24"/>
          <w:szCs w:val="24"/>
          <w:lang w:val="es-PE" w:eastAsia="ar-SA"/>
        </w:rPr>
        <w:t>0</w:t>
      </w:r>
      <w:r w:rsidR="00D210AF">
        <w:rPr>
          <w:rFonts w:ascii="Times New Roman" w:hAnsi="Times New Roman" w:cs="Times New Roman"/>
          <w:b/>
          <w:sz w:val="24"/>
          <w:szCs w:val="24"/>
          <w:lang w:val="es-PE" w:eastAsia="ar-SA"/>
        </w:rPr>
        <w:t>6</w:t>
      </w:r>
      <w:r w:rsidRPr="00E1040C" w:rsidR="00C671F5">
        <w:rPr>
          <w:rFonts w:ascii="Times New Roman" w:hAnsi="Times New Roman" w:cs="Times New Roman"/>
          <w:b/>
          <w:sz w:val="24"/>
          <w:szCs w:val="24"/>
          <w:lang w:val="es-PE" w:eastAsia="ar-SA"/>
        </w:rPr>
        <w:t>/2</w:t>
      </w:r>
      <w:r w:rsidRPr="00E1040C" w:rsidR="00543015">
        <w:rPr>
          <w:rFonts w:ascii="Times New Roman" w:hAnsi="Times New Roman" w:cs="Times New Roman"/>
          <w:b/>
          <w:sz w:val="24"/>
          <w:szCs w:val="24"/>
          <w:lang w:val="es-PE" w:eastAsia="ar-SA"/>
        </w:rPr>
        <w:t>4</w:t>
      </w:r>
    </w:p>
    <w:p w:rsidR="00F7567C" w:rsidP="00BE695C" w:rsidRDefault="00F7567C" w14:paraId="74F6CE19" w14:textId="77777777">
      <w:pPr>
        <w:pStyle w:val="Default"/>
        <w:jc w:val="both"/>
        <w:rPr>
          <w:rFonts w:ascii="Times New Roman" w:hAnsi="Times New Roman" w:cs="Times New Roman"/>
          <w:b/>
        </w:rPr>
      </w:pPr>
    </w:p>
    <w:p w:rsidR="00A35AD1" w:rsidP="00BE695C" w:rsidRDefault="00A35AD1" w14:paraId="7ED8BFEC" w14:textId="77777777">
      <w:pPr>
        <w:pStyle w:val="Default"/>
        <w:jc w:val="both"/>
        <w:rPr>
          <w:rFonts w:ascii="Times New Roman" w:hAnsi="Times New Roman" w:cs="Times New Roman"/>
          <w:b/>
        </w:rPr>
      </w:pPr>
    </w:p>
    <w:p w:rsidR="007C1A22" w:rsidP="007C1A22" w:rsidRDefault="007C1A22" w14:paraId="42A3F197"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7C1A22" w:rsidP="007C1A22" w:rsidRDefault="007C1A22" w14:paraId="2677F364" w14:textId="49669F3F">
      <w:pPr>
        <w:jc w:val="both"/>
        <w:outlineLvl w:val="0"/>
        <w:rPr>
          <w:rFonts w:ascii="Times New Roman" w:hAnsi="Times New Roman" w:cs="Times New Roman"/>
          <w:b w:val="1"/>
          <w:bCs w:val="1"/>
          <w:sz w:val="24"/>
          <w:szCs w:val="24"/>
          <w:lang w:val="es-PE"/>
        </w:rPr>
      </w:pPr>
      <w:r w:rsidRPr="791245DA" w:rsidR="007C1A22">
        <w:rPr>
          <w:rFonts w:ascii="Times New Roman" w:hAnsi="Times New Roman" w:cs="Times New Roman"/>
          <w:sz w:val="24"/>
          <w:szCs w:val="24"/>
          <w:lang w:val="es-PE"/>
        </w:rPr>
        <w:t xml:space="preserve">El recurso de impugnación presentado por </w:t>
      </w:r>
      <w:r w:rsidRPr="791245DA" w:rsidR="451D40A9">
        <w:rPr>
          <w:rFonts w:ascii="Times New Roman" w:hAnsi="Times New Roman" w:cs="Times New Roman"/>
          <w:b w:val="1"/>
          <w:bCs w:val="1"/>
          <w:sz w:val="24"/>
          <w:szCs w:val="24"/>
          <w:lang w:val="es-PE"/>
        </w:rPr>
        <w:t>...................................</w:t>
      </w:r>
      <w:r w:rsidRPr="791245DA" w:rsidR="007C1A22">
        <w:rPr>
          <w:rFonts w:ascii="Times New Roman" w:hAnsi="Times New Roman" w:cs="Times New Roman"/>
          <w:b w:val="1"/>
          <w:bCs w:val="1"/>
          <w:sz w:val="24"/>
          <w:szCs w:val="24"/>
          <w:lang w:val="es-PE"/>
        </w:rPr>
        <w:t xml:space="preserve"> </w:t>
      </w:r>
      <w:r w:rsidRPr="791245DA" w:rsidR="007C1A22">
        <w:rPr>
          <w:rFonts w:ascii="Times New Roman" w:hAnsi="Times New Roman" w:cs="Times New Roman"/>
          <w:sz w:val="24"/>
          <w:szCs w:val="24"/>
          <w:lang w:val="es-PE"/>
        </w:rPr>
        <w:t xml:space="preserve">respecto de la Resolución Nro. 227/23, expedida por el Órgano Resolutivo Unipersonal de esta Defensoría del Asegurado (DEFASEG), conforme a la cual se declaró </w:t>
      </w:r>
      <w:r w:rsidRPr="791245DA" w:rsidR="007C1A22">
        <w:rPr>
          <w:rFonts w:ascii="Times New Roman" w:hAnsi="Times New Roman" w:cs="Times New Roman"/>
          <w:b w:val="1"/>
          <w:bCs w:val="1"/>
          <w:sz w:val="24"/>
          <w:szCs w:val="24"/>
          <w:lang w:val="es-PE"/>
        </w:rPr>
        <w:t xml:space="preserve">FUNDADA </w:t>
      </w:r>
      <w:r w:rsidRPr="791245DA" w:rsidR="007C1A22">
        <w:rPr>
          <w:rFonts w:ascii="Times New Roman" w:hAnsi="Times New Roman" w:cs="Times New Roman"/>
          <w:sz w:val="24"/>
          <w:szCs w:val="24"/>
          <w:lang w:val="es-PE"/>
        </w:rPr>
        <w:t>la reclamación interpuesta por</w:t>
      </w:r>
      <w:r w:rsidRPr="791245DA" w:rsidR="007C1A22">
        <w:rPr>
          <w:rFonts w:ascii="Times New Roman" w:hAnsi="Times New Roman" w:cs="Times New Roman"/>
          <w:b w:val="1"/>
          <w:bCs w:val="1"/>
          <w:sz w:val="24"/>
          <w:szCs w:val="24"/>
          <w:lang w:val="es-PE"/>
        </w:rPr>
        <w:t xml:space="preserve"> </w:t>
      </w:r>
      <w:r w:rsidRPr="791245DA" w:rsidR="7A0B3FE1">
        <w:rPr>
          <w:rFonts w:ascii="Times New Roman" w:hAnsi="Times New Roman" w:cs="Times New Roman"/>
          <w:b w:val="1"/>
          <w:bCs w:val="1"/>
          <w:sz w:val="24"/>
          <w:szCs w:val="24"/>
          <w:lang w:val="es-PE"/>
        </w:rPr>
        <w:t>...............................................................</w:t>
      </w:r>
      <w:r w:rsidRPr="791245DA" w:rsidR="007C1A22">
        <w:rPr>
          <w:rFonts w:ascii="Times New Roman" w:hAnsi="Times New Roman" w:cs="Times New Roman"/>
          <w:b w:val="1"/>
          <w:bCs w:val="1"/>
          <w:sz w:val="24"/>
          <w:szCs w:val="24"/>
          <w:lang w:val="es-PE"/>
        </w:rPr>
        <w:t xml:space="preserve"> </w:t>
      </w:r>
      <w:r w:rsidRPr="791245DA" w:rsidR="007C1A22">
        <w:rPr>
          <w:rFonts w:ascii="Times New Roman" w:hAnsi="Times New Roman" w:cs="Times New Roman"/>
          <w:sz w:val="24"/>
          <w:szCs w:val="24"/>
          <w:lang w:val="es-PE"/>
        </w:rPr>
        <w:t xml:space="preserve">respecto al </w:t>
      </w:r>
      <w:r w:rsidRPr="791245DA" w:rsidR="007C1A22">
        <w:rPr>
          <w:rFonts w:ascii="Times New Roman" w:hAnsi="Times New Roman" w:cs="Times New Roman"/>
          <w:b w:val="1"/>
          <w:bCs w:val="1"/>
          <w:sz w:val="24"/>
          <w:szCs w:val="24"/>
          <w:lang w:val="es-PE"/>
        </w:rPr>
        <w:t xml:space="preserve">SEGURO DE PROTECCIÓN DE TARJETAS 360° CERTIFICADO </w:t>
      </w:r>
      <w:r w:rsidRPr="791245DA" w:rsidR="007C1A22">
        <w:rPr>
          <w:rFonts w:ascii="Times New Roman" w:hAnsi="Times New Roman" w:cs="Times New Roman"/>
          <w:b w:val="1"/>
          <w:bCs w:val="1"/>
          <w:sz w:val="24"/>
          <w:szCs w:val="24"/>
          <w:lang w:val="es-PE"/>
        </w:rPr>
        <w:t>N°</w:t>
      </w:r>
      <w:r w:rsidRPr="791245DA" w:rsidR="007C1A22">
        <w:rPr>
          <w:rFonts w:ascii="Times New Roman" w:hAnsi="Times New Roman" w:cs="Times New Roman"/>
          <w:b w:val="1"/>
          <w:bCs w:val="1"/>
          <w:sz w:val="24"/>
          <w:szCs w:val="24"/>
          <w:lang w:val="es-PE"/>
        </w:rPr>
        <w:t xml:space="preserve"> </w:t>
      </w:r>
      <w:r w:rsidRPr="791245DA" w:rsidR="2B24FF39">
        <w:rPr>
          <w:rFonts w:ascii="Times New Roman" w:hAnsi="Times New Roman" w:cs="Times New Roman"/>
          <w:b w:val="1"/>
          <w:bCs w:val="1"/>
          <w:sz w:val="24"/>
          <w:szCs w:val="24"/>
          <w:lang w:val="es-PE"/>
        </w:rPr>
        <w:t>..................</w:t>
      </w:r>
      <w:r w:rsidRPr="791245DA" w:rsidR="007C1A22">
        <w:rPr>
          <w:rFonts w:ascii="Times New Roman" w:hAnsi="Times New Roman" w:cs="Times New Roman"/>
          <w:b w:val="1"/>
          <w:bCs w:val="1"/>
          <w:sz w:val="24"/>
          <w:szCs w:val="24"/>
          <w:lang w:val="es-PE"/>
        </w:rPr>
        <w:t>.</w:t>
      </w:r>
    </w:p>
    <w:p w:rsidR="007C1A22" w:rsidP="007C1A22" w:rsidRDefault="007C1A22" w14:paraId="62C10C62" w14:textId="68304220">
      <w:pPr>
        <w:jc w:val="both"/>
        <w:outlineLvl w:val="0"/>
        <w:rPr>
          <w:rFonts w:ascii="Times New Roman" w:hAnsi="Times New Roman" w:cs="Times New Roman"/>
          <w:sz w:val="24"/>
          <w:szCs w:val="24"/>
          <w:lang w:val="es-PE"/>
        </w:rPr>
      </w:pPr>
      <w:r w:rsidRPr="791245DA" w:rsidR="007C1A22">
        <w:rPr>
          <w:rFonts w:ascii="Times New Roman" w:hAnsi="Times New Roman" w:cs="Times New Roman"/>
          <w:sz w:val="24"/>
          <w:szCs w:val="24"/>
          <w:lang w:val="es-PE"/>
        </w:rPr>
        <w:t xml:space="preserve">Que, el indicado recurso se sustenta resumidamente en lo siguiente: a) mediante la Resolución materia de apelación, su Despacho concluyó que </w:t>
      </w:r>
      <w:r w:rsidRPr="791245DA" w:rsidR="451D40A9">
        <w:rPr>
          <w:rFonts w:ascii="Times New Roman" w:hAnsi="Times New Roman" w:cs="Times New Roman"/>
          <w:sz w:val="24"/>
          <w:szCs w:val="24"/>
          <w:lang w:val="es-PE"/>
        </w:rPr>
        <w:t>...................................</w:t>
      </w:r>
      <w:r w:rsidRPr="791245DA" w:rsidR="007C1A22">
        <w:rPr>
          <w:rFonts w:ascii="Times New Roman" w:hAnsi="Times New Roman" w:cs="Times New Roman"/>
          <w:sz w:val="24"/>
          <w:szCs w:val="24"/>
          <w:lang w:val="es-PE"/>
        </w:rPr>
        <w:t xml:space="preserve"> no habría cumplido con demostrar la forma en la cual la denuncia policial interpuesta en un plazo mayor al previsto contractualmente influye en el alcance de las obligaciones derivadas del contrato de seguro, en la medida que no se podría sostener que la denuncia extemporánea genera un perjuicio; b)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c)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d)  la presente carga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e)  el hecho que los asegurados presenten la denuncia policial fuera del plazo establecido en el Seguro evidentemente genera un perjuicio a la Compañía, en la medida que hay un incumplimiento contractual, y con el agravante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 f) el Reglamento de la Defensoría del Asegurado establece que quienes lo conforman resuelven conforme a las reglas de Derecho, ajustándose a los medios probatorios actuados durante el procedimiento. </w:t>
      </w:r>
      <w:r w:rsidRPr="791245DA" w:rsidR="007C1A22">
        <w:rPr>
          <w:rFonts w:ascii="Times New Roman" w:hAnsi="Times New Roman" w:cs="Times New Roman"/>
          <w:sz w:val="24"/>
          <w:szCs w:val="24"/>
          <w:lang w:val="es-PE"/>
        </w:rPr>
        <w:t>En virtud a</w:t>
      </w:r>
      <w:r w:rsidRPr="791245DA" w:rsidR="007C1A22">
        <w:rPr>
          <w:rFonts w:ascii="Times New Roman" w:hAnsi="Times New Roman" w:cs="Times New Roman"/>
          <w:sz w:val="24"/>
          <w:szCs w:val="24"/>
          <w:lang w:val="es-PE"/>
        </w:rPr>
        <w:t xml:space="preserve"> ello, no se ha valorado el excesivo plazo entre el evento ocurrido y la interposición de la denuncia y como este configura una abierta infracción a las disposiciones contractuales. Al ser la Defensoría una jurisdicción que resuelve con arreglo a derecho, se debe considerar la posición asumida por el Instituto Nacional de Defensa de la Competencia y de la Protección de la Propiedad Intelectual – INDECOPI en casos similares, en los cuales rechazó la cobertura en la medida que la denuncia fue presentada de forma extemporánea, resolviéndose con el archivo del procedimiento administrativo sancionador en nuestra contra, en tanto queda acreditado que la solicitud de cobertura de protección de tarjeta presentada por la parte denunciante fue denegada de manera justificada al existir un incumplimiento de las obligaciones del asegurado para solicitar la cobertura del siniestro. </w:t>
      </w:r>
    </w:p>
    <w:p w:rsidR="007C1A22" w:rsidP="007C1A22" w:rsidRDefault="007C1A22" w14:paraId="2304E944" w14:textId="77777777">
      <w:pPr>
        <w:pStyle w:val="Textoindependiente"/>
        <w:rPr>
          <w:lang w:val="es-PE"/>
        </w:rPr>
      </w:pPr>
      <w:r>
        <w:t>Que, el reclamante absolvió el traslado del recurso impugnatorio indicando, en síntesis, lo siguiente: a) la</w:t>
      </w:r>
      <w:r>
        <w:rPr>
          <w:lang w:val="es-PE"/>
        </w:rPr>
        <w:t xml:space="preserve"> aseguradora hasta el día de hoy no le notifica o indica en donde debe presentar su denuncia, ya que según la Policía Nacional de la comisaría de Miraflores que es la jurisdicción donde reside le indicó que el debería de presentar la denuncia en la jurisdicción que corresponde. Sin embargo, al día de hoy, no tiene idea de donde fue que se efectuó esa compra, ya está claro que </w:t>
      </w:r>
      <w:proofErr w:type="spellStart"/>
      <w:r>
        <w:rPr>
          <w:lang w:val="es-PE"/>
        </w:rPr>
        <w:t>el</w:t>
      </w:r>
      <w:proofErr w:type="spellEnd"/>
      <w:r>
        <w:rPr>
          <w:lang w:val="es-PE"/>
        </w:rPr>
        <w:t xml:space="preserve"> se encontraba en Punta Sal y la compra fue hecha en algún lugar de la selva peruana, pero nunca se le indicó donde; b)  la aseguradora no  hace ninguna mención con respecto a que </w:t>
      </w:r>
      <w:proofErr w:type="spellStart"/>
      <w:r>
        <w:rPr>
          <w:lang w:val="es-PE"/>
        </w:rPr>
        <w:t>el</w:t>
      </w:r>
      <w:proofErr w:type="spellEnd"/>
      <w:r>
        <w:rPr>
          <w:lang w:val="es-PE"/>
        </w:rPr>
        <w:t xml:space="preserve"> se acercó a la comisaría de Miraflores a presentar la denuncia dentro del plazo que solicita la aseguradora, pero que no se le permitió ingresar esta denuncia ya que él no tenía información de donde fue realizada esa compra por ende no se le permitía ingresarla; c) este problema viene afectando severamente su economía, ya que debe de pagar mensualmente por un producto que hoy en día está claro que no adquirió; d) la aseguradora actúa de mala fe ya que el debate que plantea no trata acerca del consumo o la modalidad de compra, sino se ampara únicamente en un trámite que no se le permitió realizar ante la comisaría; e) la aseguradora tampoco hace mención que ha solicitado en distintas oportunidades la grabación de la llamada con Interbank en donde el banco le indica que debe de esperar la respuesta del banco para recién activar su seguro; f)  la denuncia que hizo 20 días después fue porque recién en ese momento el banco le indicó que no reconocería el monto robado y que ya debería de activar su seguro, en la desesperación de que la comisaría no aceptaba su  denuncia, se vio obligado a presentar una denuncia de forma virtual; g) la a aseguradora ha anexado un documento de INDECOPI por el caso de un señor desconocido; por ello, también adjunta un documento de un familiar en donde INDECOPI señala que el banco Interbank brindó información desfavorable y además interrumpió la activación del seguro y por ello sancionarían a la entidad bancaria. Así, solo en ese momento Interbank reconoce su falta y pide negociar con su familiar a fin de evitar sanciones, este tipo de cosas las que me hacen suponer que existe un acuerdo entre aseguradora y banco para entrampar este tipo de denuncias</w:t>
      </w:r>
    </w:p>
    <w:p w:rsidR="007C1A22" w:rsidP="007C1A22" w:rsidRDefault="007C1A22" w14:paraId="0E758B21" w14:textId="77777777">
      <w:pPr>
        <w:pStyle w:val="Textoindependiente"/>
        <w:rPr>
          <w:lang w:val="es-PE"/>
        </w:rPr>
      </w:pPr>
    </w:p>
    <w:p w:rsidR="007C1A22" w:rsidP="007C1A22" w:rsidRDefault="007C1A22" w14:paraId="4E673805" w14:textId="77777777">
      <w:pPr>
        <w:pStyle w:val="Textoindependiente"/>
        <w:tabs>
          <w:tab w:val="left" w:pos="930"/>
        </w:tabs>
      </w:pPr>
      <w:r>
        <w:t>Que, atendiendo a lo expuesto, esta Defensoría resuelve finalmente lo siguiente:</w:t>
      </w:r>
    </w:p>
    <w:p w:rsidR="007C1A22" w:rsidP="007C1A22" w:rsidRDefault="007C1A22" w14:paraId="68DCF925" w14:textId="77777777">
      <w:pPr>
        <w:pStyle w:val="Textoindependiente"/>
        <w:tabs>
          <w:tab w:val="left" w:pos="930"/>
        </w:tabs>
      </w:pPr>
    </w:p>
    <w:p w:rsidR="007C1A22" w:rsidP="007C1A22" w:rsidRDefault="007C1A22" w14:paraId="004EFEC6"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7C1A22" w:rsidP="007C1A22" w:rsidRDefault="007C1A22" w14:paraId="7190AED8"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7C1A22" w:rsidP="007C1A22" w:rsidRDefault="007C1A22" w14:paraId="56908829" w14:textId="77777777">
      <w:pPr>
        <w:jc w:val="both"/>
        <w:rPr>
          <w:rFonts w:ascii="Times New Roman" w:hAnsi="Times New Roman" w:cs="Times New Roman"/>
          <w:sz w:val="24"/>
          <w:szCs w:val="24"/>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Que el recurso de impugnación presentado por la aseguradora no se sustenta en nueva prueba sino en tratar de desvirtuar los fundamentos de la resolución impugnada, invocando que </w:t>
      </w:r>
      <w:r>
        <w:rPr>
          <w:rFonts w:ascii="Times New Roman" w:hAnsi="Times New Roman" w:cs="Times New Roman"/>
          <w:color w:val="000000"/>
          <w:sz w:val="24"/>
          <w:szCs w:val="24"/>
          <w:lang w:val="es-PE" w:eastAsia="es-PE"/>
        </w:rPr>
        <w:t>el hecho que los asegurados presenten la denuncia policial fuera del plazo establecido en el seguro sí genera un perjuicio a la aseguradora</w:t>
      </w:r>
      <w:r>
        <w:rPr>
          <w:rFonts w:ascii="Times New Roman" w:hAnsi="Times New Roman" w:cs="Times New Roman"/>
          <w:sz w:val="24"/>
          <w:szCs w:val="24"/>
          <w:lang w:val="es-PE"/>
        </w:rPr>
        <w:t>.</w:t>
      </w:r>
    </w:p>
    <w:p w:rsidR="007C1A22" w:rsidP="007C1A22" w:rsidRDefault="007C1A22" w14:paraId="01C46025" w14:textId="77777777">
      <w:pPr>
        <w:tabs>
          <w:tab w:val="left" w:pos="709"/>
          <w:tab w:val="left" w:pos="2160"/>
        </w:tabs>
        <w:jc w:val="both"/>
        <w:rPr>
          <w:rFonts w:ascii="Times New Roman" w:hAnsi="Times New Roman" w:cs="Times New Roman"/>
          <w:sz w:val="24"/>
          <w:szCs w:val="24"/>
          <w:lang w:val="es-419"/>
        </w:rPr>
      </w:pPr>
      <w:r>
        <w:rPr>
          <w:rFonts w:ascii="Times New Roman" w:hAnsi="Times New Roman" w:cs="Times New Roman"/>
          <w:sz w:val="24"/>
          <w:szCs w:val="24"/>
          <w:lang w:val="es-419"/>
        </w:rPr>
        <w:t xml:space="preserve">Al respecto, el artículo 59 de la Ley del Contrato de Seguro -Ley 29946- señala que: </w:t>
      </w:r>
    </w:p>
    <w:p w:rsidR="007C1A22" w:rsidP="007C1A22" w:rsidRDefault="007C1A22" w14:paraId="65A91759" w14:textId="77777777">
      <w:pPr>
        <w:tabs>
          <w:tab w:val="left" w:pos="709"/>
          <w:tab w:val="left" w:pos="2160"/>
        </w:tabs>
        <w:ind w:left="709" w:hanging="709"/>
        <w:jc w:val="both"/>
        <w:rPr>
          <w:rFonts w:ascii="Times New Roman" w:hAnsi="Times New Roman" w:cs="Times New Roman"/>
          <w:i/>
          <w:sz w:val="24"/>
          <w:szCs w:val="24"/>
          <w:lang w:val="es-PE"/>
        </w:rPr>
      </w:pPr>
      <w:r>
        <w:rPr>
          <w:rFonts w:ascii="Times New Roman" w:hAnsi="Times New Roman" w:cs="Times New Roman"/>
          <w:i/>
          <w:sz w:val="24"/>
          <w:szCs w:val="24"/>
          <w:lang w:val="es-419"/>
        </w:rPr>
        <w:tab/>
      </w:r>
      <w:r>
        <w:rPr>
          <w:rFonts w:ascii="Times New Roman" w:hAnsi="Times New Roman" w:cs="Times New Roman"/>
          <w:i/>
          <w:sz w:val="24"/>
          <w:szCs w:val="24"/>
          <w:lang w:val="es-419"/>
        </w:rPr>
        <w:t>“</w:t>
      </w:r>
      <w:r>
        <w:rPr>
          <w:rFonts w:ascii="Times New Roman" w:hAnsi="Times New Roman" w:cs="Times New Roman"/>
          <w:i/>
          <w:sz w:val="24"/>
          <w:szCs w:val="24"/>
          <w:lang w:val="es-PE"/>
        </w:rPr>
        <w:t xml:space="preserve">Cuando la presente ley no determine el efecto del incumplimiento de una carga impuesta al asegurado, las partes pueden convenir la caducidad de los derechos del </w:t>
      </w:r>
      <w:r>
        <w:rPr>
          <w:rFonts w:ascii="Times New Roman" w:hAnsi="Times New Roman" w:cs="Times New Roman"/>
          <w:i/>
          <w:sz w:val="24"/>
          <w:szCs w:val="24"/>
          <w:lang w:val="es-PE"/>
        </w:rPr>
        <w:t xml:space="preserve">asegurado si el incumplimiento obedece a su dolo o culpa inexcusable, </w:t>
      </w:r>
      <w:proofErr w:type="gramStart"/>
      <w:r>
        <w:rPr>
          <w:rFonts w:ascii="Times New Roman" w:hAnsi="Times New Roman" w:cs="Times New Roman"/>
          <w:i/>
          <w:sz w:val="24"/>
          <w:szCs w:val="24"/>
          <w:lang w:val="es-PE"/>
        </w:rPr>
        <w:t>de acuerdo al</w:t>
      </w:r>
      <w:proofErr w:type="gramEnd"/>
      <w:r>
        <w:rPr>
          <w:rFonts w:ascii="Times New Roman" w:hAnsi="Times New Roman" w:cs="Times New Roman"/>
          <w:i/>
          <w:sz w:val="24"/>
          <w:szCs w:val="24"/>
          <w:lang w:val="es-PE"/>
        </w:rPr>
        <w:t xml:space="preserve"> siguiente régimen:</w:t>
      </w:r>
    </w:p>
    <w:p w:rsidR="007C1A22" w:rsidP="007C1A22" w:rsidRDefault="007C1A22" w14:paraId="22F19C1C" w14:textId="77777777">
      <w:pPr>
        <w:tabs>
          <w:tab w:val="left" w:pos="709"/>
          <w:tab w:val="left" w:pos="2160"/>
        </w:tabs>
        <w:ind w:left="1418" w:hanging="709"/>
        <w:jc w:val="both"/>
        <w:rPr>
          <w:rFonts w:ascii="Times New Roman" w:hAnsi="Times New Roman" w:cs="Times New Roman"/>
          <w:i/>
          <w:sz w:val="24"/>
          <w:szCs w:val="24"/>
          <w:lang w:val="es-PE"/>
        </w:rPr>
      </w:pPr>
      <w:r>
        <w:rPr>
          <w:rFonts w:ascii="Times New Roman" w:hAnsi="Times New Roman" w:cs="Times New Roman"/>
          <w:i/>
          <w:sz w:val="24"/>
          <w:szCs w:val="24"/>
          <w:lang w:val="es-PE"/>
        </w:rPr>
        <w:t>Cargas posteriores al siniestro</w:t>
      </w:r>
    </w:p>
    <w:p w:rsidR="007C1A22" w:rsidP="007C1A22" w:rsidRDefault="007C1A22" w14:paraId="29FEA26F" w14:textId="77777777">
      <w:pPr>
        <w:tabs>
          <w:tab w:val="left" w:pos="709"/>
          <w:tab w:val="left" w:pos="2160"/>
        </w:tabs>
        <w:ind w:left="1418" w:hanging="709"/>
        <w:jc w:val="both"/>
        <w:rPr>
          <w:rFonts w:ascii="Times New Roman" w:hAnsi="Times New Roman" w:cs="Times New Roman"/>
          <w:b/>
          <w:i/>
          <w:sz w:val="24"/>
          <w:szCs w:val="24"/>
          <w:u w:val="single"/>
          <w:lang w:val="es-PE"/>
        </w:rPr>
      </w:pPr>
      <w:r>
        <w:rPr>
          <w:rFonts w:ascii="Times New Roman" w:hAnsi="Times New Roman" w:cs="Times New Roman"/>
          <w:b/>
          <w:i/>
          <w:sz w:val="24"/>
          <w:szCs w:val="24"/>
          <w:lang w:val="es-PE"/>
        </w:rPr>
        <w:t xml:space="preserve">c) </w:t>
      </w:r>
      <w:r>
        <w:rPr>
          <w:rFonts w:ascii="Times New Roman" w:hAnsi="Times New Roman" w:cs="Times New Roman"/>
          <w:b/>
          <w:i/>
          <w:sz w:val="24"/>
          <w:szCs w:val="24"/>
          <w:lang w:val="es-PE"/>
        </w:rPr>
        <w:tab/>
      </w:r>
      <w:r>
        <w:rPr>
          <w:rFonts w:ascii="Times New Roman" w:hAnsi="Times New Roman" w:cs="Times New Roman"/>
          <w:b/>
          <w:i/>
          <w:sz w:val="24"/>
          <w:szCs w:val="24"/>
          <w:lang w:val="es-PE"/>
        </w:rPr>
        <w:t xml:space="preserve">Si la carga debe ejecutarse después del siniestro, el asegurador se libera por el incumplimiento del asegurado, si el mismo influyó </w:t>
      </w:r>
      <w:r>
        <w:rPr>
          <w:rFonts w:ascii="Times New Roman" w:hAnsi="Times New Roman" w:cs="Times New Roman"/>
          <w:b/>
          <w:i/>
          <w:sz w:val="24"/>
          <w:szCs w:val="24"/>
          <w:u w:val="single"/>
          <w:lang w:val="es-PE"/>
        </w:rPr>
        <w:t>en la extensión de la obligación asumida.</w:t>
      </w:r>
    </w:p>
    <w:p w:rsidR="007C1A22" w:rsidP="007C1A22" w:rsidRDefault="007C1A22" w14:paraId="28AA4202" w14:textId="77777777">
      <w:pPr>
        <w:tabs>
          <w:tab w:val="left" w:pos="709"/>
          <w:tab w:val="left" w:pos="2160"/>
        </w:tabs>
        <w:ind w:left="1418" w:hanging="709"/>
        <w:jc w:val="both"/>
        <w:rPr>
          <w:rFonts w:ascii="Times New Roman" w:hAnsi="Times New Roman" w:cs="Times New Roman"/>
          <w:i/>
          <w:sz w:val="24"/>
          <w:szCs w:val="24"/>
          <w:lang w:val="es-PE"/>
        </w:rPr>
      </w:pPr>
      <w:r>
        <w:rPr>
          <w:rFonts w:ascii="Times New Roman" w:hAnsi="Times New Roman" w:cs="Times New Roman"/>
          <w:i/>
          <w:sz w:val="24"/>
          <w:szCs w:val="24"/>
          <w:lang w:val="es-PE"/>
        </w:rPr>
        <w:t xml:space="preserve">d) </w:t>
      </w:r>
      <w:r>
        <w:rPr>
          <w:rFonts w:ascii="Times New Roman" w:hAnsi="Times New Roman" w:cs="Times New Roman"/>
          <w:i/>
          <w:sz w:val="24"/>
          <w:szCs w:val="24"/>
          <w:lang w:val="es-PE"/>
        </w:rPr>
        <w:tab/>
      </w:r>
      <w:r>
        <w:rPr>
          <w:rFonts w:ascii="Times New Roman" w:hAnsi="Times New Roman" w:cs="Times New Roman"/>
          <w:i/>
          <w:sz w:val="24"/>
          <w:szCs w:val="24"/>
          <w:lang w:val="es-PE"/>
        </w:rPr>
        <w:t>En caso de culpa leve, la indemnización se reduce de manera proporcional a la agravación del siniestro consecuencia del incumplimiento.”</w:t>
      </w:r>
    </w:p>
    <w:p w:rsidR="007C1A22" w:rsidP="007C1A22" w:rsidRDefault="007C1A22" w14:paraId="26B31DB8"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007C1A22" w:rsidP="007C1A22" w:rsidRDefault="007C1A22" w14:paraId="4087F143" w14:textId="7A3B09A4">
      <w:pPr>
        <w:jc w:val="both"/>
        <w:rPr>
          <w:rFonts w:ascii="Times New Roman" w:hAnsi="Times New Roman" w:cs="Times New Roman"/>
          <w:sz w:val="24"/>
          <w:szCs w:val="24"/>
          <w:lang w:val="es-PE"/>
        </w:rPr>
      </w:pPr>
      <w:r w:rsidRPr="791245DA" w:rsidR="007C1A22">
        <w:rPr>
          <w:rFonts w:ascii="Times New Roman" w:hAnsi="Times New Roman" w:cs="Times New Roman"/>
          <w:sz w:val="24"/>
          <w:szCs w:val="24"/>
          <w:lang w:val="es-PE"/>
        </w:rPr>
        <w:t xml:space="preserve">Que, </w:t>
      </w:r>
      <w:r w:rsidRPr="791245DA" w:rsidR="451D40A9">
        <w:rPr>
          <w:rFonts w:ascii="Times New Roman" w:hAnsi="Times New Roman" w:cs="Times New Roman"/>
          <w:sz w:val="24"/>
          <w:szCs w:val="24"/>
          <w:lang w:val="es-PE"/>
        </w:rPr>
        <w:t>...................................</w:t>
      </w:r>
      <w:r w:rsidRPr="791245DA" w:rsidR="007C1A22">
        <w:rPr>
          <w:rFonts w:ascii="Times New Roman" w:hAnsi="Times New Roman" w:cs="Times New Roman"/>
          <w:sz w:val="24"/>
          <w:szCs w:val="24"/>
          <w:lang w:val="es-PE"/>
        </w:rPr>
        <w:t xml:space="preserve"> señala que la Defensoría al ser una jurisdicción que resuelve con arreglo a derecho, debe considerar la posición asumida por el Instituto Nacional de Defensa de la Competencia y de la Protección de la Propiedad Intelectual – INDECOPI en casos similares, en los cuales rechazó la cobertura en la medida que la denuncia fue presentada de forma extemporánea, resolviéndose con el archivo del procedimiento.</w:t>
      </w:r>
    </w:p>
    <w:p w:rsidR="007C1A22" w:rsidP="007C1A22" w:rsidRDefault="007C1A22" w14:paraId="3A3F73E1"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Que, el pronunciamiento emitido por INDECOPI no es un precedente vinculante para la DEFASEG.</w:t>
      </w:r>
    </w:p>
    <w:p w:rsidR="007C1A22" w:rsidP="007C1A22" w:rsidRDefault="007C1A22" w14:paraId="2F4D3EBA"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Que, aplicando correctamente el </w:t>
      </w:r>
      <w:r>
        <w:rPr>
          <w:rFonts w:ascii="Times New Roman" w:hAnsi="Times New Roman" w:cs="Times New Roman"/>
          <w:sz w:val="24"/>
          <w:szCs w:val="24"/>
          <w:lang w:val="es-419"/>
        </w:rPr>
        <w:t>el artículo 59 de la Ley del Contrato de Seguro -Ley 29946, este Colegiado llega a la conclusión de que la interposición extemporánea de la denuncia policial no influye en la extensión del riesgo, y, por lo tanto, no procede aplicar la caducidad del derecho del asegurado.</w:t>
      </w:r>
    </w:p>
    <w:p w:rsidR="007C1A22" w:rsidP="007C1A22" w:rsidRDefault="007C1A22" w14:paraId="416C440E"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007C1A22" w:rsidP="007C1A22" w:rsidRDefault="007C1A22" w14:paraId="717BA8CC"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7C1A22" w:rsidP="791245DA" w:rsidRDefault="007C1A22" w14:paraId="3007808A" w14:textId="252FD77C">
      <w:pPr>
        <w:pStyle w:val="Default"/>
        <w:jc w:val="both"/>
        <w:rPr>
          <w:rFonts w:ascii="Times New Roman" w:hAnsi="Times New Roman" w:cs="Times New Roman"/>
          <w:b w:val="1"/>
          <w:bCs w:val="1"/>
        </w:rPr>
      </w:pPr>
      <w:r w:rsidRPr="791245DA" w:rsidR="007C1A22">
        <w:rPr>
          <w:rFonts w:ascii="Times New Roman" w:hAnsi="Times New Roman" w:cs="Times New Roman"/>
          <w:b w:val="1"/>
          <w:bCs w:val="1"/>
        </w:rPr>
        <w:t xml:space="preserve">DECLARAR INFUNDADO </w:t>
      </w:r>
      <w:r w:rsidRPr="791245DA" w:rsidR="007C1A22">
        <w:rPr>
          <w:rFonts w:ascii="Times New Roman" w:hAnsi="Times New Roman" w:cs="Times New Roman"/>
        </w:rPr>
        <w:t>el recurso de impugnación interpuesto por</w:t>
      </w:r>
      <w:r w:rsidRPr="791245DA" w:rsidR="007C1A22">
        <w:rPr>
          <w:rFonts w:ascii="Times New Roman" w:hAnsi="Times New Roman" w:cs="Times New Roman"/>
          <w:b w:val="1"/>
          <w:bCs w:val="1"/>
        </w:rPr>
        <w:t xml:space="preserve"> </w:t>
      </w:r>
      <w:r w:rsidRPr="791245DA" w:rsidR="451D40A9">
        <w:rPr>
          <w:rFonts w:ascii="Times New Roman" w:hAnsi="Times New Roman" w:cs="Times New Roman"/>
          <w:b w:val="1"/>
          <w:bCs w:val="1"/>
        </w:rPr>
        <w:t>...................................</w:t>
      </w:r>
      <w:r w:rsidRPr="791245DA" w:rsidR="550962EB">
        <w:rPr>
          <w:rFonts w:ascii="Times New Roman" w:hAnsi="Times New Roman" w:cs="Times New Roman"/>
          <w:b w:val="1"/>
          <w:bCs w:val="1"/>
        </w:rPr>
        <w:t>.............</w:t>
      </w:r>
      <w:r w:rsidRPr="791245DA" w:rsidR="007C1A22">
        <w:rPr>
          <w:rFonts w:ascii="Times New Roman" w:hAnsi="Times New Roman" w:cs="Times New Roman"/>
          <w:b w:val="1"/>
          <w:bCs w:val="1"/>
        </w:rPr>
        <w:t xml:space="preserve"> </w:t>
      </w:r>
      <w:r w:rsidRPr="791245DA" w:rsidR="007C1A22">
        <w:rPr>
          <w:rFonts w:ascii="Times New Roman" w:hAnsi="Times New Roman" w:cs="Times New Roman"/>
        </w:rPr>
        <w:t>y, por consiguiente,</w:t>
      </w:r>
      <w:r w:rsidRPr="791245DA" w:rsidR="007C1A22">
        <w:rPr>
          <w:rFonts w:ascii="Times New Roman" w:hAnsi="Times New Roman" w:cs="Times New Roman"/>
          <w:b w:val="1"/>
          <w:bCs w:val="1"/>
        </w:rPr>
        <w:t xml:space="preserve"> CONFIRMAR la Resolución </w:t>
      </w:r>
      <w:r w:rsidRPr="791245DA" w:rsidR="007C1A22">
        <w:rPr>
          <w:rFonts w:ascii="Times New Roman" w:hAnsi="Times New Roman" w:cs="Times New Roman"/>
          <w:b w:val="1"/>
          <w:bCs w:val="1"/>
        </w:rPr>
        <w:t>N°</w:t>
      </w:r>
      <w:r w:rsidRPr="791245DA" w:rsidR="007C1A22">
        <w:rPr>
          <w:rFonts w:ascii="Times New Roman" w:hAnsi="Times New Roman" w:cs="Times New Roman"/>
          <w:b w:val="1"/>
          <w:bCs w:val="1"/>
        </w:rPr>
        <w:t xml:space="preserve"> 227/23</w:t>
      </w:r>
      <w:r w:rsidRPr="791245DA" w:rsidR="007C1A22">
        <w:rPr>
          <w:rFonts w:ascii="Times New Roman" w:hAnsi="Times New Roman" w:cs="Times New Roman"/>
          <w:b w:val="1"/>
          <w:bCs w:val="1"/>
          <w:lang w:val="es-MX"/>
        </w:rPr>
        <w:t>.</w:t>
      </w:r>
    </w:p>
    <w:p w:rsidR="003D69D8" w:rsidP="00BE695C" w:rsidRDefault="003D69D8" w14:paraId="4C5E678F" w14:textId="77777777">
      <w:pPr>
        <w:pStyle w:val="Default"/>
        <w:jc w:val="both"/>
        <w:rPr>
          <w:rFonts w:ascii="Times New Roman" w:hAnsi="Times New Roman" w:cs="Times New Roman"/>
          <w:b/>
        </w:rPr>
      </w:pPr>
    </w:p>
    <w:p w:rsidRPr="00E1040C" w:rsidR="003D69D8" w:rsidP="00BE695C" w:rsidRDefault="003D69D8" w14:paraId="1188DC12" w14:textId="77777777">
      <w:pPr>
        <w:pStyle w:val="Default"/>
        <w:jc w:val="both"/>
        <w:rPr>
          <w:rFonts w:ascii="Times New Roman" w:hAnsi="Times New Roman" w:cs="Times New Roman"/>
          <w:b/>
        </w:rPr>
      </w:pPr>
    </w:p>
    <w:p w:rsidRPr="00E1040C" w:rsidR="008B6A09" w:rsidP="008B6A09" w:rsidRDefault="0091528B" w14:paraId="000A434B" w14:textId="267A10DB">
      <w:pPr>
        <w:jc w:val="right"/>
        <w:rPr>
          <w:rFonts w:ascii="Times New Roman" w:hAnsi="Times New Roman" w:cs="Times New Roman"/>
          <w:sz w:val="24"/>
          <w:szCs w:val="24"/>
          <w:lang w:val="es-PE"/>
        </w:rPr>
      </w:pPr>
      <w:r w:rsidRPr="00E1040C">
        <w:rPr>
          <w:rFonts w:ascii="Times New Roman" w:hAnsi="Times New Roman" w:eastAsia="Arial Unicode MS" w:cs="Times New Roman"/>
          <w:sz w:val="24"/>
          <w:szCs w:val="24"/>
          <w:lang w:val="es-PE" w:eastAsia="ar-SA"/>
        </w:rPr>
        <w:t xml:space="preserve">Lima, </w:t>
      </w:r>
      <w:r w:rsidRPr="00E1040C" w:rsidR="00DE4BF9">
        <w:rPr>
          <w:rFonts w:ascii="Times New Roman" w:hAnsi="Times New Roman" w:eastAsia="Arial Unicode MS" w:cs="Times New Roman"/>
          <w:sz w:val="24"/>
          <w:szCs w:val="24"/>
          <w:lang w:val="es-PE" w:eastAsia="ar-SA"/>
        </w:rPr>
        <w:t>1</w:t>
      </w:r>
      <w:r w:rsidR="00C94213">
        <w:rPr>
          <w:rFonts w:ascii="Times New Roman" w:hAnsi="Times New Roman" w:eastAsia="Arial Unicode MS" w:cs="Times New Roman"/>
          <w:sz w:val="24"/>
          <w:szCs w:val="24"/>
          <w:lang w:val="es-PE" w:eastAsia="ar-SA"/>
        </w:rPr>
        <w:t>9</w:t>
      </w:r>
      <w:r w:rsidRPr="00E1040C" w:rsidR="00570ED6">
        <w:rPr>
          <w:rFonts w:ascii="Times New Roman" w:hAnsi="Times New Roman" w:eastAsia="Arial Unicode MS" w:cs="Times New Roman"/>
          <w:sz w:val="24"/>
          <w:szCs w:val="24"/>
          <w:lang w:val="es-PE" w:eastAsia="ar-SA"/>
        </w:rPr>
        <w:t xml:space="preserve"> </w:t>
      </w:r>
      <w:r w:rsidRPr="00E1040C" w:rsidR="00707C99">
        <w:rPr>
          <w:rFonts w:ascii="Times New Roman" w:hAnsi="Times New Roman" w:eastAsia="Arial Unicode MS" w:cs="Times New Roman"/>
          <w:sz w:val="24"/>
          <w:szCs w:val="24"/>
          <w:lang w:val="es-PE" w:eastAsia="ar-SA"/>
        </w:rPr>
        <w:t xml:space="preserve">de </w:t>
      </w:r>
      <w:r w:rsidRPr="00E1040C" w:rsidR="00DE4BF9">
        <w:rPr>
          <w:rFonts w:ascii="Times New Roman" w:hAnsi="Times New Roman" w:eastAsia="Arial Unicode MS" w:cs="Times New Roman"/>
          <w:sz w:val="24"/>
          <w:szCs w:val="24"/>
          <w:lang w:val="es-PE" w:eastAsia="ar-SA"/>
        </w:rPr>
        <w:t>febrero</w:t>
      </w:r>
      <w:r w:rsidRPr="00E1040C" w:rsidR="002F478E">
        <w:rPr>
          <w:rFonts w:ascii="Times New Roman" w:hAnsi="Times New Roman" w:eastAsia="Arial Unicode MS" w:cs="Times New Roman"/>
          <w:sz w:val="24"/>
          <w:szCs w:val="24"/>
          <w:lang w:val="es-PE" w:eastAsia="ar-SA"/>
        </w:rPr>
        <w:t xml:space="preserve"> </w:t>
      </w:r>
      <w:r w:rsidRPr="00E1040C" w:rsidR="00F06498">
        <w:rPr>
          <w:rFonts w:ascii="Times New Roman" w:hAnsi="Times New Roman" w:eastAsia="Arial Unicode MS" w:cs="Times New Roman"/>
          <w:sz w:val="24"/>
          <w:szCs w:val="24"/>
          <w:lang w:val="es-PE" w:eastAsia="ar-SA"/>
        </w:rPr>
        <w:t>de 202</w:t>
      </w:r>
      <w:r w:rsidRPr="00E1040C" w:rsidR="00543015">
        <w:rPr>
          <w:rFonts w:ascii="Times New Roman" w:hAnsi="Times New Roman" w:eastAsia="Arial Unicode MS" w:cs="Times New Roman"/>
          <w:sz w:val="24"/>
          <w:szCs w:val="24"/>
          <w:lang w:val="es-PE" w:eastAsia="ar-SA"/>
        </w:rPr>
        <w:t>4</w:t>
      </w:r>
      <w:r w:rsidRPr="00E1040C" w:rsidR="00707C99">
        <w:rPr>
          <w:rFonts w:ascii="Times New Roman" w:hAnsi="Times New Roman" w:eastAsia="Times New Roman" w:cs="Times New Roman"/>
          <w:sz w:val="24"/>
          <w:szCs w:val="24"/>
          <w:lang w:val="es-PE" w:eastAsia="ar-SA"/>
        </w:rPr>
        <w:t xml:space="preserve"> </w:t>
      </w:r>
    </w:p>
    <w:p w:rsidRPr="00E1040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1040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104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1040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1040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María Eugenia Valdez Fernández Baca </w:t>
      </w:r>
      <w:r w:rsidRPr="00E1040C" w:rsidR="007543CD">
        <w:rPr>
          <w:rFonts w:ascii="Times New Roman" w:hAnsi="Times New Roman" w:cs="Times New Roman"/>
          <w:b/>
          <w:bCs/>
          <w:sz w:val="24"/>
          <w:szCs w:val="24"/>
          <w:lang w:val="es-PE"/>
        </w:rPr>
        <w:t xml:space="preserve">– </w:t>
      </w:r>
      <w:proofErr w:type="gramStart"/>
      <w:r w:rsidRPr="00E1040C" w:rsidR="007543CD">
        <w:rPr>
          <w:rFonts w:ascii="Times New Roman" w:hAnsi="Times New Roman" w:cs="Times New Roman"/>
          <w:b/>
          <w:bCs/>
          <w:sz w:val="24"/>
          <w:szCs w:val="24"/>
          <w:lang w:val="es-PE"/>
        </w:rPr>
        <w:t>Presidente</w:t>
      </w:r>
      <w:proofErr w:type="gramEnd"/>
    </w:p>
    <w:p w:rsidRPr="00E1040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Rolando Eyzaguirre </w:t>
      </w:r>
      <w:proofErr w:type="spellStart"/>
      <w:r w:rsidRPr="00E1040C">
        <w:rPr>
          <w:rFonts w:ascii="Times New Roman" w:hAnsi="Times New Roman" w:cs="Times New Roman"/>
          <w:b/>
          <w:bCs/>
          <w:sz w:val="24"/>
          <w:szCs w:val="24"/>
          <w:lang w:val="es-PE"/>
        </w:rPr>
        <w:t>Maccan</w:t>
      </w:r>
      <w:proofErr w:type="spellEnd"/>
      <w:r w:rsidRPr="00E1040C">
        <w:rPr>
          <w:rFonts w:ascii="Times New Roman" w:hAnsi="Times New Roman" w:cs="Times New Roman"/>
          <w:b/>
          <w:bCs/>
          <w:sz w:val="24"/>
          <w:szCs w:val="24"/>
          <w:lang w:val="es-PE"/>
        </w:rPr>
        <w:t xml:space="preserve"> </w:t>
      </w:r>
      <w:r w:rsidRPr="00E1040C" w:rsidR="007543CD">
        <w:rPr>
          <w:rFonts w:ascii="Times New Roman" w:hAnsi="Times New Roman" w:cs="Times New Roman"/>
          <w:b/>
          <w:bCs/>
          <w:sz w:val="24"/>
          <w:szCs w:val="24"/>
          <w:lang w:val="es-PE"/>
        </w:rPr>
        <w:t>– Vocal</w:t>
      </w:r>
    </w:p>
    <w:p w:rsidRPr="00E1040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91648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648F" w:rsidP="00784355" w:rsidRDefault="0091648F" w14:paraId="471ECAE3" w14:textId="77777777">
      <w:pPr>
        <w:spacing w:after="0" w:line="240" w:lineRule="auto"/>
      </w:pPr>
      <w:r>
        <w:separator/>
      </w:r>
    </w:p>
  </w:endnote>
  <w:endnote w:type="continuationSeparator" w:id="0">
    <w:p w:rsidR="0091648F" w:rsidP="00784355" w:rsidRDefault="0091648F" w14:paraId="3A364CE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648F" w:rsidP="00784355" w:rsidRDefault="0091648F" w14:paraId="214D3660" w14:textId="77777777">
      <w:pPr>
        <w:spacing w:after="0" w:line="240" w:lineRule="auto"/>
      </w:pPr>
      <w:r>
        <w:separator/>
      </w:r>
    </w:p>
  </w:footnote>
  <w:footnote w:type="continuationSeparator" w:id="0">
    <w:p w:rsidR="0091648F" w:rsidP="00784355" w:rsidRDefault="0091648F" w14:paraId="6A39CC4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2B24FF39"/>
    <w:rsid w:val="2D569BD8"/>
    <w:rsid w:val="451D40A9"/>
    <w:rsid w:val="4891EDFD"/>
    <w:rsid w:val="550962EB"/>
    <w:rsid w:val="791245DA"/>
    <w:rsid w:val="7A0B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C62B7FF-CE4B-418E-B845-CDBA55ED441A}"/>
</file>

<file path=customXml/itemProps3.xml><?xml version="1.0" encoding="utf-8"?>
<ds:datastoreItem xmlns:ds="http://schemas.openxmlformats.org/officeDocument/2006/customXml" ds:itemID="{74409EC0-9C8F-4D67-B8CB-25EB00DA81D0}"/>
</file>

<file path=customXml/itemProps4.xml><?xml version="1.0" encoding="utf-8"?>
<ds:datastoreItem xmlns:ds="http://schemas.openxmlformats.org/officeDocument/2006/customXml" ds:itemID="{A4A03514-3B71-469F-9B67-A515E296B4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251</cp:revision>
  <cp:lastPrinted>2024-02-19T21:55:00Z</cp:lastPrinted>
  <dcterms:created xsi:type="dcterms:W3CDTF">2023-02-14T22:37:00Z</dcterms:created>
  <dcterms:modified xsi:type="dcterms:W3CDTF">2025-12-04T20:38:07Z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