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B129BC" w:rsidR="00707C99" w:rsidP="00272F4F" w:rsidRDefault="00201C0D" w14:paraId="19FE0E96" w14:textId="30FACF0C">
      <w:pPr>
        <w:spacing w:after="0" w:line="240" w:lineRule="auto"/>
        <w:jc w:val="center"/>
        <w:rPr>
          <w:rFonts w:ascii="Times New Roman" w:hAnsi="Times New Roman" w:cs="Times New Roman"/>
          <w:b/>
          <w:sz w:val="24"/>
          <w:szCs w:val="24"/>
          <w:lang w:val="es-PE" w:eastAsia="ar-SA"/>
        </w:rPr>
      </w:pPr>
      <w:r w:rsidRPr="00B129BC">
        <w:rPr>
          <w:rFonts w:ascii="Times New Roman" w:hAnsi="Times New Roman" w:cs="Times New Roman"/>
          <w:b/>
          <w:sz w:val="24"/>
          <w:szCs w:val="24"/>
          <w:lang w:val="es-PE" w:eastAsia="ar-SA"/>
        </w:rPr>
        <w:t xml:space="preserve">RESOLUCIÓN DE RECURSO IMPUGNATIVO </w:t>
      </w:r>
      <w:r w:rsidRPr="00B129BC" w:rsidR="00707C99">
        <w:rPr>
          <w:rFonts w:ascii="Times New Roman" w:hAnsi="Times New Roman" w:cs="Times New Roman"/>
          <w:b/>
          <w:sz w:val="24"/>
          <w:szCs w:val="24"/>
          <w:lang w:val="es-PE" w:eastAsia="ar-SA"/>
        </w:rPr>
        <w:t xml:space="preserve">N° </w:t>
      </w:r>
      <w:r w:rsidRPr="00B129BC" w:rsidR="00516293">
        <w:rPr>
          <w:rFonts w:ascii="Times New Roman" w:hAnsi="Times New Roman" w:cs="Times New Roman"/>
          <w:b/>
          <w:sz w:val="24"/>
          <w:szCs w:val="24"/>
          <w:lang w:val="es-PE" w:eastAsia="ar-SA"/>
        </w:rPr>
        <w:t>0</w:t>
      </w:r>
      <w:r w:rsidR="000433F1">
        <w:rPr>
          <w:rFonts w:ascii="Times New Roman" w:hAnsi="Times New Roman" w:cs="Times New Roman"/>
          <w:b/>
          <w:sz w:val="24"/>
          <w:szCs w:val="24"/>
          <w:lang w:val="es-PE" w:eastAsia="ar-SA"/>
        </w:rPr>
        <w:t>10</w:t>
      </w:r>
      <w:r w:rsidRPr="00B129BC" w:rsidR="00C671F5">
        <w:rPr>
          <w:rFonts w:ascii="Times New Roman" w:hAnsi="Times New Roman" w:cs="Times New Roman"/>
          <w:b/>
          <w:sz w:val="24"/>
          <w:szCs w:val="24"/>
          <w:lang w:val="es-PE" w:eastAsia="ar-SA"/>
        </w:rPr>
        <w:t>/2</w:t>
      </w:r>
      <w:r w:rsidRPr="00B129BC" w:rsidR="00543015">
        <w:rPr>
          <w:rFonts w:ascii="Times New Roman" w:hAnsi="Times New Roman" w:cs="Times New Roman"/>
          <w:b/>
          <w:sz w:val="24"/>
          <w:szCs w:val="24"/>
          <w:lang w:val="es-PE" w:eastAsia="ar-SA"/>
        </w:rPr>
        <w:t>4</w:t>
      </w:r>
    </w:p>
    <w:p w:rsidR="002910A0" w:rsidP="002910A0" w:rsidRDefault="002910A0" w14:paraId="5BF5C29E" w14:textId="77777777">
      <w:pPr>
        <w:jc w:val="both"/>
        <w:outlineLvl w:val="0"/>
        <w:rPr>
          <w:rFonts w:ascii="Times New Roman" w:hAnsi="Times New Roman" w:cs="Times New Roman"/>
          <w:b/>
          <w:bCs/>
          <w:sz w:val="24"/>
          <w:szCs w:val="24"/>
          <w:lang w:val="es-MX"/>
        </w:rPr>
      </w:pPr>
    </w:p>
    <w:p w:rsidR="002910A0" w:rsidP="002910A0" w:rsidRDefault="002910A0" w14:paraId="36A31204" w14:textId="108BBD9C">
      <w:pPr>
        <w:jc w:val="both"/>
        <w:outlineLvl w:val="0"/>
        <w:rPr>
          <w:rFonts w:ascii="Times New Roman" w:hAnsi="Times New Roman" w:cs="Times New Roman"/>
          <w:b/>
          <w:bCs/>
          <w:sz w:val="24"/>
          <w:szCs w:val="24"/>
          <w:lang w:val="es-MX"/>
        </w:rPr>
      </w:pPr>
      <w:r>
        <w:rPr>
          <w:rFonts w:ascii="Times New Roman" w:hAnsi="Times New Roman" w:cs="Times New Roman"/>
          <w:b/>
          <w:bCs/>
          <w:sz w:val="24"/>
          <w:szCs w:val="24"/>
          <w:lang w:val="es-MX"/>
        </w:rPr>
        <w:t>VISTOS:</w:t>
      </w:r>
    </w:p>
    <w:p w:rsidR="002910A0" w:rsidP="21A03604" w:rsidRDefault="002910A0" w14:paraId="28F6E3F8" w14:textId="4174B3BE">
      <w:pPr>
        <w:jc w:val="both"/>
        <w:outlineLvl w:val="0"/>
        <w:rPr>
          <w:rFonts w:ascii="Times New Roman" w:hAnsi="Times New Roman" w:cs="Times New Roman"/>
          <w:b w:val="1"/>
          <w:bCs w:val="1"/>
          <w:sz w:val="24"/>
          <w:szCs w:val="24"/>
          <w:lang w:val="es-PE"/>
        </w:rPr>
      </w:pPr>
      <w:r w:rsidRPr="21A03604" w:rsidR="002910A0">
        <w:rPr>
          <w:rFonts w:ascii="Times New Roman" w:hAnsi="Times New Roman" w:cs="Times New Roman"/>
          <w:sz w:val="24"/>
          <w:szCs w:val="24"/>
          <w:lang w:val="es-PE"/>
        </w:rPr>
        <w:t xml:space="preserve">El recurso de impugnación presentado por </w:t>
      </w:r>
      <w:r w:rsidRPr="21A03604" w:rsidR="0399AEBB">
        <w:rPr>
          <w:rFonts w:ascii="Times New Roman" w:hAnsi="Times New Roman" w:cs="Times New Roman"/>
          <w:b w:val="1"/>
          <w:bCs w:val="1"/>
          <w:sz w:val="24"/>
          <w:szCs w:val="24"/>
          <w:lang w:val="es-PE"/>
        </w:rPr>
        <w:t>...........................................................</w:t>
      </w:r>
      <w:r w:rsidRPr="21A03604" w:rsidR="002910A0">
        <w:rPr>
          <w:lang w:val="es-PE"/>
        </w:rPr>
        <w:t xml:space="preserve"> </w:t>
      </w:r>
      <w:r w:rsidRPr="21A03604" w:rsidR="002910A0">
        <w:rPr>
          <w:rFonts w:ascii="Times New Roman" w:hAnsi="Times New Roman" w:cs="Times New Roman"/>
          <w:sz w:val="24"/>
          <w:szCs w:val="24"/>
          <w:lang w:val="es-PE"/>
        </w:rPr>
        <w:t xml:space="preserve">respecto de la Resolución Nro. 190/23, expedida por el Órgano Resolutivo Unipersonal de esta Defensoría del Asegurado (DEFASEG), conforme a la cual se declaró INFUNDADA la reclamación contra por </w:t>
      </w:r>
      <w:r w:rsidRPr="21A03604" w:rsidR="70A05B81">
        <w:rPr>
          <w:rFonts w:ascii="Times New Roman" w:hAnsi="Times New Roman" w:cs="Times New Roman"/>
          <w:b w:val="1"/>
          <w:bCs w:val="1"/>
          <w:sz w:val="24"/>
          <w:szCs w:val="24"/>
          <w:lang w:val="es-PE"/>
        </w:rPr>
        <w:t>......................</w:t>
      </w:r>
      <w:r w:rsidRPr="21A03604" w:rsidR="002910A0">
        <w:rPr>
          <w:rFonts w:ascii="Times New Roman" w:hAnsi="Times New Roman" w:cs="Times New Roman"/>
          <w:sz w:val="24"/>
          <w:szCs w:val="24"/>
          <w:lang w:val="es-PE"/>
        </w:rPr>
        <w:t xml:space="preserve"> </w:t>
      </w:r>
      <w:r w:rsidRPr="21A03604" w:rsidR="002910A0">
        <w:rPr>
          <w:rFonts w:ascii="Times New Roman" w:hAnsi="Times New Roman" w:cs="Times New Roman"/>
          <w:sz w:val="24"/>
          <w:szCs w:val="24"/>
          <w:lang w:val="es-PE"/>
        </w:rPr>
        <w:t xml:space="preserve">respecto al </w:t>
      </w:r>
      <w:r w:rsidRPr="21A03604" w:rsidR="002910A0">
        <w:rPr>
          <w:rFonts w:ascii="Times New Roman" w:hAnsi="Times New Roman" w:cs="Times New Roman"/>
          <w:b w:val="1"/>
          <w:bCs w:val="1"/>
          <w:sz w:val="24"/>
          <w:szCs w:val="24"/>
          <w:lang w:val="es-PE"/>
        </w:rPr>
        <w:t xml:space="preserve">SEGURO DE PROTECCIÓN DE TARJETAS PLUS CON PÓLIZA </w:t>
      </w:r>
      <w:r w:rsidRPr="21A03604" w:rsidR="002910A0">
        <w:rPr>
          <w:rFonts w:ascii="Times New Roman" w:hAnsi="Times New Roman" w:cs="Times New Roman"/>
          <w:b w:val="1"/>
          <w:bCs w:val="1"/>
          <w:sz w:val="24"/>
          <w:szCs w:val="24"/>
          <w:lang w:val="es-PE"/>
        </w:rPr>
        <w:t>N°</w:t>
      </w:r>
      <w:r w:rsidRPr="21A03604" w:rsidR="002910A0">
        <w:rPr>
          <w:rFonts w:ascii="Times New Roman" w:hAnsi="Times New Roman" w:cs="Times New Roman"/>
          <w:b w:val="1"/>
          <w:bCs w:val="1"/>
          <w:sz w:val="24"/>
          <w:szCs w:val="24"/>
          <w:lang w:val="es-PE"/>
        </w:rPr>
        <w:t xml:space="preserve"> </w:t>
      </w:r>
      <w:r w:rsidRPr="21A03604" w:rsidR="270B66B4">
        <w:rPr>
          <w:rFonts w:ascii="Times New Roman" w:hAnsi="Times New Roman" w:cs="Times New Roman"/>
          <w:b w:val="1"/>
          <w:bCs w:val="1"/>
          <w:sz w:val="24"/>
          <w:szCs w:val="24"/>
          <w:lang w:val="es-PE"/>
        </w:rPr>
        <w:t>......................</w:t>
      </w:r>
      <w:r w:rsidRPr="21A03604" w:rsidR="002910A0">
        <w:rPr>
          <w:rFonts w:ascii="Times New Roman" w:hAnsi="Times New Roman" w:cs="Times New Roman"/>
          <w:b w:val="1"/>
          <w:bCs w:val="1"/>
          <w:sz w:val="24"/>
          <w:szCs w:val="24"/>
          <w:lang w:val="es-PE"/>
        </w:rPr>
        <w:t>;</w:t>
      </w:r>
    </w:p>
    <w:p w:rsidR="002910A0" w:rsidP="002910A0" w:rsidRDefault="002910A0" w14:paraId="229463A2" w14:textId="2A810C07">
      <w:pPr>
        <w:jc w:val="both"/>
        <w:outlineLvl w:val="0"/>
        <w:rPr>
          <w:rFonts w:ascii="Times New Roman" w:hAnsi="Times New Roman" w:cs="Times New Roman"/>
          <w:sz w:val="24"/>
          <w:szCs w:val="24"/>
          <w:lang w:val="es-PE"/>
        </w:rPr>
      </w:pPr>
      <w:r w:rsidRPr="21A03604" w:rsidR="002910A0">
        <w:rPr>
          <w:rFonts w:ascii="Times New Roman" w:hAnsi="Times New Roman" w:cs="Times New Roman"/>
          <w:sz w:val="24"/>
          <w:szCs w:val="24"/>
          <w:lang w:val="es-PE"/>
        </w:rPr>
        <w:t xml:space="preserve">Que, el indicado recurso se sustenta resumidamente en lo siguiente: a) con fecha 16 de octubre de 2023, se corre traslado de la Resolución No. 193/2023; la cual resuelve declarar INFUNDADA la reclamación interpuesta por el señor </w:t>
      </w:r>
      <w:r w:rsidRPr="21A03604" w:rsidR="5CAFAE01">
        <w:rPr>
          <w:rFonts w:ascii="Times New Roman" w:hAnsi="Times New Roman" w:cs="Times New Roman"/>
          <w:sz w:val="24"/>
          <w:szCs w:val="24"/>
          <w:lang w:val="es-PE"/>
        </w:rPr>
        <w:t>......................</w:t>
      </w:r>
      <w:r w:rsidRPr="21A03604" w:rsidR="002910A0">
        <w:rPr>
          <w:rFonts w:ascii="Times New Roman" w:hAnsi="Times New Roman" w:cs="Times New Roman"/>
          <w:sz w:val="24"/>
          <w:szCs w:val="24"/>
          <w:lang w:val="es-PE"/>
        </w:rPr>
        <w:t xml:space="preserve">. Sin embargo; ni en la mencionada Resolución ni en documento anterior se nos notificó sobre el mencionado “descargo” y/o “absolución” de reclamo realizado por </w:t>
      </w:r>
      <w:r w:rsidRPr="21A03604" w:rsidR="70A05B81">
        <w:rPr>
          <w:rFonts w:ascii="Times New Roman" w:hAnsi="Times New Roman" w:cs="Times New Roman"/>
          <w:sz w:val="24"/>
          <w:szCs w:val="24"/>
          <w:lang w:val="es-PE"/>
        </w:rPr>
        <w:t>......................</w:t>
      </w:r>
      <w:r w:rsidRPr="21A03604" w:rsidR="002910A0">
        <w:rPr>
          <w:rFonts w:ascii="Times New Roman" w:hAnsi="Times New Roman" w:cs="Times New Roman"/>
          <w:sz w:val="24"/>
          <w:szCs w:val="24"/>
          <w:lang w:val="es-PE"/>
        </w:rPr>
        <w:t xml:space="preserve"> con fecha 22 de septiembre de 2023; b) la Resolución impugnada tampoco precisa cuál es la base legal que establece el Reglamento de DEFASEG, respecto al plazo otorgado a </w:t>
      </w:r>
      <w:r w:rsidRPr="21A03604" w:rsidR="70A05B81">
        <w:rPr>
          <w:rFonts w:ascii="Times New Roman" w:hAnsi="Times New Roman" w:cs="Times New Roman"/>
          <w:sz w:val="24"/>
          <w:szCs w:val="24"/>
          <w:lang w:val="es-PE"/>
        </w:rPr>
        <w:t>......................</w:t>
      </w:r>
      <w:r w:rsidRPr="21A03604" w:rsidR="002910A0">
        <w:rPr>
          <w:rFonts w:ascii="Times New Roman" w:hAnsi="Times New Roman" w:cs="Times New Roman"/>
          <w:sz w:val="24"/>
          <w:szCs w:val="24"/>
          <w:lang w:val="es-PE"/>
        </w:rPr>
        <w:t xml:space="preserve"> para absolver la reclamación materia de controversia; c) ingresando al tema de FONDO de la impugnación, queda evidenciado que </w:t>
      </w:r>
      <w:r w:rsidRPr="21A03604" w:rsidR="70A05B81">
        <w:rPr>
          <w:rFonts w:ascii="Times New Roman" w:hAnsi="Times New Roman" w:cs="Times New Roman"/>
          <w:sz w:val="24"/>
          <w:szCs w:val="24"/>
          <w:lang w:val="es-PE"/>
        </w:rPr>
        <w:t>......................</w:t>
      </w:r>
      <w:r w:rsidRPr="21A03604" w:rsidR="002910A0">
        <w:rPr>
          <w:rFonts w:ascii="Times New Roman" w:hAnsi="Times New Roman" w:cs="Times New Roman"/>
          <w:sz w:val="24"/>
          <w:szCs w:val="24"/>
          <w:lang w:val="es-PE"/>
        </w:rPr>
        <w:t xml:space="preserve"> rechaza la cobertura del siniestro, por tratarse de una operación no reconocida realizada en el extranjero; d</w:t>
      </w:r>
      <w:r w:rsidRPr="21A03604" w:rsidR="002910A0">
        <w:rPr>
          <w:rFonts w:ascii="Times New Roman" w:hAnsi="Times New Roman" w:cs="Times New Roman"/>
          <w:sz w:val="24"/>
          <w:szCs w:val="24"/>
          <w:lang w:val="es-PE"/>
        </w:rPr>
        <w:t>)  menciona</w:t>
      </w:r>
      <w:r w:rsidRPr="21A03604" w:rsidR="002910A0">
        <w:rPr>
          <w:rFonts w:ascii="Times New Roman" w:hAnsi="Times New Roman" w:cs="Times New Roman"/>
          <w:sz w:val="24"/>
          <w:szCs w:val="24"/>
          <w:lang w:val="es-PE"/>
        </w:rPr>
        <w:t xml:space="preserve"> </w:t>
      </w:r>
      <w:r w:rsidRPr="21A03604" w:rsidR="70A05B81">
        <w:rPr>
          <w:rFonts w:ascii="Times New Roman" w:hAnsi="Times New Roman" w:cs="Times New Roman"/>
          <w:sz w:val="24"/>
          <w:szCs w:val="24"/>
          <w:lang w:val="es-PE"/>
        </w:rPr>
        <w:t>......................</w:t>
      </w:r>
      <w:r w:rsidRPr="21A03604" w:rsidR="002910A0">
        <w:rPr>
          <w:rFonts w:ascii="Times New Roman" w:hAnsi="Times New Roman" w:cs="Times New Roman"/>
          <w:sz w:val="24"/>
          <w:szCs w:val="24"/>
          <w:lang w:val="es-PE"/>
        </w:rPr>
        <w:t xml:space="preserve"> que de acuerdo con las condiciones particulares de la Póliza contratada y con las Cláusulas Generales de Contratación para Riesgos Generales, integradas a dicho contrato de seguro, textualmente se establece que existen:  Condiciones Particulares de Exclusiones Generales como el “Uso indebido de la tarjeta fuera del territorio nacional; e) considera insólito que la Defensoría del Asegurado - DEFASEG, resuelva el reclamo del administrado basándose tan solo en una información extraída de una página web española https://www.visa.es/ y peor aún de unas  respuestas a “preguntas frecuentes” y no en una norma adecuada (legalidad) y dentro de las facultades que le estén atribuidas al amparo de lo establecido en el Reglamento de la DEFASEG. Hecho que vulnera absolutamente el Principio de Legalidad; f) se impugna la decisión tomada por DEFASEG en el extremo que indica que: “la exclusión alegada por la Compañía si abarca al uso de la tarjeta a través de Apple </w:t>
      </w:r>
      <w:r w:rsidRPr="21A03604" w:rsidR="002910A0">
        <w:rPr>
          <w:rFonts w:ascii="Times New Roman" w:hAnsi="Times New Roman" w:cs="Times New Roman"/>
          <w:sz w:val="24"/>
          <w:szCs w:val="24"/>
          <w:lang w:val="es-PE"/>
        </w:rPr>
        <w:t>Pay</w:t>
      </w:r>
      <w:r w:rsidRPr="21A03604" w:rsidR="002910A0">
        <w:rPr>
          <w:rFonts w:ascii="Times New Roman" w:hAnsi="Times New Roman" w:cs="Times New Roman"/>
          <w:sz w:val="24"/>
          <w:szCs w:val="24"/>
          <w:lang w:val="es-PE"/>
        </w:rPr>
        <w:t xml:space="preserve">”. Decisión amparada en la búsqueda de una página de internet como guía más no en el código civil que delinea con amplitud los aspectos más resaltantes de la regulación de las cláusulas Generales de Contratación; g) de acuerdo con las condiciones particulares de la Póliza contratada y con las Cláusulas Generales de Contratación para Riesgos Generales, integradas al Contrato de seguro materia de cuestionamiento, las referidas cláusulas han de ser analizadas no por una fuente o referencia pormenorizada sino obligada a ser resuelta desde una perspectiva de generalidad la cual; deriva únicamente a la ley especial su desarrollo puntual, es decir; al Código Civil y por analogía en otras normas; h) el Órgano Unipersonal, yerra al argumentar que las diversas compras no reconocidas por el monto ascendente a US$ 822.34, sí fueron realizadas con la tarjeta a través del aplicativo “Apple </w:t>
      </w:r>
      <w:r w:rsidRPr="21A03604" w:rsidR="002910A0">
        <w:rPr>
          <w:rFonts w:ascii="Times New Roman" w:hAnsi="Times New Roman" w:cs="Times New Roman"/>
          <w:sz w:val="24"/>
          <w:szCs w:val="24"/>
          <w:lang w:val="es-PE"/>
        </w:rPr>
        <w:t>Pay</w:t>
      </w:r>
      <w:r w:rsidRPr="21A03604" w:rsidR="002910A0">
        <w:rPr>
          <w:rFonts w:ascii="Times New Roman" w:hAnsi="Times New Roman" w:cs="Times New Roman"/>
          <w:sz w:val="24"/>
          <w:szCs w:val="24"/>
          <w:lang w:val="es-PE"/>
        </w:rPr>
        <w:t>, pues utiliza como fundamento que: “</w:t>
      </w:r>
      <w:r w:rsidRPr="21A03604" w:rsidR="002910A0">
        <w:rPr>
          <w:rFonts w:ascii="Times New Roman" w:hAnsi="Times New Roman" w:cs="Times New Roman"/>
          <w:i w:val="1"/>
          <w:iCs w:val="1"/>
          <w:sz w:val="24"/>
          <w:szCs w:val="24"/>
          <w:lang w:val="es-PE"/>
        </w:rPr>
        <w:t xml:space="preserve">los pagos con Apple </w:t>
      </w:r>
      <w:r w:rsidRPr="21A03604" w:rsidR="002910A0">
        <w:rPr>
          <w:rFonts w:ascii="Times New Roman" w:hAnsi="Times New Roman" w:cs="Times New Roman"/>
          <w:i w:val="1"/>
          <w:iCs w:val="1"/>
          <w:sz w:val="24"/>
          <w:szCs w:val="24"/>
          <w:lang w:val="es-PE"/>
        </w:rPr>
        <w:t>Pay</w:t>
      </w:r>
      <w:r w:rsidRPr="21A03604" w:rsidR="002910A0">
        <w:rPr>
          <w:rFonts w:ascii="Times New Roman" w:hAnsi="Times New Roman" w:cs="Times New Roman"/>
          <w:i w:val="1"/>
          <w:iCs w:val="1"/>
          <w:sz w:val="24"/>
          <w:szCs w:val="24"/>
          <w:lang w:val="es-PE"/>
        </w:rPr>
        <w:t xml:space="preserve"> realizados en tienda se consideran transacciones con presencia física de la tarjeta</w:t>
      </w:r>
      <w:r w:rsidRPr="21A03604" w:rsidR="002910A0">
        <w:rPr>
          <w:rFonts w:ascii="Times New Roman" w:hAnsi="Times New Roman" w:cs="Times New Roman"/>
          <w:sz w:val="24"/>
          <w:szCs w:val="24"/>
          <w:lang w:val="es-PE"/>
        </w:rPr>
        <w:t xml:space="preserve">”, a diferencia de los pagos realizados desde la aplicación que se consideran pagos sin presencia física de la tarjeta” ; i) el caso materia de denuncia fue un “siniestro” es decir; un robo de teléfono celular y posterior utilización de la aplicación Apple </w:t>
      </w:r>
      <w:r w:rsidRPr="21A03604" w:rsidR="002910A0">
        <w:rPr>
          <w:rFonts w:ascii="Times New Roman" w:hAnsi="Times New Roman" w:cs="Times New Roman"/>
          <w:sz w:val="24"/>
          <w:szCs w:val="24"/>
          <w:lang w:val="es-PE"/>
        </w:rPr>
        <w:t>Pay</w:t>
      </w:r>
      <w:r w:rsidRPr="21A03604" w:rsidR="002910A0">
        <w:rPr>
          <w:rFonts w:ascii="Times New Roman" w:hAnsi="Times New Roman" w:cs="Times New Roman"/>
          <w:sz w:val="24"/>
          <w:szCs w:val="24"/>
          <w:lang w:val="es-PE"/>
        </w:rPr>
        <w:t xml:space="preserve"> para efectuar consumos y/o </w:t>
      </w:r>
      <w:r w:rsidRPr="21A03604" w:rsidR="002910A0">
        <w:rPr>
          <w:rFonts w:ascii="Times New Roman" w:hAnsi="Times New Roman" w:cs="Times New Roman"/>
          <w:sz w:val="24"/>
          <w:szCs w:val="24"/>
          <w:lang w:val="es-PE"/>
        </w:rPr>
        <w:t xml:space="preserve">operaciones no reconocidas. </w:t>
      </w:r>
      <w:r w:rsidRPr="21A03604" w:rsidR="002910A0">
        <w:rPr>
          <w:rFonts w:ascii="Times New Roman" w:hAnsi="Times New Roman" w:cs="Times New Roman"/>
          <w:sz w:val="24"/>
          <w:szCs w:val="24"/>
          <w:lang w:val="es-PE"/>
        </w:rPr>
        <w:t>En ese sentido; es absolutamente imposible saber sí las compras no reconocidas han sido realizadas a través de una “TIENDA” o desde una “aplicación”.</w:t>
      </w:r>
      <w:r w:rsidRPr="21A03604" w:rsidR="002910A0">
        <w:rPr>
          <w:rFonts w:ascii="Times New Roman" w:hAnsi="Times New Roman" w:cs="Times New Roman"/>
          <w:sz w:val="24"/>
          <w:szCs w:val="24"/>
          <w:lang w:val="es-PE"/>
        </w:rPr>
        <w:t xml:space="preserve"> que, es otra duda que se genera y que debe favorecer a la contraparte, es decir; al administrado; j) DEFASEG está tomando como criterio de su análisis y decisión un juicio de valor, el cual; es un imposible jurídico, pues, como se manifestó el asegurado fue víctima de siniestro (robo de celular); así, es ilusorio advertir que sí existió un consumo en tienda, más aún si podemos confirmar indubitablemente que se utilizó el sistema “</w:t>
      </w:r>
      <w:r w:rsidRPr="21A03604" w:rsidR="002910A0">
        <w:rPr>
          <w:rFonts w:ascii="Times New Roman" w:hAnsi="Times New Roman" w:cs="Times New Roman"/>
          <w:sz w:val="24"/>
          <w:szCs w:val="24"/>
          <w:lang w:val="es-PE"/>
        </w:rPr>
        <w:t>apple</w:t>
      </w:r>
      <w:r w:rsidRPr="21A03604" w:rsidR="002910A0">
        <w:rPr>
          <w:rFonts w:ascii="Times New Roman" w:hAnsi="Times New Roman" w:cs="Times New Roman"/>
          <w:sz w:val="24"/>
          <w:szCs w:val="24"/>
          <w:lang w:val="es-PE"/>
        </w:rPr>
        <w:t xml:space="preserve"> </w:t>
      </w:r>
      <w:r w:rsidRPr="21A03604" w:rsidR="002910A0">
        <w:rPr>
          <w:rFonts w:ascii="Times New Roman" w:hAnsi="Times New Roman" w:cs="Times New Roman"/>
          <w:sz w:val="24"/>
          <w:szCs w:val="24"/>
          <w:lang w:val="es-PE"/>
        </w:rPr>
        <w:t>pay</w:t>
      </w:r>
      <w:r w:rsidRPr="21A03604" w:rsidR="002910A0">
        <w:rPr>
          <w:rFonts w:ascii="Times New Roman" w:hAnsi="Times New Roman" w:cs="Times New Roman"/>
          <w:sz w:val="24"/>
          <w:szCs w:val="24"/>
          <w:lang w:val="es-PE"/>
        </w:rPr>
        <w:t xml:space="preserve">” para realizar las diversas compras no reconocidas; k) es un hecho que todas las compras que se realizan vía la aplicación se autorizan a través del sistema de seguridad de </w:t>
      </w:r>
      <w:r w:rsidRPr="21A03604" w:rsidR="002910A0">
        <w:rPr>
          <w:rFonts w:ascii="Times New Roman" w:hAnsi="Times New Roman" w:cs="Times New Roman"/>
          <w:sz w:val="24"/>
          <w:szCs w:val="24"/>
          <w:lang w:val="es-PE"/>
        </w:rPr>
        <w:t>apple</w:t>
      </w:r>
      <w:r w:rsidRPr="21A03604" w:rsidR="002910A0">
        <w:rPr>
          <w:rFonts w:ascii="Times New Roman" w:hAnsi="Times New Roman" w:cs="Times New Roman"/>
          <w:sz w:val="24"/>
          <w:szCs w:val="24"/>
          <w:lang w:val="es-PE"/>
        </w:rPr>
        <w:t xml:space="preserve"> que son el </w:t>
      </w:r>
      <w:r w:rsidRPr="21A03604" w:rsidR="002910A0">
        <w:rPr>
          <w:rFonts w:ascii="Times New Roman" w:hAnsi="Times New Roman" w:cs="Times New Roman"/>
          <w:sz w:val="24"/>
          <w:szCs w:val="24"/>
          <w:lang w:val="es-PE"/>
        </w:rPr>
        <w:t>face</w:t>
      </w:r>
      <w:r w:rsidRPr="21A03604" w:rsidR="002910A0">
        <w:rPr>
          <w:rFonts w:ascii="Times New Roman" w:hAnsi="Times New Roman" w:cs="Times New Roman"/>
          <w:sz w:val="24"/>
          <w:szCs w:val="24"/>
          <w:lang w:val="es-PE"/>
        </w:rPr>
        <w:t xml:space="preserve"> id, </w:t>
      </w:r>
      <w:r w:rsidRPr="21A03604" w:rsidR="002910A0">
        <w:rPr>
          <w:rFonts w:ascii="Times New Roman" w:hAnsi="Times New Roman" w:cs="Times New Roman"/>
          <w:sz w:val="24"/>
          <w:szCs w:val="24"/>
          <w:lang w:val="es-PE"/>
        </w:rPr>
        <w:t>touch</w:t>
      </w:r>
      <w:r w:rsidRPr="21A03604" w:rsidR="002910A0">
        <w:rPr>
          <w:rFonts w:ascii="Times New Roman" w:hAnsi="Times New Roman" w:cs="Times New Roman"/>
          <w:sz w:val="24"/>
          <w:szCs w:val="24"/>
          <w:lang w:val="es-PE"/>
        </w:rPr>
        <w:t xml:space="preserve"> id o un código de verificación, el cual; por el mismo hecho de ser un </w:t>
      </w:r>
      <w:r w:rsidRPr="21A03604" w:rsidR="002910A0">
        <w:rPr>
          <w:rFonts w:ascii="Times New Roman" w:hAnsi="Times New Roman" w:cs="Times New Roman"/>
          <w:lang w:val="es-PE"/>
        </w:rPr>
        <w:t>siniestro</w:t>
      </w:r>
      <w:r w:rsidRPr="21A03604" w:rsidR="002910A0">
        <w:rPr>
          <w:rFonts w:ascii="Times New Roman" w:hAnsi="Times New Roman" w:cs="Times New Roman"/>
          <w:sz w:val="24"/>
          <w:szCs w:val="24"/>
          <w:lang w:val="es-PE"/>
        </w:rPr>
        <w:t xml:space="preserve"> es muy probable y se presume que fue realizado no en una tienda sino realizados desde la aplicación ergo; hackeados. por consiguiente, si se toma en cuenta el errado argumento de la DEFASEG, en tal supuesto; si </w:t>
      </w:r>
      <w:r w:rsidRPr="21A03604" w:rsidR="002910A0">
        <w:rPr>
          <w:rFonts w:ascii="Times New Roman" w:hAnsi="Times New Roman" w:cs="Times New Roman"/>
          <w:sz w:val="24"/>
          <w:szCs w:val="24"/>
          <w:lang w:val="es-PE"/>
        </w:rPr>
        <w:t>cabría</w:t>
      </w:r>
      <w:r w:rsidRPr="21A03604" w:rsidR="002910A0">
        <w:rPr>
          <w:rFonts w:ascii="Times New Roman" w:hAnsi="Times New Roman" w:cs="Times New Roman"/>
          <w:sz w:val="24"/>
          <w:szCs w:val="24"/>
          <w:lang w:val="es-PE"/>
        </w:rPr>
        <w:t xml:space="preserve"> la posibilidad de ser un pago sin presencia física de la tarjeta y por ende no se configuraría la exclusión de “uso indebido de la tarjeta”; l) </w:t>
      </w:r>
      <w:r w:rsidRPr="21A03604" w:rsidR="70A05B81">
        <w:rPr>
          <w:rFonts w:ascii="Times New Roman" w:hAnsi="Times New Roman" w:cs="Times New Roman"/>
          <w:sz w:val="24"/>
          <w:szCs w:val="24"/>
          <w:lang w:val="es-PE"/>
        </w:rPr>
        <w:t>......................</w:t>
      </w:r>
      <w:r w:rsidRPr="21A03604" w:rsidR="002910A0">
        <w:rPr>
          <w:rFonts w:ascii="Times New Roman" w:hAnsi="Times New Roman" w:cs="Times New Roman"/>
          <w:sz w:val="24"/>
          <w:szCs w:val="24"/>
          <w:lang w:val="es-PE"/>
        </w:rPr>
        <w:t xml:space="preserve"> negó de manera injustificada la cobertura de la póliza, al no haberse acreditado que la condición de exclusión alegada era aplicable al caso del sr. </w:t>
      </w:r>
      <w:r w:rsidRPr="21A03604" w:rsidR="5CAFAE01">
        <w:rPr>
          <w:rFonts w:ascii="Times New Roman" w:hAnsi="Times New Roman" w:cs="Times New Roman"/>
          <w:sz w:val="24"/>
          <w:szCs w:val="24"/>
          <w:lang w:val="es-PE"/>
        </w:rPr>
        <w:t>......................</w:t>
      </w:r>
      <w:r w:rsidRPr="21A03604" w:rsidR="002910A0">
        <w:rPr>
          <w:rFonts w:ascii="Times New Roman" w:hAnsi="Times New Roman" w:cs="Times New Roman"/>
          <w:sz w:val="24"/>
          <w:szCs w:val="24"/>
          <w:lang w:val="es-PE"/>
        </w:rPr>
        <w:t xml:space="preserve">, tal como lo aseveró en su carta </w:t>
      </w:r>
      <w:r w:rsidRPr="21A03604" w:rsidR="002910A0">
        <w:rPr>
          <w:rFonts w:ascii="Times New Roman" w:hAnsi="Times New Roman" w:cs="Times New Roman"/>
          <w:sz w:val="24"/>
          <w:szCs w:val="24"/>
          <w:lang w:val="es-PE"/>
        </w:rPr>
        <w:t>de  negativa</w:t>
      </w:r>
      <w:r w:rsidRPr="21A03604" w:rsidR="002910A0">
        <w:rPr>
          <w:rFonts w:ascii="Times New Roman" w:hAnsi="Times New Roman" w:cs="Times New Roman"/>
          <w:sz w:val="24"/>
          <w:szCs w:val="24"/>
          <w:lang w:val="es-PE"/>
        </w:rPr>
        <w:t xml:space="preserve"> de cobertura no. gsin-1113307/202, pero que la DEFASEG también amparada. la cláusula de exclusión alegada por </w:t>
      </w:r>
      <w:r w:rsidRPr="21A03604" w:rsidR="7267EDAB">
        <w:rPr>
          <w:rFonts w:ascii="Times New Roman" w:hAnsi="Times New Roman" w:cs="Times New Roman"/>
          <w:sz w:val="24"/>
          <w:szCs w:val="24"/>
          <w:lang w:val="es-PE"/>
        </w:rPr>
        <w:t>......................</w:t>
      </w:r>
      <w:r w:rsidRPr="21A03604" w:rsidR="002910A0">
        <w:rPr>
          <w:rFonts w:ascii="Times New Roman" w:hAnsi="Times New Roman" w:cs="Times New Roman"/>
          <w:sz w:val="24"/>
          <w:szCs w:val="24"/>
          <w:lang w:val="es-PE"/>
        </w:rPr>
        <w:t xml:space="preserve"> seguros no contempla expresamente la exclusión por el uso indebido de la tarjeta en un teléfono celular, sino únicamente menciona la causa de exclusión de manera general, lo que genera duda y peor aún perjudica al administrado.</w:t>
      </w:r>
    </w:p>
    <w:p w:rsidR="002910A0" w:rsidP="21A03604" w:rsidRDefault="002910A0" w14:paraId="31BEFCB8" w14:textId="19C98456">
      <w:pPr>
        <w:suppressAutoHyphens/>
        <w:spacing w:after="0" w:line="240" w:lineRule="auto"/>
        <w:jc w:val="both"/>
        <w:rPr>
          <w:rFonts w:ascii="Times New Roman" w:hAnsi="Times New Roman" w:eastAsia="Times New Roman" w:cs="Times New Roman"/>
          <w:sz w:val="24"/>
          <w:szCs w:val="24"/>
          <w:lang w:val="es-MX" w:eastAsia="ar-SA"/>
        </w:rPr>
      </w:pPr>
      <w:r w:rsidRPr="21A03604" w:rsidR="002910A0">
        <w:rPr>
          <w:rFonts w:ascii="Times New Roman" w:hAnsi="Times New Roman" w:eastAsia="Times New Roman" w:cs="Times New Roman"/>
          <w:sz w:val="24"/>
          <w:szCs w:val="24"/>
          <w:lang w:val="es-MX" w:eastAsia="ar-SA"/>
        </w:rPr>
        <w:t xml:space="preserve">Que, habiéndosele corrido traslado de la señalada impugnación, </w:t>
      </w:r>
      <w:r w:rsidRPr="21A03604" w:rsidR="70A05B81">
        <w:rPr>
          <w:rFonts w:ascii="Times New Roman" w:hAnsi="Times New Roman" w:eastAsia="Times New Roman" w:cs="Times New Roman"/>
          <w:sz w:val="24"/>
          <w:szCs w:val="24"/>
          <w:lang w:val="es-MX" w:eastAsia="ar-SA"/>
        </w:rPr>
        <w:t>......................</w:t>
      </w:r>
      <w:r w:rsidRPr="21A03604" w:rsidR="002910A0">
        <w:rPr>
          <w:rFonts w:ascii="Times New Roman" w:hAnsi="Times New Roman" w:eastAsia="Times New Roman" w:cs="Times New Roman"/>
          <w:sz w:val="24"/>
          <w:szCs w:val="24"/>
          <w:lang w:val="es-MX" w:eastAsia="ar-SA"/>
        </w:rPr>
        <w:t xml:space="preserve"> no ha absuelto el trámite correspondiente.</w:t>
      </w:r>
    </w:p>
    <w:p w:rsidR="002910A0" w:rsidP="002910A0" w:rsidRDefault="002910A0" w14:paraId="06F1E189" w14:textId="77777777">
      <w:pPr>
        <w:pStyle w:val="Textoindependiente"/>
      </w:pPr>
      <w:r>
        <w:t xml:space="preserve"> </w:t>
      </w:r>
    </w:p>
    <w:p w:rsidR="002910A0" w:rsidP="002910A0" w:rsidRDefault="002910A0" w14:paraId="0865EB36" w14:textId="281B575E">
      <w:pPr>
        <w:pStyle w:val="Textoindependiente"/>
        <w:tabs>
          <w:tab w:val="left" w:pos="930"/>
        </w:tabs>
      </w:pPr>
      <w:r w:rsidR="002910A0">
        <w:rPr/>
        <w:t xml:space="preserve">Que, con fecha 24 de enero de 2024 se remitió al señor </w:t>
      </w:r>
      <w:r w:rsidR="5CAFAE01">
        <w:rPr/>
        <w:t>......................</w:t>
      </w:r>
      <w:r w:rsidR="002910A0">
        <w:rPr/>
        <w:t xml:space="preserve"> los descargos presentados por </w:t>
      </w:r>
      <w:r w:rsidR="70A05B81">
        <w:rPr/>
        <w:t>......................</w:t>
      </w:r>
      <w:r w:rsidR="002910A0">
        <w:rPr/>
        <w:t>. Al respecto, con fecha 29 de enero de 2024</w:t>
      </w:r>
      <w:r w:rsidR="00A72A35">
        <w:rPr/>
        <w:t>,</w:t>
      </w:r>
      <w:r w:rsidR="002910A0">
        <w:rPr/>
        <w:t xml:space="preserve"> el reclamante confirmo que había recibido los archivos adjuntos.</w:t>
      </w:r>
    </w:p>
    <w:p w:rsidR="002910A0" w:rsidP="002910A0" w:rsidRDefault="002910A0" w14:paraId="48FD3110" w14:textId="77777777">
      <w:pPr>
        <w:pStyle w:val="Textoindependiente"/>
        <w:rPr>
          <w:lang w:val="es-PE"/>
        </w:rPr>
      </w:pPr>
    </w:p>
    <w:p w:rsidR="002910A0" w:rsidP="002910A0" w:rsidRDefault="002910A0" w14:paraId="3450005D" w14:textId="77777777">
      <w:pPr>
        <w:pStyle w:val="Textoindependiente"/>
        <w:tabs>
          <w:tab w:val="left" w:pos="930"/>
        </w:tabs>
      </w:pPr>
      <w:r>
        <w:t>Que, atendiendo a lo expuesto, esta Defensoría resuelve finalmente lo siguiente:</w:t>
      </w:r>
    </w:p>
    <w:p w:rsidR="002910A0" w:rsidP="002910A0" w:rsidRDefault="002910A0" w14:paraId="7C2AC98C" w14:textId="77777777">
      <w:pPr>
        <w:pStyle w:val="Textoindependiente"/>
        <w:tabs>
          <w:tab w:val="left" w:pos="930"/>
        </w:tabs>
      </w:pPr>
    </w:p>
    <w:p w:rsidR="002910A0" w:rsidP="002910A0" w:rsidRDefault="002910A0" w14:paraId="1082F0EE" w14:textId="77777777">
      <w:pPr>
        <w:jc w:val="both"/>
        <w:rPr>
          <w:rFonts w:ascii="Times New Roman" w:hAnsi="Times New Roman" w:cs="Times New Roman"/>
          <w:sz w:val="24"/>
          <w:szCs w:val="24"/>
          <w:lang w:val="es-PE"/>
        </w:rPr>
      </w:pPr>
      <w:r>
        <w:rPr>
          <w:rFonts w:ascii="Times New Roman" w:hAnsi="Times New Roman" w:cs="Times New Roman"/>
          <w:b/>
          <w:sz w:val="24"/>
          <w:szCs w:val="24"/>
          <w:u w:val="single"/>
          <w:lang w:val="es-PE"/>
        </w:rPr>
        <w:t>PRIMERO</w:t>
      </w:r>
      <w:r>
        <w:rPr>
          <w:rFonts w:ascii="Times New Roman" w:hAnsi="Times New Roman" w:cs="Times New Roman"/>
          <w:b/>
          <w:sz w:val="24"/>
          <w:szCs w:val="24"/>
          <w:lang w:val="es-PE"/>
        </w:rPr>
        <w:t>:</w:t>
      </w:r>
      <w:r>
        <w:rPr>
          <w:rFonts w:ascii="Times New Roman" w:hAnsi="Times New Roman" w:cs="Times New Roman"/>
          <w:sz w:val="24"/>
          <w:szCs w:val="24"/>
          <w:lang w:val="es-PE"/>
        </w:rPr>
        <w:t xml:space="preserve"> El artículo 10 (Procedimiento) del Reglamento de la DEFASEG </w:t>
      </w:r>
      <w:r>
        <w:rPr>
          <w:rFonts w:ascii="Times New Roman" w:hAnsi="Times New Roman" w:eastAsia="Arial Unicode MS" w:cs="Times New Roman"/>
          <w:sz w:val="24"/>
          <w:szCs w:val="24"/>
          <w:lang w:val="es-PE"/>
        </w:rPr>
        <w:t>(http://www.defaseg.com.pe/reglamento)</w:t>
      </w:r>
      <w:r>
        <w:rPr>
          <w:rFonts w:ascii="Times New Roman" w:hAnsi="Times New Roman" w:cs="Times New Roman"/>
          <w:sz w:val="24"/>
          <w:szCs w:val="24"/>
          <w:lang w:val="es-PE"/>
        </w:rPr>
        <w:t xml:space="preserve"> establece que cualquiera de las partes que no se encuentre de acuerdo con la decisión adoptada por el Órgano Resolutivo Unipersonal sobre la materia reclamada, podrá impugnarla, interponiendo el correspondiente recurso de impugnación.  </w:t>
      </w:r>
    </w:p>
    <w:p w:rsidR="002910A0" w:rsidP="002910A0" w:rsidRDefault="002910A0" w14:paraId="0A6191B0" w14:textId="77777777">
      <w:pPr>
        <w:jc w:val="both"/>
        <w:rPr>
          <w:rFonts w:ascii="Times New Roman" w:hAnsi="Times New Roman" w:cs="Times New Roman"/>
          <w:sz w:val="24"/>
          <w:szCs w:val="24"/>
          <w:lang w:val="es-PE"/>
        </w:rPr>
      </w:pPr>
      <w:r>
        <w:rPr>
          <w:rFonts w:ascii="Times New Roman" w:hAnsi="Times New Roman" w:cs="Times New Roman"/>
          <w:sz w:val="24"/>
          <w:szCs w:val="24"/>
          <w:lang w:val="es-PE"/>
        </w:rPr>
        <w:t>Conforme a ello, en el caso concreto, al interponer el recurso de impugnación la aseguradora ha ejercido formalmente su derecho a contradecir lo resuelto por la Defensoría.</w:t>
      </w:r>
    </w:p>
    <w:p w:rsidR="002910A0" w:rsidP="002910A0" w:rsidRDefault="002910A0" w14:paraId="5C1EBB64" w14:textId="60028118">
      <w:pPr>
        <w:jc w:val="both"/>
        <w:rPr>
          <w:rFonts w:ascii="Times New Roman" w:hAnsi="Times New Roman" w:cs="Times New Roman"/>
          <w:sz w:val="24"/>
          <w:szCs w:val="24"/>
          <w:lang w:val="es-PE"/>
        </w:rPr>
      </w:pPr>
      <w:r w:rsidRPr="21A03604" w:rsidR="002910A0">
        <w:rPr>
          <w:rFonts w:ascii="Times New Roman" w:hAnsi="Times New Roman" w:cs="Times New Roman"/>
          <w:b w:val="1"/>
          <w:bCs w:val="1"/>
          <w:sz w:val="24"/>
          <w:szCs w:val="24"/>
          <w:u w:val="single"/>
          <w:lang w:val="es-PE"/>
        </w:rPr>
        <w:t>SEGUNDO</w:t>
      </w:r>
      <w:r w:rsidRPr="21A03604" w:rsidR="002910A0">
        <w:rPr>
          <w:rFonts w:ascii="Times New Roman" w:hAnsi="Times New Roman" w:cs="Times New Roman"/>
          <w:b w:val="1"/>
          <w:bCs w:val="1"/>
          <w:sz w:val="24"/>
          <w:szCs w:val="24"/>
          <w:lang w:val="es-PE"/>
        </w:rPr>
        <w:t>:</w:t>
      </w:r>
      <w:r w:rsidRPr="21A03604" w:rsidR="002910A0">
        <w:rPr>
          <w:rFonts w:ascii="Times New Roman" w:hAnsi="Times New Roman" w:cs="Times New Roman"/>
          <w:sz w:val="24"/>
          <w:szCs w:val="24"/>
          <w:lang w:val="es-PE"/>
        </w:rPr>
        <w:t xml:space="preserve"> Que el recurso de impugnación presentado por el señor </w:t>
      </w:r>
      <w:r w:rsidRPr="21A03604" w:rsidR="5CAFAE01">
        <w:rPr>
          <w:rFonts w:ascii="Times New Roman" w:hAnsi="Times New Roman" w:cs="Times New Roman"/>
          <w:sz w:val="24"/>
          <w:szCs w:val="24"/>
          <w:lang w:val="es-PE"/>
        </w:rPr>
        <w:t>......................</w:t>
      </w:r>
      <w:r w:rsidRPr="21A03604" w:rsidR="002910A0">
        <w:rPr>
          <w:rFonts w:ascii="Times New Roman" w:hAnsi="Times New Roman" w:cs="Times New Roman"/>
          <w:sz w:val="24"/>
          <w:szCs w:val="24"/>
          <w:lang w:val="es-PE"/>
        </w:rPr>
        <w:t xml:space="preserve"> se sustenta en que </w:t>
      </w:r>
      <w:r w:rsidRPr="21A03604" w:rsidR="002910A0">
        <w:rPr>
          <w:rFonts w:ascii="Times New Roman" w:hAnsi="Times New Roman" w:cs="Times New Roman"/>
          <w:sz w:val="24"/>
          <w:szCs w:val="24"/>
          <w:lang w:val="es-PE"/>
        </w:rPr>
        <w:t>la Compañía negó de manera injustificada la cobertura del seguro, al no haberse acreditado que la condición de exclusión alegada era aplicable al presente caso.</w:t>
      </w:r>
    </w:p>
    <w:p w:rsidRPr="002910A0" w:rsidR="002910A0" w:rsidP="002910A0" w:rsidRDefault="002910A0" w14:paraId="2207DCD9" w14:textId="77777777">
      <w:pPr>
        <w:jc w:val="both"/>
        <w:rPr>
          <w:rStyle w:val="normaltextrun"/>
          <w:noProof/>
          <w:lang w:val="es-PE"/>
        </w:rPr>
      </w:pPr>
      <w:r>
        <w:rPr>
          <w:rFonts w:ascii="Times New Roman" w:hAnsi="Times New Roman" w:cs="Times New Roman"/>
          <w:b/>
          <w:bCs/>
          <w:sz w:val="24"/>
          <w:szCs w:val="24"/>
          <w:u w:val="single"/>
          <w:lang w:val="es-PE"/>
        </w:rPr>
        <w:t>TERCERO</w:t>
      </w:r>
      <w:r>
        <w:rPr>
          <w:rFonts w:ascii="Times New Roman" w:hAnsi="Times New Roman" w:cs="Times New Roman"/>
          <w:b/>
          <w:bCs/>
          <w:sz w:val="24"/>
          <w:szCs w:val="24"/>
          <w:lang w:val="es-PE"/>
        </w:rPr>
        <w:t>:</w:t>
      </w:r>
      <w:r>
        <w:rPr>
          <w:rFonts w:ascii="Times New Roman" w:hAnsi="Times New Roman" w:cs="Times New Roman"/>
          <w:bCs/>
          <w:sz w:val="24"/>
          <w:szCs w:val="24"/>
          <w:lang w:val="es-PE"/>
        </w:rPr>
        <w:t xml:space="preserve"> Que, </w:t>
      </w:r>
      <w:r>
        <w:rPr>
          <w:rFonts w:ascii="Times New Roman" w:hAnsi="Times New Roman" w:cs="Times New Roman"/>
          <w:noProof/>
          <w:sz w:val="24"/>
          <w:szCs w:val="24"/>
          <w:lang w:val="es-PE"/>
        </w:rPr>
        <w:t xml:space="preserve">conforme a lo manifestado por el reclamante en su denuncia policial,  con fecha  25 de febrero de 2023,  le sustrajeron el celular  marca Apple modelo Iphone 14 en Río de Janeiro, Brasil: </w:t>
      </w:r>
    </w:p>
    <w:p w:rsidR="002910A0" w:rsidP="002910A0" w:rsidRDefault="002910A0" w14:paraId="22B02B6E" w14:textId="35F26AD5">
      <w:pPr>
        <w:jc w:val="both"/>
      </w:pPr>
      <w:r w:rsidR="3B16F14E">
        <w:rPr/>
        <w:t>...............................................................................................................................................................</w:t>
      </w:r>
    </w:p>
    <w:p w:rsidRPr="002910A0" w:rsidR="002910A0" w:rsidP="002910A0" w:rsidRDefault="002910A0" w14:paraId="5B7ED015" w14:textId="77777777">
      <w:pPr>
        <w:jc w:val="both"/>
        <w:rPr>
          <w:lang w:val="es-PE"/>
        </w:rPr>
      </w:pPr>
      <w:r>
        <w:rPr>
          <w:rFonts w:ascii="Times New Roman" w:hAnsi="Times New Roman" w:cs="Times New Roman"/>
          <w:sz w:val="24"/>
          <w:szCs w:val="24"/>
          <w:lang w:val="es-PE"/>
        </w:rPr>
        <w:t>Como consecuencia de ello, se realizaron cinco (5) operaciones en Brasil, las cuales no son reconocidas por el reclamante, por la suma total de US$ 821.86 (Ochocientos Veintiuno con 86/100 Soles):</w:t>
      </w:r>
    </w:p>
    <w:p w:rsidR="002910A0" w:rsidP="002910A0" w:rsidRDefault="002910A0" w14:paraId="2B01AD84" w14:textId="18619454">
      <w:pPr>
        <w:jc w:val="both"/>
        <w:rPr>
          <w:rFonts w:ascii="Times New Roman" w:hAnsi="Times New Roman" w:cs="Times New Roman"/>
          <w:sz w:val="24"/>
          <w:szCs w:val="24"/>
          <w:lang w:val="es-PE"/>
        </w:rPr>
      </w:pPr>
      <w:r>
        <w:rPr>
          <w:rFonts w:ascii="Times New Roman" w:hAnsi="Times New Roman" w:cs="Times New Roman"/>
          <w:noProof/>
          <w:sz w:val="24"/>
          <w:szCs w:val="24"/>
          <w:lang w:val="es-PE"/>
        </w:rPr>
        <w:drawing>
          <wp:inline distT="0" distB="0" distL="0" distR="0" wp14:anchorId="1F96E7E2" wp14:editId="677BEDE0">
            <wp:extent cx="5753100" cy="1019175"/>
            <wp:effectExtent l="0" t="0" r="0" b="9525"/>
            <wp:docPr id="108255336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3100" cy="1019175"/>
                    </a:xfrm>
                    <a:prstGeom prst="rect">
                      <a:avLst/>
                    </a:prstGeom>
                    <a:noFill/>
                    <a:ln>
                      <a:noFill/>
                    </a:ln>
                  </pic:spPr>
                </pic:pic>
              </a:graphicData>
            </a:graphic>
          </wp:inline>
        </w:drawing>
      </w:r>
    </w:p>
    <w:p w:rsidR="002910A0" w:rsidP="002910A0" w:rsidRDefault="002910A0" w14:paraId="7A6A6C67" w14:textId="77777777">
      <w:pPr>
        <w:jc w:val="both"/>
        <w:rPr>
          <w:rFonts w:ascii="Times New Roman" w:hAnsi="Times New Roman" w:cs="Times New Roman"/>
          <w:sz w:val="24"/>
          <w:szCs w:val="24"/>
          <w:lang w:val="es-PE"/>
        </w:rPr>
      </w:pPr>
    </w:p>
    <w:p w:rsidR="002910A0" w:rsidP="002910A0" w:rsidRDefault="002910A0" w14:paraId="5FCDA83F" w14:textId="77777777">
      <w:pPr>
        <w:jc w:val="both"/>
        <w:rPr>
          <w:rFonts w:ascii="Times New Roman" w:hAnsi="Times New Roman" w:cs="Times New Roman"/>
          <w:lang w:val="es-PE"/>
        </w:rPr>
      </w:pPr>
      <w:r>
        <w:rPr>
          <w:rFonts w:ascii="Times New Roman" w:hAnsi="Times New Roman" w:cs="Times New Roman"/>
          <w:b/>
          <w:bCs/>
          <w:sz w:val="24"/>
          <w:szCs w:val="24"/>
          <w:u w:val="single"/>
          <w:lang w:val="es-PE"/>
        </w:rPr>
        <w:t>CUARTO</w:t>
      </w:r>
      <w:r>
        <w:rPr>
          <w:rFonts w:ascii="Times New Roman" w:hAnsi="Times New Roman" w:cs="Times New Roman"/>
          <w:b/>
          <w:bCs/>
          <w:sz w:val="24"/>
          <w:szCs w:val="24"/>
          <w:lang w:val="es-PE"/>
        </w:rPr>
        <w:t>:</w:t>
      </w:r>
      <w:r>
        <w:rPr>
          <w:rFonts w:ascii="Times New Roman" w:hAnsi="Times New Roman" w:cs="Times New Roman"/>
          <w:lang w:val="es-PE"/>
        </w:rPr>
        <w:t xml:space="preserve"> Que, en el certificado de seguro se plasman las coberturas contratadas:</w:t>
      </w:r>
    </w:p>
    <w:p w:rsidR="002910A0" w:rsidP="21A03604" w:rsidRDefault="002910A0" w14:paraId="2A4AD260" w14:textId="3652E946">
      <w:pPr>
        <w:pStyle w:val="Normal"/>
        <w:jc w:val="both"/>
      </w:pPr>
      <w:r w:rsidR="2916247A">
        <w:rPr/>
        <w:t>...............................................................................................................................................................</w:t>
      </w:r>
    </w:p>
    <w:p w:rsidR="002910A0" w:rsidP="002910A0" w:rsidRDefault="002910A0" w14:paraId="13758884" w14:textId="77777777">
      <w:pPr>
        <w:jc w:val="both"/>
        <w:rPr>
          <w:rFonts w:ascii="Times New Roman" w:hAnsi="Times New Roman" w:cs="Times New Roman"/>
          <w:sz w:val="24"/>
          <w:szCs w:val="24"/>
          <w:lang w:val="es-MX"/>
        </w:rPr>
      </w:pPr>
      <w:r>
        <w:rPr>
          <w:rFonts w:ascii="Times New Roman" w:hAnsi="Times New Roman" w:cs="Times New Roman"/>
          <w:sz w:val="24"/>
          <w:szCs w:val="24"/>
          <w:lang w:val="es-MX"/>
        </w:rPr>
        <w:t>Que, en el presente caso nos encontramos ante un seguro con riesgos nombrados, es decir, solamente se cubrirán los riesgos que estén plasmados en la póliza.</w:t>
      </w:r>
    </w:p>
    <w:p w:rsidR="002910A0" w:rsidP="002910A0" w:rsidRDefault="002910A0" w14:paraId="1F02E90D" w14:textId="77777777">
      <w:pPr>
        <w:jc w:val="both"/>
        <w:rPr>
          <w:rFonts w:ascii="Times New Roman" w:hAnsi="Times New Roman" w:cs="Times New Roman"/>
          <w:sz w:val="24"/>
          <w:szCs w:val="24"/>
          <w:u w:val="single"/>
          <w:lang w:val="es-MX"/>
        </w:rPr>
      </w:pPr>
      <w:r>
        <w:rPr>
          <w:rFonts w:ascii="Times New Roman" w:hAnsi="Times New Roman" w:cs="Times New Roman"/>
          <w:sz w:val="24"/>
          <w:szCs w:val="24"/>
          <w:lang w:val="es-MX"/>
        </w:rPr>
        <w:t xml:space="preserve">Al respecto, se verifica que solo se cubre el uso indebido de las tarjetas, </w:t>
      </w:r>
      <w:r>
        <w:rPr>
          <w:rFonts w:ascii="Times New Roman" w:hAnsi="Times New Roman" w:cs="Times New Roman"/>
          <w:sz w:val="24"/>
          <w:szCs w:val="24"/>
          <w:u w:val="single"/>
          <w:lang w:val="es-MX"/>
        </w:rPr>
        <w:t>no se incluye el uso indebido de una aplicación móvil.</w:t>
      </w:r>
    </w:p>
    <w:p w:rsidR="002910A0" w:rsidP="002910A0" w:rsidRDefault="002910A0" w14:paraId="4DB35AEF" w14:textId="77777777">
      <w:pPr>
        <w:jc w:val="both"/>
        <w:rPr>
          <w:rFonts w:ascii="Times New Roman" w:hAnsi="Times New Roman" w:cs="Times New Roman"/>
          <w:sz w:val="24"/>
          <w:szCs w:val="24"/>
          <w:lang w:val="es-PE"/>
        </w:rPr>
      </w:pPr>
      <w:r>
        <w:rPr>
          <w:rFonts w:ascii="Times New Roman" w:hAnsi="Times New Roman" w:cs="Times New Roman"/>
          <w:sz w:val="24"/>
          <w:szCs w:val="24"/>
          <w:lang w:val="es-PE"/>
        </w:rPr>
        <w:t xml:space="preserve">Un contrato de seguro válidamente emitido obliga a la aseguradora a otorgar cobertura siempre y cuando se cumplan las condiciones pactadas, las mismas que corresponden al riesgo aceptado expresamente en su oportunidad y en razón del cual se estructuró el equilibrio contractual. </w:t>
      </w:r>
    </w:p>
    <w:p w:rsidR="002910A0" w:rsidP="002910A0" w:rsidRDefault="002910A0" w14:paraId="74B45A0A" w14:textId="77777777">
      <w:pPr>
        <w:jc w:val="both"/>
        <w:rPr>
          <w:rFonts w:ascii="Times New Roman" w:hAnsi="Times New Roman" w:cs="Times New Roman"/>
          <w:sz w:val="24"/>
          <w:szCs w:val="24"/>
          <w:lang w:val="es-PE"/>
        </w:rPr>
      </w:pPr>
      <w:r>
        <w:rPr>
          <w:rFonts w:ascii="Times New Roman" w:hAnsi="Times New Roman" w:cs="Times New Roman"/>
          <w:sz w:val="24"/>
          <w:szCs w:val="24"/>
          <w:lang w:val="es-PE"/>
        </w:rPr>
        <w:t xml:space="preserve">Al respecto, es aplicable lo sancionado en la sétima regla interpretativa contenida en el artículo IV de la Ley Nro. 29946 – Ley del Contrato de Seguro: </w:t>
      </w:r>
      <w:r>
        <w:rPr>
          <w:rFonts w:ascii="Times New Roman" w:hAnsi="Times New Roman" w:cs="Times New Roman"/>
          <w:b/>
          <w:bCs/>
          <w:i/>
          <w:iCs/>
          <w:sz w:val="24"/>
          <w:szCs w:val="24"/>
          <w:lang w:val="es-PE"/>
        </w:rPr>
        <w:t>“La cobertura,</w:t>
      </w:r>
      <w:r>
        <w:rPr>
          <w:rFonts w:ascii="Times New Roman" w:hAnsi="Times New Roman" w:cs="Times New Roman"/>
          <w:i/>
          <w:iCs/>
          <w:sz w:val="24"/>
          <w:szCs w:val="24"/>
          <w:lang w:val="es-PE"/>
        </w:rPr>
        <w:t xml:space="preserve"> exclusiones </w:t>
      </w:r>
      <w:r>
        <w:rPr>
          <w:rFonts w:ascii="Times New Roman" w:hAnsi="Times New Roman" w:cs="Times New Roman"/>
          <w:b/>
          <w:bCs/>
          <w:i/>
          <w:iCs/>
          <w:sz w:val="24"/>
          <w:szCs w:val="24"/>
          <w:lang w:val="es-PE"/>
        </w:rPr>
        <w:t xml:space="preserve">y, en general, la extensión del riesgo, </w:t>
      </w:r>
      <w:r>
        <w:rPr>
          <w:rFonts w:ascii="Times New Roman" w:hAnsi="Times New Roman" w:cs="Times New Roman"/>
          <w:i/>
          <w:iCs/>
          <w:sz w:val="24"/>
          <w:szCs w:val="24"/>
          <w:lang w:val="es-PE"/>
        </w:rPr>
        <w:t xml:space="preserve">así como los derechos de los beneficiarios, previstos en el contrato de seguro, </w:t>
      </w:r>
      <w:r>
        <w:rPr>
          <w:rFonts w:ascii="Times New Roman" w:hAnsi="Times New Roman" w:cs="Times New Roman"/>
          <w:b/>
          <w:bCs/>
          <w:i/>
          <w:iCs/>
          <w:sz w:val="24"/>
          <w:szCs w:val="24"/>
          <w:lang w:val="es-PE"/>
        </w:rPr>
        <w:t xml:space="preserve">deben interpretarse literalmente” </w:t>
      </w:r>
      <w:r>
        <w:rPr>
          <w:rFonts w:ascii="Times New Roman" w:hAnsi="Times New Roman" w:cs="Times New Roman"/>
          <w:sz w:val="24"/>
          <w:szCs w:val="24"/>
          <w:lang w:val="es-PE"/>
        </w:rPr>
        <w:t>(lo destacado es nuestro).</w:t>
      </w:r>
    </w:p>
    <w:p w:rsidR="002910A0" w:rsidP="002910A0" w:rsidRDefault="002910A0" w14:paraId="45EF1BF5" w14:textId="4EB6E48F">
      <w:pPr>
        <w:jc w:val="both"/>
        <w:rPr>
          <w:rFonts w:ascii="Times New Roman" w:hAnsi="Times New Roman" w:cs="Times New Roman"/>
          <w:sz w:val="24"/>
          <w:szCs w:val="24"/>
          <w:lang w:val="es-PE"/>
        </w:rPr>
      </w:pPr>
      <w:r w:rsidRPr="21A03604" w:rsidR="002910A0">
        <w:rPr>
          <w:rFonts w:ascii="Times New Roman" w:hAnsi="Times New Roman" w:cs="Times New Roman"/>
          <w:b w:val="1"/>
          <w:bCs w:val="1"/>
          <w:sz w:val="24"/>
          <w:szCs w:val="24"/>
          <w:u w:val="single"/>
          <w:lang w:val="es-PE"/>
        </w:rPr>
        <w:t>QUINTO</w:t>
      </w:r>
      <w:r w:rsidRPr="21A03604" w:rsidR="002910A0">
        <w:rPr>
          <w:rFonts w:ascii="Times New Roman" w:hAnsi="Times New Roman" w:cs="Times New Roman"/>
          <w:b w:val="1"/>
          <w:bCs w:val="1"/>
          <w:sz w:val="24"/>
          <w:szCs w:val="24"/>
          <w:lang w:val="es-PE"/>
        </w:rPr>
        <w:t xml:space="preserve">: </w:t>
      </w:r>
      <w:r w:rsidRPr="21A03604" w:rsidR="002910A0">
        <w:rPr>
          <w:rFonts w:ascii="Times New Roman" w:hAnsi="Times New Roman" w:cs="Times New Roman"/>
          <w:sz w:val="24"/>
          <w:szCs w:val="24"/>
          <w:lang w:val="es-PE"/>
        </w:rPr>
        <w:t xml:space="preserve">Que, </w:t>
      </w:r>
      <w:r w:rsidRPr="21A03604" w:rsidR="70A05B81">
        <w:rPr>
          <w:rFonts w:ascii="Times New Roman" w:hAnsi="Times New Roman" w:cs="Times New Roman"/>
          <w:sz w:val="24"/>
          <w:szCs w:val="24"/>
          <w:lang w:val="es-PE"/>
        </w:rPr>
        <w:t>......................</w:t>
      </w:r>
      <w:r w:rsidRPr="21A03604" w:rsidR="002910A0">
        <w:rPr>
          <w:rFonts w:ascii="Times New Roman" w:hAnsi="Times New Roman" w:cs="Times New Roman"/>
          <w:sz w:val="24"/>
          <w:szCs w:val="24"/>
          <w:lang w:val="es-PE"/>
        </w:rPr>
        <w:t xml:space="preserve"> ha sustentado su rechazo invocando la siguiente exclusión:</w:t>
      </w:r>
    </w:p>
    <w:p w:rsidR="002910A0" w:rsidP="002910A0" w:rsidRDefault="002910A0" w14:paraId="01105642" w14:textId="77777777">
      <w:pPr>
        <w:ind w:left="1440"/>
        <w:jc w:val="both"/>
        <w:rPr>
          <w:rFonts w:ascii="Times New Roman" w:hAnsi="Times New Roman" w:cs="Times New Roman"/>
          <w:i/>
          <w:iCs/>
          <w:sz w:val="24"/>
          <w:szCs w:val="24"/>
          <w:lang w:val="es-MX"/>
        </w:rPr>
      </w:pPr>
      <w:r>
        <w:rPr>
          <w:rFonts w:ascii="Times New Roman" w:hAnsi="Times New Roman" w:cs="Times New Roman"/>
          <w:i/>
          <w:iCs/>
          <w:sz w:val="24"/>
          <w:szCs w:val="24"/>
          <w:lang w:val="es-PE"/>
        </w:rPr>
        <w:t>“4. Uso indebido de la tarjeta fuera del territorio nacional”</w:t>
      </w:r>
    </w:p>
    <w:p w:rsidR="002910A0" w:rsidP="002910A0" w:rsidRDefault="002910A0" w14:paraId="6AC9C3B1" w14:textId="77777777">
      <w:pPr>
        <w:tabs>
          <w:tab w:val="left" w:pos="2160"/>
        </w:tabs>
        <w:jc w:val="both"/>
        <w:rPr>
          <w:rFonts w:ascii="Times New Roman" w:hAnsi="Times New Roman" w:cs="Times New Roman"/>
          <w:bCs/>
          <w:sz w:val="24"/>
          <w:szCs w:val="24"/>
          <w:lang w:val="es-PE"/>
        </w:rPr>
      </w:pPr>
      <w:r>
        <w:rPr>
          <w:rFonts w:ascii="Times New Roman" w:hAnsi="Times New Roman" w:cs="Times New Roman"/>
          <w:bCs/>
          <w:sz w:val="24"/>
          <w:szCs w:val="24"/>
          <w:lang w:val="es-PE"/>
        </w:rPr>
        <w:t>Al respecto, conforme al criterio adoptado por la DEFASEG en relación a los rechazos por exclusión de cobertura, se verifica lo siguiente:</w:t>
      </w:r>
    </w:p>
    <w:p w:rsidR="002910A0" w:rsidP="002910A0" w:rsidRDefault="002910A0" w14:paraId="59655376" w14:textId="77777777">
      <w:pPr>
        <w:pStyle w:val="Prrafodelista"/>
        <w:numPr>
          <w:ilvl w:val="0"/>
          <w:numId w:val="28"/>
        </w:numPr>
        <w:tabs>
          <w:tab w:val="left" w:pos="2160"/>
        </w:tabs>
        <w:spacing w:line="256" w:lineRule="auto"/>
        <w:jc w:val="both"/>
        <w:rPr>
          <w:rFonts w:ascii="Times New Roman" w:hAnsi="Times New Roman" w:cs="Times New Roman"/>
          <w:bCs/>
          <w:sz w:val="24"/>
          <w:szCs w:val="24"/>
          <w:lang w:val="es-PE"/>
        </w:rPr>
      </w:pPr>
      <w:r>
        <w:rPr>
          <w:rFonts w:ascii="Times New Roman" w:hAnsi="Times New Roman" w:cs="Times New Roman"/>
          <w:bCs/>
          <w:sz w:val="24"/>
          <w:szCs w:val="24"/>
          <w:lang w:val="es-PE"/>
        </w:rPr>
        <w:t>El certificado de seguro sí contiene la exclusión invocada.</w:t>
      </w:r>
    </w:p>
    <w:p w:rsidR="002910A0" w:rsidP="002910A0" w:rsidRDefault="002910A0" w14:paraId="1F3FCC7B" w14:textId="77777777">
      <w:pPr>
        <w:pStyle w:val="Prrafodelista"/>
        <w:numPr>
          <w:ilvl w:val="0"/>
          <w:numId w:val="28"/>
        </w:numPr>
        <w:tabs>
          <w:tab w:val="left" w:pos="2160"/>
        </w:tabs>
        <w:spacing w:line="256" w:lineRule="auto"/>
        <w:jc w:val="both"/>
        <w:rPr>
          <w:rFonts w:ascii="Times New Roman" w:hAnsi="Times New Roman" w:cs="Times New Roman"/>
          <w:bCs/>
          <w:sz w:val="24"/>
          <w:szCs w:val="24"/>
          <w:lang w:val="es-PE"/>
        </w:rPr>
      </w:pPr>
      <w:r>
        <w:rPr>
          <w:rFonts w:ascii="Times New Roman" w:hAnsi="Times New Roman" w:cs="Times New Roman"/>
          <w:bCs/>
          <w:sz w:val="24"/>
          <w:szCs w:val="24"/>
          <w:lang w:val="es-PE"/>
        </w:rPr>
        <w:t>La exclusión alegada si es oponible en la medida que ha quedado acreditado que el reclamante fue debidamente informado de los términos y condiciones del contrato antes de la ocurrencia del siniestro.</w:t>
      </w:r>
    </w:p>
    <w:p w:rsidR="002910A0" w:rsidP="002910A0" w:rsidRDefault="002910A0" w14:paraId="6D9452C3" w14:textId="77777777">
      <w:pPr>
        <w:pStyle w:val="Prrafodelista"/>
        <w:numPr>
          <w:ilvl w:val="0"/>
          <w:numId w:val="28"/>
        </w:numPr>
        <w:tabs>
          <w:tab w:val="left" w:pos="2160"/>
        </w:tabs>
        <w:spacing w:line="256" w:lineRule="auto"/>
        <w:jc w:val="both"/>
        <w:rPr>
          <w:rFonts w:ascii="Times New Roman" w:hAnsi="Times New Roman" w:cs="Times New Roman"/>
          <w:bCs/>
          <w:sz w:val="24"/>
          <w:szCs w:val="24"/>
          <w:lang w:val="es-PE"/>
        </w:rPr>
      </w:pPr>
      <w:r>
        <w:rPr>
          <w:rFonts w:ascii="Times New Roman" w:hAnsi="Times New Roman" w:cs="Times New Roman"/>
          <w:bCs/>
          <w:sz w:val="24"/>
          <w:szCs w:val="24"/>
          <w:lang w:val="es-PE"/>
        </w:rPr>
        <w:t>Finalmente, si se incurrió en el supuesto de la exclusión, ya que las operaciones no reconocidas, es decir, el uso indebido, se realizó en el extranjero, concretamente, en Brasil.</w:t>
      </w:r>
    </w:p>
    <w:p w:rsidR="002910A0" w:rsidP="002910A0" w:rsidRDefault="002910A0" w14:paraId="6E37F900" w14:textId="77777777">
      <w:pPr>
        <w:jc w:val="both"/>
        <w:rPr>
          <w:rFonts w:ascii="Times New Roman" w:hAnsi="Times New Roman" w:cs="Times New Roman"/>
          <w:sz w:val="24"/>
          <w:szCs w:val="24"/>
          <w:lang w:val="es-PE"/>
        </w:rPr>
      </w:pPr>
      <w:r>
        <w:rPr>
          <w:rFonts w:ascii="Times New Roman" w:hAnsi="Times New Roman" w:cs="Times New Roman"/>
          <w:b/>
          <w:sz w:val="24"/>
          <w:szCs w:val="24"/>
          <w:u w:val="single"/>
          <w:lang w:val="es-PE"/>
        </w:rPr>
        <w:lastRenderedPageBreak/>
        <w:t>SEXTO</w:t>
      </w:r>
      <w:r>
        <w:rPr>
          <w:rFonts w:ascii="Times New Roman" w:hAnsi="Times New Roman" w:cs="Times New Roman"/>
          <w:b/>
          <w:sz w:val="24"/>
          <w:szCs w:val="24"/>
          <w:lang w:val="es-PE"/>
        </w:rPr>
        <w:t>:</w:t>
      </w:r>
      <w:r>
        <w:rPr>
          <w:rFonts w:ascii="Times New Roman" w:hAnsi="Times New Roman" w:cs="Times New Roman"/>
          <w:sz w:val="24"/>
          <w:szCs w:val="24"/>
          <w:lang w:val="es-PE"/>
        </w:rPr>
        <w:t xml:space="preserve">  Por lo expuesto, este Colegiado aprecia que el certificado presentado por la Compañía no conlleva a conclusiones distintas de las establecidas en la resolución materia de impugnación, por lo que no existe mérito ni razón objetiva para revocarla.</w:t>
      </w:r>
    </w:p>
    <w:p w:rsidR="002910A0" w:rsidP="002910A0" w:rsidRDefault="002910A0" w14:paraId="74586012" w14:textId="77777777">
      <w:pPr>
        <w:jc w:val="both"/>
        <w:rPr>
          <w:rFonts w:ascii="Times New Roman" w:hAnsi="Times New Roman" w:cs="Times New Roman"/>
          <w:b/>
          <w:sz w:val="24"/>
          <w:szCs w:val="24"/>
          <w:lang w:val="es-PE"/>
        </w:rPr>
      </w:pPr>
      <w:r>
        <w:rPr>
          <w:rFonts w:ascii="Times New Roman" w:hAnsi="Times New Roman" w:cs="Times New Roman"/>
          <w:b/>
          <w:sz w:val="24"/>
          <w:szCs w:val="24"/>
          <w:lang w:val="es-PE"/>
        </w:rPr>
        <w:t>ATENDIENDO A LO EXPRESADO, CONFORME A SU REGLAMENTO, ESTE COLEGIADO RESUELVE:</w:t>
      </w:r>
    </w:p>
    <w:p w:rsidR="002910A0" w:rsidP="21A03604" w:rsidRDefault="002910A0" w14:paraId="7D6A821B" w14:textId="47E9766C">
      <w:pPr>
        <w:pStyle w:val="Default"/>
        <w:jc w:val="both"/>
        <w:rPr>
          <w:rFonts w:ascii="Times New Roman" w:hAnsi="Times New Roman" w:cs="Times New Roman"/>
          <w:b w:val="1"/>
          <w:bCs w:val="1"/>
        </w:rPr>
      </w:pPr>
      <w:r w:rsidRPr="21A03604" w:rsidR="002910A0">
        <w:rPr>
          <w:rFonts w:ascii="Times New Roman" w:hAnsi="Times New Roman" w:cs="Times New Roman"/>
          <w:b w:val="1"/>
          <w:bCs w:val="1"/>
        </w:rPr>
        <w:t xml:space="preserve">DECLARAR INFUNDADO </w:t>
      </w:r>
      <w:r w:rsidRPr="21A03604" w:rsidR="002910A0">
        <w:rPr>
          <w:rFonts w:ascii="Times New Roman" w:hAnsi="Times New Roman" w:cs="Times New Roman"/>
        </w:rPr>
        <w:t>el recurso de impugnación interpuesto por</w:t>
      </w:r>
      <w:r w:rsidRPr="21A03604" w:rsidR="002910A0">
        <w:rPr>
          <w:rFonts w:ascii="Times New Roman" w:hAnsi="Times New Roman" w:cs="Times New Roman"/>
          <w:b w:val="1"/>
          <w:bCs w:val="1"/>
        </w:rPr>
        <w:t xml:space="preserve"> </w:t>
      </w:r>
      <w:r w:rsidRPr="21A03604" w:rsidR="0399AEBB">
        <w:rPr>
          <w:rFonts w:ascii="Times New Roman" w:hAnsi="Times New Roman" w:cs="Times New Roman"/>
          <w:b w:val="1"/>
          <w:bCs w:val="1"/>
        </w:rPr>
        <w:t>...........................................................</w:t>
      </w:r>
      <w:r w:rsidR="00FA55D5">
        <w:rPr/>
        <w:t xml:space="preserve"> </w:t>
      </w:r>
      <w:r w:rsidRPr="21A03604" w:rsidR="002910A0">
        <w:rPr>
          <w:rFonts w:ascii="Times New Roman" w:hAnsi="Times New Roman" w:cs="Times New Roman"/>
        </w:rPr>
        <w:t>y, por consiguiente,</w:t>
      </w:r>
      <w:r w:rsidRPr="21A03604" w:rsidR="002910A0">
        <w:rPr>
          <w:rFonts w:ascii="Times New Roman" w:hAnsi="Times New Roman" w:cs="Times New Roman"/>
          <w:b w:val="1"/>
          <w:bCs w:val="1"/>
        </w:rPr>
        <w:t xml:space="preserve"> CONFIRMAR la Resolución </w:t>
      </w:r>
      <w:r w:rsidRPr="21A03604" w:rsidR="002910A0">
        <w:rPr>
          <w:rFonts w:ascii="Times New Roman" w:hAnsi="Times New Roman" w:cs="Times New Roman"/>
          <w:b w:val="1"/>
          <w:bCs w:val="1"/>
        </w:rPr>
        <w:t>N°</w:t>
      </w:r>
      <w:r w:rsidRPr="21A03604" w:rsidR="002910A0">
        <w:rPr>
          <w:rFonts w:ascii="Times New Roman" w:hAnsi="Times New Roman" w:cs="Times New Roman"/>
          <w:b w:val="1"/>
          <w:bCs w:val="1"/>
        </w:rPr>
        <w:t xml:space="preserve"> 190/23</w:t>
      </w:r>
      <w:r w:rsidRPr="21A03604" w:rsidR="002910A0">
        <w:rPr>
          <w:rFonts w:ascii="Times New Roman" w:hAnsi="Times New Roman" w:cs="Times New Roman"/>
          <w:b w:val="1"/>
          <w:bCs w:val="1"/>
          <w:lang w:val="es-MX"/>
        </w:rPr>
        <w:t>.</w:t>
      </w:r>
    </w:p>
    <w:p w:rsidRPr="00B129BC" w:rsidR="003D69D8" w:rsidP="00BE695C" w:rsidRDefault="003D69D8" w14:paraId="1188DC12" w14:textId="77777777">
      <w:pPr>
        <w:pStyle w:val="Default"/>
        <w:jc w:val="both"/>
        <w:rPr>
          <w:rFonts w:ascii="Times New Roman" w:hAnsi="Times New Roman" w:cs="Times New Roman"/>
          <w:b/>
        </w:rPr>
      </w:pPr>
    </w:p>
    <w:p w:rsidRPr="00B129BC" w:rsidR="008B6A09" w:rsidP="008B6A09" w:rsidRDefault="0091528B" w14:paraId="000A434B" w14:textId="3825787A">
      <w:pPr>
        <w:jc w:val="right"/>
        <w:rPr>
          <w:rFonts w:ascii="Times New Roman" w:hAnsi="Times New Roman" w:cs="Times New Roman"/>
          <w:sz w:val="24"/>
          <w:szCs w:val="24"/>
          <w:lang w:val="es-PE"/>
        </w:rPr>
      </w:pPr>
      <w:r w:rsidRPr="00B129BC">
        <w:rPr>
          <w:rFonts w:ascii="Times New Roman" w:hAnsi="Times New Roman" w:eastAsia="Arial Unicode MS" w:cs="Times New Roman"/>
          <w:sz w:val="24"/>
          <w:szCs w:val="24"/>
          <w:lang w:val="es-PE" w:eastAsia="ar-SA"/>
        </w:rPr>
        <w:t xml:space="preserve">Lima, </w:t>
      </w:r>
      <w:r w:rsidR="00B42CC6">
        <w:rPr>
          <w:rFonts w:ascii="Times New Roman" w:hAnsi="Times New Roman" w:eastAsia="Arial Unicode MS" w:cs="Times New Roman"/>
          <w:sz w:val="24"/>
          <w:szCs w:val="24"/>
          <w:lang w:val="es-PE" w:eastAsia="ar-SA"/>
        </w:rPr>
        <w:t>1</w:t>
      </w:r>
      <w:r w:rsidR="000433F1">
        <w:rPr>
          <w:rFonts w:ascii="Times New Roman" w:hAnsi="Times New Roman" w:eastAsia="Arial Unicode MS" w:cs="Times New Roman"/>
          <w:sz w:val="24"/>
          <w:szCs w:val="24"/>
          <w:lang w:val="es-PE" w:eastAsia="ar-SA"/>
        </w:rPr>
        <w:t>6</w:t>
      </w:r>
      <w:r w:rsidRPr="00B129BC" w:rsidR="00570ED6">
        <w:rPr>
          <w:rFonts w:ascii="Times New Roman" w:hAnsi="Times New Roman" w:eastAsia="Arial Unicode MS" w:cs="Times New Roman"/>
          <w:sz w:val="24"/>
          <w:szCs w:val="24"/>
          <w:lang w:val="es-PE" w:eastAsia="ar-SA"/>
        </w:rPr>
        <w:t xml:space="preserve"> </w:t>
      </w:r>
      <w:r w:rsidRPr="00B129BC" w:rsidR="00707C99">
        <w:rPr>
          <w:rFonts w:ascii="Times New Roman" w:hAnsi="Times New Roman" w:eastAsia="Arial Unicode MS" w:cs="Times New Roman"/>
          <w:sz w:val="24"/>
          <w:szCs w:val="24"/>
          <w:lang w:val="es-PE" w:eastAsia="ar-SA"/>
        </w:rPr>
        <w:t xml:space="preserve">de </w:t>
      </w:r>
      <w:r w:rsidR="00B42CC6">
        <w:rPr>
          <w:rFonts w:ascii="Times New Roman" w:hAnsi="Times New Roman" w:eastAsia="Arial Unicode MS" w:cs="Times New Roman"/>
          <w:sz w:val="24"/>
          <w:szCs w:val="24"/>
          <w:lang w:val="es-PE" w:eastAsia="ar-SA"/>
        </w:rPr>
        <w:t>abril</w:t>
      </w:r>
      <w:r w:rsidRPr="00B129BC" w:rsidR="002F478E">
        <w:rPr>
          <w:rFonts w:ascii="Times New Roman" w:hAnsi="Times New Roman" w:eastAsia="Arial Unicode MS" w:cs="Times New Roman"/>
          <w:sz w:val="24"/>
          <w:szCs w:val="24"/>
          <w:lang w:val="es-PE" w:eastAsia="ar-SA"/>
        </w:rPr>
        <w:t xml:space="preserve"> </w:t>
      </w:r>
      <w:r w:rsidRPr="00B129BC" w:rsidR="00F06498">
        <w:rPr>
          <w:rFonts w:ascii="Times New Roman" w:hAnsi="Times New Roman" w:eastAsia="Arial Unicode MS" w:cs="Times New Roman"/>
          <w:sz w:val="24"/>
          <w:szCs w:val="24"/>
          <w:lang w:val="es-PE" w:eastAsia="ar-SA"/>
        </w:rPr>
        <w:t>de 202</w:t>
      </w:r>
      <w:r w:rsidRPr="00B129BC" w:rsidR="00543015">
        <w:rPr>
          <w:rFonts w:ascii="Times New Roman" w:hAnsi="Times New Roman" w:eastAsia="Arial Unicode MS" w:cs="Times New Roman"/>
          <w:sz w:val="24"/>
          <w:szCs w:val="24"/>
          <w:lang w:val="es-PE" w:eastAsia="ar-SA"/>
        </w:rPr>
        <w:t>4</w:t>
      </w:r>
      <w:r w:rsidRPr="00B129BC" w:rsidR="00707C99">
        <w:rPr>
          <w:rFonts w:ascii="Times New Roman" w:hAnsi="Times New Roman" w:eastAsia="Times New Roman" w:cs="Times New Roman"/>
          <w:sz w:val="24"/>
          <w:szCs w:val="24"/>
          <w:lang w:val="es-PE" w:eastAsia="ar-SA"/>
        </w:rPr>
        <w:t xml:space="preserve"> </w:t>
      </w:r>
    </w:p>
    <w:p w:rsidRPr="00B129BC" w:rsidR="008B6A09" w:rsidP="008B6A09" w:rsidRDefault="008B6A09" w14:paraId="7433A34B" w14:textId="77777777">
      <w:pPr>
        <w:suppressAutoHyphens/>
        <w:spacing w:after="0" w:line="240" w:lineRule="auto"/>
        <w:jc w:val="right"/>
        <w:outlineLvl w:val="0"/>
        <w:rPr>
          <w:rFonts w:ascii="Times New Roman" w:hAnsi="Times New Roman" w:eastAsia="Arial Unicode MS" w:cs="Times New Roman"/>
          <w:sz w:val="24"/>
          <w:szCs w:val="24"/>
          <w:lang w:val="es-PE" w:eastAsia="ar-SA"/>
        </w:rPr>
      </w:pPr>
    </w:p>
    <w:p w:rsidRPr="00B129BC"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B129BC">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B129BC"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B129BC" w:rsidR="007543CD" w:rsidP="007543CD" w:rsidRDefault="00543015" w14:paraId="220AA7AD" w14:textId="133296B2">
      <w:pPr>
        <w:spacing w:after="0" w:line="360" w:lineRule="auto"/>
        <w:jc w:val="center"/>
        <w:rPr>
          <w:rFonts w:ascii="Times New Roman" w:hAnsi="Times New Roman" w:cs="Times New Roman"/>
          <w:b/>
          <w:bCs/>
          <w:sz w:val="24"/>
          <w:szCs w:val="24"/>
          <w:lang w:val="es-PE"/>
        </w:rPr>
      </w:pPr>
      <w:r w:rsidRPr="00B129BC">
        <w:rPr>
          <w:rFonts w:ascii="Times New Roman" w:hAnsi="Times New Roman" w:cs="Times New Roman"/>
          <w:b/>
          <w:bCs/>
          <w:sz w:val="24"/>
          <w:szCs w:val="24"/>
          <w:lang w:val="es-PE"/>
        </w:rPr>
        <w:t xml:space="preserve">María Eugenia Valdez Fernández Baca </w:t>
      </w:r>
      <w:r w:rsidRPr="00B129BC" w:rsidR="007543CD">
        <w:rPr>
          <w:rFonts w:ascii="Times New Roman" w:hAnsi="Times New Roman" w:cs="Times New Roman"/>
          <w:b/>
          <w:bCs/>
          <w:sz w:val="24"/>
          <w:szCs w:val="24"/>
          <w:lang w:val="es-PE"/>
        </w:rPr>
        <w:t>– Presidente</w:t>
      </w:r>
    </w:p>
    <w:p w:rsidRPr="00B129BC" w:rsidR="007543CD" w:rsidP="007543CD" w:rsidRDefault="00543015" w14:paraId="0DCF6E18" w14:textId="56F1BED3">
      <w:pPr>
        <w:spacing w:after="0" w:line="360" w:lineRule="auto"/>
        <w:jc w:val="center"/>
        <w:rPr>
          <w:rFonts w:ascii="Times New Roman" w:hAnsi="Times New Roman" w:cs="Times New Roman"/>
          <w:b/>
          <w:bCs/>
          <w:sz w:val="24"/>
          <w:szCs w:val="24"/>
          <w:lang w:val="es-PE"/>
        </w:rPr>
      </w:pPr>
      <w:r w:rsidRPr="00B129BC">
        <w:rPr>
          <w:rFonts w:ascii="Times New Roman" w:hAnsi="Times New Roman" w:cs="Times New Roman"/>
          <w:b/>
          <w:bCs/>
          <w:sz w:val="24"/>
          <w:szCs w:val="24"/>
          <w:lang w:val="es-PE"/>
        </w:rPr>
        <w:t xml:space="preserve">Rolando Eyzaguirre Maccan </w:t>
      </w:r>
      <w:r w:rsidRPr="00B129BC" w:rsidR="007543CD">
        <w:rPr>
          <w:rFonts w:ascii="Times New Roman" w:hAnsi="Times New Roman" w:cs="Times New Roman"/>
          <w:b/>
          <w:bCs/>
          <w:sz w:val="24"/>
          <w:szCs w:val="24"/>
          <w:lang w:val="es-PE"/>
        </w:rPr>
        <w:t>– Vocal</w:t>
      </w:r>
    </w:p>
    <w:p w:rsidRPr="00B129BC" w:rsidR="007543CD" w:rsidP="007543CD" w:rsidRDefault="007543CD" w14:paraId="69BF44D1" w14:textId="77777777">
      <w:pPr>
        <w:spacing w:after="0" w:line="360" w:lineRule="auto"/>
        <w:jc w:val="center"/>
        <w:rPr>
          <w:rFonts w:ascii="Times New Roman" w:hAnsi="Times New Roman" w:cs="Times New Roman"/>
          <w:b/>
          <w:bCs/>
          <w:sz w:val="24"/>
          <w:szCs w:val="24"/>
          <w:lang w:val="es-PE"/>
        </w:rPr>
      </w:pPr>
      <w:r w:rsidRPr="00B129BC">
        <w:rPr>
          <w:rFonts w:ascii="Times New Roman" w:hAnsi="Times New Roman" w:cs="Times New Roman"/>
          <w:b/>
          <w:bCs/>
          <w:sz w:val="24"/>
          <w:szCs w:val="24"/>
          <w:lang w:val="es-PE"/>
        </w:rPr>
        <w:t>Omar Alfaro Villanueva – Vocal</w:t>
      </w:r>
    </w:p>
    <w:p w:rsidRPr="00E1040C" w:rsidR="007543CD" w:rsidP="007543CD" w:rsidRDefault="007543CD" w14:paraId="69BFE54F" w14:textId="77777777">
      <w:pPr>
        <w:spacing w:after="0" w:line="360" w:lineRule="auto"/>
        <w:jc w:val="center"/>
        <w:rPr>
          <w:rFonts w:ascii="Times New Roman" w:hAnsi="Times New Roman" w:cs="Times New Roman"/>
          <w:sz w:val="24"/>
          <w:szCs w:val="24"/>
          <w:lang w:val="es-PE"/>
        </w:rPr>
      </w:pPr>
      <w:r w:rsidRPr="00E1040C">
        <w:rPr>
          <w:rFonts w:ascii="Times New Roman" w:hAnsi="Times New Roman" w:cs="Times New Roman"/>
          <w:b/>
          <w:bCs/>
          <w:sz w:val="24"/>
          <w:szCs w:val="24"/>
          <w:lang w:val="es-PE"/>
        </w:rPr>
        <w:t>Gonzalo Abad del Busto – Vocal</w:t>
      </w:r>
    </w:p>
    <w:p w:rsidRPr="00E1040C" w:rsidR="00986F0C" w:rsidP="00556526" w:rsidRDefault="00986F0C" w14:paraId="412CCBAA" w14:textId="77777777">
      <w:pPr>
        <w:spacing w:after="0" w:line="360" w:lineRule="auto"/>
        <w:jc w:val="center"/>
        <w:rPr>
          <w:rFonts w:ascii="Times New Roman" w:hAnsi="Times New Roman" w:cs="Times New Roman"/>
          <w:b/>
          <w:bCs/>
          <w:sz w:val="24"/>
          <w:szCs w:val="24"/>
          <w:lang w:val="es-PE"/>
        </w:rPr>
      </w:pPr>
    </w:p>
    <w:p w:rsidRPr="00FA1290" w:rsidR="00C6662D" w:rsidP="00C6662D" w:rsidRDefault="00C6662D" w14:paraId="14DFBF1F" w14:textId="77777777">
      <w:pPr>
        <w:spacing w:after="0" w:line="360" w:lineRule="auto"/>
        <w:rPr>
          <w:rFonts w:ascii="Times New Roman" w:hAnsi="Times New Roman" w:cs="Times New Roman"/>
          <w:b/>
          <w:bCs/>
          <w:sz w:val="24"/>
          <w:szCs w:val="24"/>
          <w:lang w:val="es-PE"/>
        </w:rPr>
      </w:pPr>
    </w:p>
    <w:p w:rsidRPr="00FA1290" w:rsidR="00556526" w:rsidP="00B17E56" w:rsidRDefault="00556526" w14:paraId="5D853B0D" w14:textId="088DF411">
      <w:pPr>
        <w:jc w:val="both"/>
        <w:rPr>
          <w:rFonts w:ascii="Times New Roman" w:hAnsi="Times New Roman" w:cs="Times New Roman"/>
          <w:b/>
          <w:bCs/>
          <w:i/>
          <w:iCs/>
          <w:sz w:val="24"/>
          <w:szCs w:val="24"/>
          <w:lang w:val="es-ES_tradnl"/>
        </w:rPr>
      </w:pPr>
    </w:p>
    <w:p w:rsidRPr="00FA129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29673E"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29673E" w:rsidR="00C671F5" w:rsidSect="00433E6D">
      <w:headerReference w:type="default" r:id="rId12"/>
      <w:footerReference w:type="defaul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33E6D" w:rsidP="00784355" w:rsidRDefault="00433E6D" w14:paraId="6E104BE5" w14:textId="77777777">
      <w:pPr>
        <w:spacing w:after="0" w:line="240" w:lineRule="auto"/>
      </w:pPr>
      <w:r>
        <w:separator/>
      </w:r>
    </w:p>
  </w:endnote>
  <w:endnote w:type="continuationSeparator" w:id="0">
    <w:p w:rsidR="00433E6D" w:rsidP="00784355" w:rsidRDefault="00433E6D" w14:paraId="66265F5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33E6D" w:rsidP="00784355" w:rsidRDefault="00433E6D" w14:paraId="2EC26627" w14:textId="77777777">
      <w:pPr>
        <w:spacing w:after="0" w:line="240" w:lineRule="auto"/>
      </w:pPr>
      <w:r>
        <w:separator/>
      </w:r>
    </w:p>
  </w:footnote>
  <w:footnote w:type="continuationSeparator" w:id="0">
    <w:p w:rsidR="00433E6D" w:rsidP="00784355" w:rsidRDefault="00433E6D" w14:paraId="0C56885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69E223E"/>
    <w:multiLevelType w:val="hybridMultilevel"/>
    <w:tmpl w:val="9796CE2C"/>
    <w:lvl w:ilvl="0" w:tplc="21E0F11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69B053D"/>
    <w:multiLevelType w:val="hybridMultilevel"/>
    <w:tmpl w:val="6ECE2FB8"/>
    <w:lvl w:ilvl="0" w:tplc="6A6E9CF8">
      <w:start w:val="1"/>
      <w:numFmt w:val="lowerRoman"/>
      <w:lvlText w:val="(%1)"/>
      <w:lvlJc w:val="left"/>
      <w:pPr>
        <w:ind w:left="1440" w:hanging="108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7"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7A863400"/>
    <w:multiLevelType w:val="hybridMultilevel"/>
    <w:tmpl w:val="9CDC3A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22"/>
  </w:num>
  <w:num w:numId="3" w16cid:durableId="333261791">
    <w:abstractNumId w:val="20"/>
  </w:num>
  <w:num w:numId="4" w16cid:durableId="1770345525">
    <w:abstractNumId w:val="19"/>
  </w:num>
  <w:num w:numId="5" w16cid:durableId="1816144979">
    <w:abstractNumId w:val="21"/>
  </w:num>
  <w:num w:numId="6" w16cid:durableId="1304313350">
    <w:abstractNumId w:val="0"/>
  </w:num>
  <w:num w:numId="7" w16cid:durableId="166828809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3"/>
  </w:num>
  <w:num w:numId="17" w16cid:durableId="17998823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2476108">
    <w:abstractNumId w:val="10"/>
  </w:num>
  <w:num w:numId="26" w16cid:durableId="2108460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238257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00258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33F1"/>
    <w:rsid w:val="0004480C"/>
    <w:rsid w:val="000512AD"/>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40F"/>
    <w:rsid w:val="00171DF3"/>
    <w:rsid w:val="00174918"/>
    <w:rsid w:val="001749D2"/>
    <w:rsid w:val="00174DA5"/>
    <w:rsid w:val="00181908"/>
    <w:rsid w:val="00181DCE"/>
    <w:rsid w:val="00187BFD"/>
    <w:rsid w:val="0019385F"/>
    <w:rsid w:val="00196365"/>
    <w:rsid w:val="001A008A"/>
    <w:rsid w:val="001A3395"/>
    <w:rsid w:val="001A43EC"/>
    <w:rsid w:val="001A44E1"/>
    <w:rsid w:val="001A5178"/>
    <w:rsid w:val="001A555F"/>
    <w:rsid w:val="001B1E59"/>
    <w:rsid w:val="001B3EE9"/>
    <w:rsid w:val="001B552A"/>
    <w:rsid w:val="001B58A3"/>
    <w:rsid w:val="001C052B"/>
    <w:rsid w:val="001C3A70"/>
    <w:rsid w:val="001D0EED"/>
    <w:rsid w:val="001D59D9"/>
    <w:rsid w:val="001D6136"/>
    <w:rsid w:val="001E119C"/>
    <w:rsid w:val="001E6657"/>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10A0"/>
    <w:rsid w:val="00294D98"/>
    <w:rsid w:val="00295828"/>
    <w:rsid w:val="0029673E"/>
    <w:rsid w:val="002A31D3"/>
    <w:rsid w:val="002A3D36"/>
    <w:rsid w:val="002A7E2E"/>
    <w:rsid w:val="002B726E"/>
    <w:rsid w:val="002C2A0F"/>
    <w:rsid w:val="002C6367"/>
    <w:rsid w:val="002D0DB0"/>
    <w:rsid w:val="002D3B01"/>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D69D8"/>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33E6D"/>
    <w:rsid w:val="00440BC2"/>
    <w:rsid w:val="00444232"/>
    <w:rsid w:val="00444DE9"/>
    <w:rsid w:val="00460C30"/>
    <w:rsid w:val="00465FB9"/>
    <w:rsid w:val="00466302"/>
    <w:rsid w:val="0046647B"/>
    <w:rsid w:val="0047370C"/>
    <w:rsid w:val="0047522D"/>
    <w:rsid w:val="00476BA1"/>
    <w:rsid w:val="00490898"/>
    <w:rsid w:val="00495D9A"/>
    <w:rsid w:val="00496A1A"/>
    <w:rsid w:val="004A183E"/>
    <w:rsid w:val="004A3E25"/>
    <w:rsid w:val="004A41F6"/>
    <w:rsid w:val="004A718F"/>
    <w:rsid w:val="004B155C"/>
    <w:rsid w:val="004B27E2"/>
    <w:rsid w:val="004B51ED"/>
    <w:rsid w:val="004C1C34"/>
    <w:rsid w:val="004C34ED"/>
    <w:rsid w:val="004C51EC"/>
    <w:rsid w:val="004C5A91"/>
    <w:rsid w:val="004D05F2"/>
    <w:rsid w:val="004E65DD"/>
    <w:rsid w:val="004F0319"/>
    <w:rsid w:val="004F549E"/>
    <w:rsid w:val="00504C79"/>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20B3"/>
    <w:rsid w:val="005948EF"/>
    <w:rsid w:val="00597430"/>
    <w:rsid w:val="005A0A0B"/>
    <w:rsid w:val="005A0B70"/>
    <w:rsid w:val="005A40A4"/>
    <w:rsid w:val="005A782D"/>
    <w:rsid w:val="005B2924"/>
    <w:rsid w:val="005C3266"/>
    <w:rsid w:val="005C524E"/>
    <w:rsid w:val="005C5AB9"/>
    <w:rsid w:val="005C6AB8"/>
    <w:rsid w:val="005D3E68"/>
    <w:rsid w:val="005D5F88"/>
    <w:rsid w:val="005E0EC2"/>
    <w:rsid w:val="005E17C2"/>
    <w:rsid w:val="005E2CBE"/>
    <w:rsid w:val="005E4870"/>
    <w:rsid w:val="005E7D24"/>
    <w:rsid w:val="005F220A"/>
    <w:rsid w:val="005F4C97"/>
    <w:rsid w:val="006043E9"/>
    <w:rsid w:val="00605902"/>
    <w:rsid w:val="00606105"/>
    <w:rsid w:val="00613A39"/>
    <w:rsid w:val="00622ABC"/>
    <w:rsid w:val="00623204"/>
    <w:rsid w:val="00624034"/>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543CD"/>
    <w:rsid w:val="00761F1D"/>
    <w:rsid w:val="00763A24"/>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2721"/>
    <w:rsid w:val="007B3958"/>
    <w:rsid w:val="007C14D0"/>
    <w:rsid w:val="007C1A22"/>
    <w:rsid w:val="007C213D"/>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024E8"/>
    <w:rsid w:val="009117F7"/>
    <w:rsid w:val="009127A6"/>
    <w:rsid w:val="0091528B"/>
    <w:rsid w:val="009157B1"/>
    <w:rsid w:val="0091648F"/>
    <w:rsid w:val="00917CAF"/>
    <w:rsid w:val="009271BE"/>
    <w:rsid w:val="009272D7"/>
    <w:rsid w:val="009305A8"/>
    <w:rsid w:val="00933532"/>
    <w:rsid w:val="00942733"/>
    <w:rsid w:val="00942B53"/>
    <w:rsid w:val="00943343"/>
    <w:rsid w:val="00946694"/>
    <w:rsid w:val="00950AD3"/>
    <w:rsid w:val="00951B42"/>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1062"/>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72A35"/>
    <w:rsid w:val="00A734AD"/>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4C86"/>
    <w:rsid w:val="00AC4CF3"/>
    <w:rsid w:val="00AC5A9E"/>
    <w:rsid w:val="00AD1FEC"/>
    <w:rsid w:val="00AD2DF1"/>
    <w:rsid w:val="00AE3EA8"/>
    <w:rsid w:val="00AE4125"/>
    <w:rsid w:val="00AE58A1"/>
    <w:rsid w:val="00AE6BD5"/>
    <w:rsid w:val="00AF1C99"/>
    <w:rsid w:val="00AF5E87"/>
    <w:rsid w:val="00B00552"/>
    <w:rsid w:val="00B02BEE"/>
    <w:rsid w:val="00B033A5"/>
    <w:rsid w:val="00B10C38"/>
    <w:rsid w:val="00B11C1C"/>
    <w:rsid w:val="00B129BC"/>
    <w:rsid w:val="00B12E7A"/>
    <w:rsid w:val="00B13613"/>
    <w:rsid w:val="00B17BD8"/>
    <w:rsid w:val="00B17E56"/>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2152"/>
    <w:rsid w:val="00BB2BE0"/>
    <w:rsid w:val="00BB405B"/>
    <w:rsid w:val="00BB4B19"/>
    <w:rsid w:val="00BC29D0"/>
    <w:rsid w:val="00BD33F4"/>
    <w:rsid w:val="00BD797F"/>
    <w:rsid w:val="00BE1470"/>
    <w:rsid w:val="00BE695C"/>
    <w:rsid w:val="00BE7C72"/>
    <w:rsid w:val="00BF1421"/>
    <w:rsid w:val="00BF414E"/>
    <w:rsid w:val="00BF78BF"/>
    <w:rsid w:val="00C00BBF"/>
    <w:rsid w:val="00C02CC4"/>
    <w:rsid w:val="00C04AA4"/>
    <w:rsid w:val="00C05445"/>
    <w:rsid w:val="00C12CBD"/>
    <w:rsid w:val="00C134DB"/>
    <w:rsid w:val="00C16D8A"/>
    <w:rsid w:val="00C17221"/>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4213"/>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5683"/>
    <w:rsid w:val="00D27042"/>
    <w:rsid w:val="00D3103B"/>
    <w:rsid w:val="00D322D9"/>
    <w:rsid w:val="00D4055D"/>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94B2D"/>
    <w:rsid w:val="00DA0540"/>
    <w:rsid w:val="00DA2840"/>
    <w:rsid w:val="00DA4030"/>
    <w:rsid w:val="00DB15FD"/>
    <w:rsid w:val="00DB3DD5"/>
    <w:rsid w:val="00DB5079"/>
    <w:rsid w:val="00DB58EC"/>
    <w:rsid w:val="00DB7347"/>
    <w:rsid w:val="00DB74D5"/>
    <w:rsid w:val="00DC399B"/>
    <w:rsid w:val="00DD0F92"/>
    <w:rsid w:val="00DD5E2B"/>
    <w:rsid w:val="00DE4BF9"/>
    <w:rsid w:val="00DE585A"/>
    <w:rsid w:val="00DF0424"/>
    <w:rsid w:val="00DF3781"/>
    <w:rsid w:val="00DF6E69"/>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B1C7E"/>
    <w:rsid w:val="00EC19C1"/>
    <w:rsid w:val="00EC283A"/>
    <w:rsid w:val="00EC3551"/>
    <w:rsid w:val="00EC7271"/>
    <w:rsid w:val="00ED2086"/>
    <w:rsid w:val="00ED38AF"/>
    <w:rsid w:val="00ED60A1"/>
    <w:rsid w:val="00ED6123"/>
    <w:rsid w:val="00EE1C4A"/>
    <w:rsid w:val="00EE2F04"/>
    <w:rsid w:val="00EE3E0F"/>
    <w:rsid w:val="00EE556A"/>
    <w:rsid w:val="00EE6D21"/>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F97"/>
    <w:rsid w:val="00F439B5"/>
    <w:rsid w:val="00F52E75"/>
    <w:rsid w:val="00F54C75"/>
    <w:rsid w:val="00F57DED"/>
    <w:rsid w:val="00F60A18"/>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290"/>
    <w:rsid w:val="00FA155E"/>
    <w:rsid w:val="00FA2322"/>
    <w:rsid w:val="00FA31B9"/>
    <w:rsid w:val="00FA55D5"/>
    <w:rsid w:val="00FB297F"/>
    <w:rsid w:val="00FB4B0C"/>
    <w:rsid w:val="00FC0D10"/>
    <w:rsid w:val="00FC1934"/>
    <w:rsid w:val="00FD308B"/>
    <w:rsid w:val="00FE38F0"/>
    <w:rsid w:val="00FE43A9"/>
    <w:rsid w:val="00FE6588"/>
    <w:rsid w:val="00FE73F3"/>
    <w:rsid w:val="00FF11AC"/>
    <w:rsid w:val="00FF3F82"/>
    <w:rsid w:val="00FF41F3"/>
    <w:rsid w:val="0399AEBB"/>
    <w:rsid w:val="1C29B86A"/>
    <w:rsid w:val="21A03604"/>
    <w:rsid w:val="270B66B4"/>
    <w:rsid w:val="2916247A"/>
    <w:rsid w:val="31096622"/>
    <w:rsid w:val="34917DE3"/>
    <w:rsid w:val="355FE911"/>
    <w:rsid w:val="3B16F14E"/>
    <w:rsid w:val="42A06878"/>
    <w:rsid w:val="5CAFAE01"/>
    <w:rsid w:val="70A05B81"/>
    <w:rsid w:val="7267ED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0591EC66-F2A3-42D5-BD76-94DB14D1A836}"/>
</file>

<file path=customXml/itemProps3.xml><?xml version="1.0" encoding="utf-8"?>
<ds:datastoreItem xmlns:ds="http://schemas.openxmlformats.org/officeDocument/2006/customXml" ds:itemID="{D6380DC4-7301-47E6-A8F5-8A62F7F76D1E}"/>
</file>

<file path=customXml/itemProps4.xml><?xml version="1.0" encoding="utf-8"?>
<ds:datastoreItem xmlns:ds="http://schemas.openxmlformats.org/officeDocument/2006/customXml" ds:itemID="{A73B7C04-7D18-4A2B-B854-91468DEB367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269</cp:revision>
  <cp:lastPrinted>2024-04-17T15:54:00Z</cp:lastPrinted>
  <dcterms:created xsi:type="dcterms:W3CDTF">2023-02-14T22:37:00Z</dcterms:created>
  <dcterms:modified xsi:type="dcterms:W3CDTF">2025-12-04T20:56:52Z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