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07C65" w:rsidR="00707C99" w:rsidP="00272F4F" w:rsidRDefault="00201C0D" w14:paraId="19FE0E96" w14:textId="0EAC0815">
      <w:pPr>
        <w:spacing w:after="0" w:line="240" w:lineRule="auto"/>
        <w:jc w:val="center"/>
        <w:rPr>
          <w:rFonts w:ascii="Times New Roman" w:hAnsi="Times New Roman" w:cs="Times New Roman"/>
          <w:b/>
          <w:sz w:val="23"/>
          <w:szCs w:val="23"/>
          <w:lang w:val="es-PE" w:eastAsia="ar-SA"/>
        </w:rPr>
      </w:pPr>
      <w:r w:rsidRPr="00307C65">
        <w:rPr>
          <w:rFonts w:ascii="Times New Roman" w:hAnsi="Times New Roman" w:cs="Times New Roman"/>
          <w:b/>
          <w:sz w:val="23"/>
          <w:szCs w:val="23"/>
          <w:lang w:val="es-PE" w:eastAsia="ar-SA"/>
        </w:rPr>
        <w:t xml:space="preserve">RESOLUCIÓN DE RECURSO IMPUGNATIVO </w:t>
      </w:r>
      <w:r w:rsidRPr="00307C65" w:rsidR="00707C99">
        <w:rPr>
          <w:rFonts w:ascii="Times New Roman" w:hAnsi="Times New Roman" w:cs="Times New Roman"/>
          <w:b/>
          <w:sz w:val="23"/>
          <w:szCs w:val="23"/>
          <w:lang w:val="es-PE" w:eastAsia="ar-SA"/>
        </w:rPr>
        <w:t xml:space="preserve">N° </w:t>
      </w:r>
      <w:r w:rsidRPr="00307C65" w:rsidR="00516293">
        <w:rPr>
          <w:rFonts w:ascii="Times New Roman" w:hAnsi="Times New Roman" w:cs="Times New Roman"/>
          <w:b/>
          <w:sz w:val="23"/>
          <w:szCs w:val="23"/>
          <w:lang w:val="es-PE" w:eastAsia="ar-SA"/>
        </w:rPr>
        <w:t>0</w:t>
      </w:r>
      <w:r w:rsidRPr="00307C65" w:rsidR="000433F1">
        <w:rPr>
          <w:rFonts w:ascii="Times New Roman" w:hAnsi="Times New Roman" w:cs="Times New Roman"/>
          <w:b/>
          <w:sz w:val="23"/>
          <w:szCs w:val="23"/>
          <w:lang w:val="es-PE" w:eastAsia="ar-SA"/>
        </w:rPr>
        <w:t>1</w:t>
      </w:r>
      <w:r w:rsidRPr="00307C65" w:rsidR="004D5FA7">
        <w:rPr>
          <w:rFonts w:ascii="Times New Roman" w:hAnsi="Times New Roman" w:cs="Times New Roman"/>
          <w:b/>
          <w:sz w:val="23"/>
          <w:szCs w:val="23"/>
          <w:lang w:val="es-PE" w:eastAsia="ar-SA"/>
        </w:rPr>
        <w:t>4</w:t>
      </w:r>
      <w:r w:rsidRPr="00307C65" w:rsidR="00C671F5">
        <w:rPr>
          <w:rFonts w:ascii="Times New Roman" w:hAnsi="Times New Roman" w:cs="Times New Roman"/>
          <w:b/>
          <w:sz w:val="23"/>
          <w:szCs w:val="23"/>
          <w:lang w:val="es-PE" w:eastAsia="ar-SA"/>
        </w:rPr>
        <w:t>/2</w:t>
      </w:r>
      <w:r w:rsidRPr="00307C65" w:rsidR="00543015">
        <w:rPr>
          <w:rFonts w:ascii="Times New Roman" w:hAnsi="Times New Roman" w:cs="Times New Roman"/>
          <w:b/>
          <w:sz w:val="23"/>
          <w:szCs w:val="23"/>
          <w:lang w:val="es-PE" w:eastAsia="ar-SA"/>
        </w:rPr>
        <w:t>4</w:t>
      </w:r>
    </w:p>
    <w:p w:rsidRPr="00307C65" w:rsidR="00087B10" w:rsidP="00087B10" w:rsidRDefault="00087B10" w14:paraId="184D9433" w14:textId="77777777">
      <w:pPr>
        <w:spacing w:after="0" w:line="240" w:lineRule="auto"/>
        <w:rPr>
          <w:rFonts w:ascii="Times New Roman" w:hAnsi="Times New Roman" w:cs="Times New Roman"/>
          <w:sz w:val="23"/>
          <w:szCs w:val="23"/>
          <w:lang w:val="es-PE"/>
        </w:rPr>
      </w:pPr>
    </w:p>
    <w:p w:rsidRPr="00307C65" w:rsidR="00307C65" w:rsidP="00307C65" w:rsidRDefault="00307C65" w14:paraId="25E4F555" w14:textId="77777777">
      <w:pPr>
        <w:jc w:val="both"/>
        <w:outlineLvl w:val="0"/>
        <w:rPr>
          <w:rFonts w:ascii="Times New Roman" w:hAnsi="Times New Roman" w:cs="Times New Roman"/>
          <w:b/>
          <w:bCs/>
          <w:sz w:val="23"/>
          <w:szCs w:val="23"/>
          <w:lang w:val="es-MX"/>
        </w:rPr>
      </w:pPr>
      <w:r w:rsidRPr="00307C65">
        <w:rPr>
          <w:rFonts w:ascii="Times New Roman" w:hAnsi="Times New Roman" w:cs="Times New Roman"/>
          <w:b/>
          <w:bCs/>
          <w:sz w:val="23"/>
          <w:szCs w:val="23"/>
          <w:lang w:val="es-MX"/>
        </w:rPr>
        <w:t>VISTOS:</w:t>
      </w:r>
    </w:p>
    <w:p w:rsidRPr="00307C65" w:rsidR="00307C65" w:rsidP="00307C65" w:rsidRDefault="00307C65" w14:paraId="5BA49312" w14:textId="73F3FC29">
      <w:pPr>
        <w:jc w:val="both"/>
        <w:outlineLvl w:val="0"/>
        <w:rPr>
          <w:rFonts w:ascii="Times New Roman" w:hAnsi="Times New Roman" w:cs="Times New Roman"/>
          <w:b w:val="1"/>
          <w:bCs w:val="1"/>
          <w:sz w:val="23"/>
          <w:szCs w:val="23"/>
          <w:lang w:val="es-PE"/>
        </w:rPr>
      </w:pPr>
      <w:r w:rsidRPr="1174BFF1" w:rsidR="00307C65">
        <w:rPr>
          <w:rFonts w:ascii="Times New Roman" w:hAnsi="Times New Roman" w:cs="Times New Roman"/>
          <w:sz w:val="23"/>
          <w:szCs w:val="23"/>
          <w:lang w:val="es-PE"/>
        </w:rPr>
        <w:t xml:space="preserve">El recurso de impugnación presentado por </w:t>
      </w:r>
      <w:r w:rsidRPr="1174BFF1" w:rsidR="3F28C83D">
        <w:rPr>
          <w:rFonts w:ascii="Times New Roman" w:hAnsi="Times New Roman" w:cs="Times New Roman"/>
          <w:b w:val="1"/>
          <w:bCs w:val="1"/>
          <w:sz w:val="23"/>
          <w:szCs w:val="23"/>
          <w:lang w:val="es-PE"/>
        </w:rPr>
        <w:t>..................................</w:t>
      </w:r>
      <w:r w:rsidRPr="1174BFF1" w:rsidR="00307C65">
        <w:rPr>
          <w:rFonts w:ascii="Times New Roman" w:hAnsi="Times New Roman" w:cs="Times New Roman"/>
          <w:b w:val="1"/>
          <w:bCs w:val="1"/>
          <w:sz w:val="23"/>
          <w:szCs w:val="23"/>
          <w:lang w:val="es-PE"/>
        </w:rPr>
        <w:t xml:space="preserve"> </w:t>
      </w:r>
      <w:r w:rsidRPr="1174BFF1" w:rsidR="00307C65">
        <w:rPr>
          <w:rFonts w:ascii="Times New Roman" w:hAnsi="Times New Roman" w:cs="Times New Roman"/>
          <w:sz w:val="23"/>
          <w:szCs w:val="23"/>
          <w:lang w:val="es-PE"/>
        </w:rPr>
        <w:t xml:space="preserve">respecto de la Resolución Nro. 047/24, expedida por el Órgano Resolutivo Unipersonal de esta Defensoría del Asegurado (DEFASEG), conforme a la cual se declaró </w:t>
      </w:r>
      <w:r w:rsidRPr="1174BFF1" w:rsidR="00307C65">
        <w:rPr>
          <w:rFonts w:ascii="Times New Roman" w:hAnsi="Times New Roman" w:cs="Times New Roman"/>
          <w:b w:val="1"/>
          <w:bCs w:val="1"/>
          <w:sz w:val="23"/>
          <w:szCs w:val="23"/>
          <w:lang w:val="es-PE"/>
        </w:rPr>
        <w:t xml:space="preserve">FUNDADA </w:t>
      </w:r>
      <w:r w:rsidRPr="1174BFF1" w:rsidR="00307C65">
        <w:rPr>
          <w:rFonts w:ascii="Times New Roman" w:hAnsi="Times New Roman" w:cs="Times New Roman"/>
          <w:sz w:val="23"/>
          <w:szCs w:val="23"/>
          <w:lang w:val="es-PE"/>
        </w:rPr>
        <w:t>la reclamación interpuesta por</w:t>
      </w:r>
      <w:r w:rsidRPr="1174BFF1" w:rsidR="00307C65">
        <w:rPr>
          <w:rFonts w:ascii="Times New Roman" w:hAnsi="Times New Roman" w:cs="Times New Roman"/>
          <w:b w:val="1"/>
          <w:bCs w:val="1"/>
          <w:sz w:val="23"/>
          <w:szCs w:val="23"/>
          <w:lang w:val="es-PE"/>
        </w:rPr>
        <w:t xml:space="preserve"> </w:t>
      </w:r>
      <w:r w:rsidRPr="1174BFF1" w:rsidR="1772FFD0">
        <w:rPr>
          <w:rFonts w:ascii="Times New Roman" w:hAnsi="Times New Roman" w:cs="Times New Roman"/>
          <w:b w:val="1"/>
          <w:bCs w:val="1"/>
          <w:sz w:val="23"/>
          <w:szCs w:val="23"/>
          <w:lang w:val="es-PE"/>
        </w:rPr>
        <w:t>.........................................</w:t>
      </w:r>
      <w:r w:rsidRPr="1174BFF1" w:rsidR="00307C65">
        <w:rPr>
          <w:rFonts w:ascii="Times New Roman" w:hAnsi="Times New Roman" w:cs="Times New Roman"/>
          <w:b w:val="1"/>
          <w:bCs w:val="1"/>
          <w:sz w:val="23"/>
          <w:szCs w:val="23"/>
          <w:lang w:val="es-PE"/>
        </w:rPr>
        <w:t xml:space="preserve"> </w:t>
      </w:r>
      <w:r w:rsidRPr="1174BFF1" w:rsidR="00307C65">
        <w:rPr>
          <w:rFonts w:ascii="Times New Roman" w:hAnsi="Times New Roman" w:cs="Times New Roman"/>
          <w:sz w:val="23"/>
          <w:szCs w:val="23"/>
          <w:lang w:val="es-PE"/>
        </w:rPr>
        <w:t xml:space="preserve">respecto al </w:t>
      </w:r>
      <w:r w:rsidRPr="1174BFF1" w:rsidR="00307C65">
        <w:rPr>
          <w:rFonts w:ascii="Times New Roman" w:hAnsi="Times New Roman" w:cs="Times New Roman"/>
          <w:b w:val="1"/>
          <w:bCs w:val="1"/>
          <w:sz w:val="23"/>
          <w:szCs w:val="23"/>
          <w:lang w:val="es-PE"/>
        </w:rPr>
        <w:t xml:space="preserve">SEGURO DE PROTECCIÓN DE TARJETAS 360° CERTIFICADO </w:t>
      </w:r>
      <w:r w:rsidRPr="1174BFF1" w:rsidR="00307C65">
        <w:rPr>
          <w:rFonts w:ascii="Times New Roman" w:hAnsi="Times New Roman" w:cs="Times New Roman"/>
          <w:b w:val="1"/>
          <w:bCs w:val="1"/>
          <w:sz w:val="23"/>
          <w:szCs w:val="23"/>
          <w:lang w:val="es-PE"/>
        </w:rPr>
        <w:t>N°</w:t>
      </w:r>
      <w:r w:rsidRPr="1174BFF1" w:rsidR="00307C65">
        <w:rPr>
          <w:rFonts w:ascii="Times New Roman" w:hAnsi="Times New Roman" w:cs="Times New Roman"/>
          <w:b w:val="1"/>
          <w:bCs w:val="1"/>
          <w:sz w:val="23"/>
          <w:szCs w:val="23"/>
          <w:lang w:val="es-PE"/>
        </w:rPr>
        <w:t xml:space="preserve"> </w:t>
      </w:r>
      <w:r w:rsidRPr="1174BFF1" w:rsidR="3D5742BC">
        <w:rPr>
          <w:rFonts w:ascii="Times New Roman" w:hAnsi="Times New Roman" w:cs="Times New Roman"/>
          <w:b w:val="1"/>
          <w:bCs w:val="1"/>
          <w:sz w:val="23"/>
          <w:szCs w:val="23"/>
          <w:lang w:val="es-PE"/>
        </w:rPr>
        <w:t>.........................</w:t>
      </w:r>
      <w:r w:rsidRPr="1174BFF1" w:rsidR="00307C65">
        <w:rPr>
          <w:rFonts w:ascii="Times New Roman" w:hAnsi="Times New Roman" w:cs="Times New Roman"/>
          <w:b w:val="1"/>
          <w:bCs w:val="1"/>
          <w:sz w:val="23"/>
          <w:szCs w:val="23"/>
          <w:lang w:val="es-PE"/>
        </w:rPr>
        <w:t>.</w:t>
      </w:r>
    </w:p>
    <w:p w:rsidRPr="00307C65" w:rsidR="00307C65" w:rsidP="00307C65" w:rsidRDefault="00307C65" w14:paraId="53AB0788" w14:textId="7C89091F">
      <w:pPr>
        <w:jc w:val="both"/>
        <w:outlineLvl w:val="0"/>
        <w:rPr>
          <w:rFonts w:ascii="Times New Roman" w:hAnsi="Times New Roman" w:cs="Times New Roman"/>
          <w:sz w:val="23"/>
          <w:szCs w:val="23"/>
          <w:lang w:val="es-PE"/>
        </w:rPr>
      </w:pPr>
      <w:r w:rsidRPr="1174BFF1" w:rsidR="00307C65">
        <w:rPr>
          <w:rFonts w:ascii="Times New Roman" w:hAnsi="Times New Roman" w:cs="Times New Roman"/>
          <w:sz w:val="23"/>
          <w:szCs w:val="23"/>
          <w:lang w:val="es-PE"/>
        </w:rPr>
        <w:t xml:space="preserve">Que, el indicado recurso se sustenta resumidamente en lo siguiente: a) mediante la Resolución materia de apelación, su Despacho concluyó que nuestra compañía no habría cumplido con demostrar la forma en la cual la denuncia policial interpuesta en un plazo mayor al previsto contractualmente influye en el alcance de las obligaciones derivadas del contrato de seguro, en la medida que no se podría sostener que la denuncia extemporánea genera un perjuicio; b) las cargas contractualmente contenidas en las pólizas y certificados de seguro tienen por objeto ser reglas de conducta cuyo cumplimiento es responsabilidad del asegurado, y que suele penalizarse porque obstaculiza o dificulta la determinación de las circunstancias y consecuencias del siniestro; c) tratándose de una póliza o seguro de protección de tarjeta, que es un producto expuesto a simulación o fraude, requiere cuando menos que las cargas sean razonables, como en el presente caso, al requerirse la constancia oficial de la ocurrencia de un evento; d)  la carga que nos ocupa no es considerada una cláusula abusiva ni mucho menos una estipulación prohibida de conformidad con la Ley del Contrato de Seguro, sino que su exigencia es consistente con la proporcionalidad del riesgo relacionado con el producto, además de no ser una regla excesivamente difícil o imposible de ser ejecutada; d) que los asegurados presenten la denuncia policial fuera del plazo establecido nos genera un perjuicio, en la medida que estamos ante un claro incumplimiento contractual, con el agravante de que la falta de aviso o de denuncia influye en la verificación o determinación del siniestro, respecto de las circunstancias (participación del asegurado en el evento, por dolo o negligencia, causales como ebriedad, entre otras), además de perjudicar la posibilidad de determinar el monto involucrado en el siniestro; e) concluir que la presentación de la denuncia policial es solo una formalidad o una exigencia excesiva podría generar que se abran paso a fraudes y/o simulaciones que afectarán únicamente la siniestralidad del producto del ramo que nos ocupa, además de una serie de casos de fraude, con el efecto que ello finalmente tiene en el precio final del producto y en el acceso que a </w:t>
      </w:r>
      <w:r w:rsidRPr="1174BFF1" w:rsidR="00307C65">
        <w:rPr>
          <w:rFonts w:ascii="Times New Roman" w:hAnsi="Times New Roman" w:cs="Times New Roman"/>
          <w:sz w:val="23"/>
          <w:szCs w:val="23"/>
          <w:lang w:val="es-PE"/>
        </w:rPr>
        <w:t>el</w:t>
      </w:r>
      <w:r w:rsidRPr="1174BFF1" w:rsidR="00307C65">
        <w:rPr>
          <w:rFonts w:ascii="Times New Roman" w:hAnsi="Times New Roman" w:cs="Times New Roman"/>
          <w:sz w:val="23"/>
          <w:szCs w:val="23"/>
          <w:lang w:val="es-PE"/>
        </w:rPr>
        <w:t xml:space="preserve"> tendrían los asegurados; f) la denuncia policial es el único documento por el cual nuestra compañía puede evidenciar los hechos ocurridos y, la presentación tardía de esta solo podrá obedecer a una fuerza mayor, debidamente acreditada, que impida al asegurado interponerla dentro del plazo establecido, más aún si se tiene en cuenta que el plazo transcurrido en el caso en concreto  es excesivo, habiendo transcurrido veintiocho  (28) horas desde el evento hasta el  momento que se interpuso la denuncia; g) no se ha valorado el excesivo plazo entre el evento ocurrido y la interposición de la denuncia y como este configura una abierta infracción a las disposiciones contractuales; h) se debe considerar la posición asumida por el Instituto Nacional de Defensa de la Competencia y de la Protección de la Propiedad Intelectual – INDECOPI en casos similares,  en los cuales rechazó la cobertura en la medida que la denuncia fue presentada de forma extemporánea, resolviéndose con el archivo del procedimiento administrativo sancionador, en tanto queda acreditado que la solicitud de cobertura de protección de tarjeta presentada por la parte denunciante fue denegada de manera justificada al existir un incumplimiento de las obligaciones del asegurado para solicitar la cobertura del siniestro; i) la principal obligación </w:t>
      </w:r>
      <w:r w:rsidRPr="1174BFF1" w:rsidR="00307C65">
        <w:rPr>
          <w:rFonts w:ascii="Times New Roman" w:hAnsi="Times New Roman" w:cs="Times New Roman"/>
          <w:sz w:val="23"/>
          <w:szCs w:val="23"/>
          <w:lang w:val="es-PE"/>
        </w:rPr>
        <w:t xml:space="preserve">a cargo de la compañía de seguros consiste en cumplir con la cobertura del siniestro una vez que este se encuentre acreditado, siempre que dicha ocurrencia pueda subsumirse dentro de los riesgos cubiertos por el contrato de seguro, sin que se incurra en alguna causal de exclusión de la cobertura contratada; i) se aprecia que </w:t>
      </w:r>
      <w:r w:rsidRPr="1174BFF1" w:rsidR="28EC00A5">
        <w:rPr>
          <w:rFonts w:ascii="Times New Roman" w:hAnsi="Times New Roman" w:cs="Times New Roman"/>
          <w:sz w:val="23"/>
          <w:szCs w:val="23"/>
          <w:lang w:val="es-PE"/>
        </w:rPr>
        <w:t>.........................</w:t>
      </w:r>
      <w:r w:rsidRPr="1174BFF1" w:rsidR="00307C65">
        <w:rPr>
          <w:rFonts w:ascii="Times New Roman" w:hAnsi="Times New Roman" w:cs="Times New Roman"/>
          <w:sz w:val="23"/>
          <w:szCs w:val="23"/>
          <w:lang w:val="es-PE"/>
        </w:rPr>
        <w:t xml:space="preserve"> denegó de manera justificada la solicitud de cobertura de siniestro presentada por el señor Riglos, pues no cumplió con presentar la denuncia policial en el plazo establecido en la póliza de seguros”; j) en resoluciones anteriores emitidas por su Despacho concluyó que la obligación de presentar la denuncia policial es una estipulación contractual válida. En efecto, la Defensoría concluyó que, si al asegurado se le informó sobre los alcances del respectivo seguro que celebró, y en especial de las cargas contractuales, la aseguradora está legitimada a oponer los términos de cobertura contratados. </w:t>
      </w:r>
    </w:p>
    <w:p w:rsidRPr="00307C65" w:rsidR="00307C65" w:rsidP="1174BFF1" w:rsidRDefault="00307C65" w14:paraId="634CDF1F" w14:textId="5C09D0C7">
      <w:pPr>
        <w:suppressAutoHyphens/>
        <w:spacing w:after="0" w:line="240" w:lineRule="auto"/>
        <w:jc w:val="both"/>
        <w:rPr>
          <w:rFonts w:ascii="Times New Roman" w:hAnsi="Times New Roman" w:eastAsia="Times New Roman" w:cs="Times New Roman"/>
          <w:sz w:val="23"/>
          <w:szCs w:val="23"/>
          <w:lang w:val="es-MX" w:eastAsia="ar-SA"/>
        </w:rPr>
      </w:pPr>
      <w:r w:rsidRPr="1174BFF1" w:rsidR="00307C65">
        <w:rPr>
          <w:rFonts w:ascii="Times New Roman" w:hAnsi="Times New Roman" w:eastAsia="Times New Roman" w:cs="Times New Roman"/>
          <w:sz w:val="23"/>
          <w:szCs w:val="23"/>
          <w:lang w:val="es-MX" w:eastAsia="ar-SA"/>
        </w:rPr>
        <w:t xml:space="preserve">Que, habiéndosele corrido traslado de la señalada impugnación, el señor </w:t>
      </w:r>
      <w:r w:rsidRPr="1174BFF1" w:rsidR="1CBCEBF1">
        <w:rPr>
          <w:rFonts w:ascii="Times New Roman" w:hAnsi="Times New Roman" w:eastAsia="Times New Roman" w:cs="Times New Roman"/>
          <w:sz w:val="23"/>
          <w:szCs w:val="23"/>
          <w:lang w:val="es-MX" w:eastAsia="ar-SA"/>
        </w:rPr>
        <w:t>.........................</w:t>
      </w:r>
      <w:r w:rsidRPr="1174BFF1" w:rsidR="00307C65">
        <w:rPr>
          <w:rFonts w:ascii="Times New Roman" w:hAnsi="Times New Roman" w:eastAsia="Times New Roman" w:cs="Times New Roman"/>
          <w:sz w:val="23"/>
          <w:szCs w:val="23"/>
          <w:lang w:val="es-MX" w:eastAsia="ar-SA"/>
        </w:rPr>
        <w:t xml:space="preserve"> no ha absuelto el trámite correspondiente.</w:t>
      </w:r>
    </w:p>
    <w:p w:rsidRPr="00307C65" w:rsidR="00307C65" w:rsidP="00307C65" w:rsidRDefault="00307C65" w14:paraId="171885A0" w14:textId="77777777">
      <w:pPr>
        <w:pStyle w:val="Textoindependiente"/>
        <w:rPr>
          <w:sz w:val="23"/>
          <w:szCs w:val="23"/>
        </w:rPr>
      </w:pPr>
    </w:p>
    <w:p w:rsidRPr="00307C65" w:rsidR="00307C65" w:rsidP="00307C65" w:rsidRDefault="00307C65" w14:paraId="22CB0B0A" w14:textId="77777777">
      <w:pPr>
        <w:pStyle w:val="Textoindependiente"/>
        <w:tabs>
          <w:tab w:val="left" w:pos="930"/>
        </w:tabs>
        <w:rPr>
          <w:sz w:val="23"/>
          <w:szCs w:val="23"/>
        </w:rPr>
      </w:pPr>
      <w:r w:rsidRPr="00307C65">
        <w:rPr>
          <w:sz w:val="23"/>
          <w:szCs w:val="23"/>
        </w:rPr>
        <w:t>Que, atendiendo a lo expuesto, esta Defensoría resuelve finalmente lo siguiente:</w:t>
      </w:r>
    </w:p>
    <w:p w:rsidRPr="00307C65" w:rsidR="00307C65" w:rsidP="00307C65" w:rsidRDefault="00307C65" w14:paraId="62735626" w14:textId="77777777">
      <w:pPr>
        <w:pStyle w:val="Textoindependiente"/>
        <w:tabs>
          <w:tab w:val="left" w:pos="930"/>
        </w:tabs>
        <w:rPr>
          <w:sz w:val="23"/>
          <w:szCs w:val="23"/>
        </w:rPr>
      </w:pPr>
    </w:p>
    <w:p w:rsidRPr="00307C65" w:rsidR="00307C65" w:rsidP="00307C65" w:rsidRDefault="00307C65" w14:paraId="7DBCCFA2" w14:textId="77777777">
      <w:pPr>
        <w:jc w:val="both"/>
        <w:rPr>
          <w:rFonts w:ascii="Times New Roman" w:hAnsi="Times New Roman" w:cs="Times New Roman"/>
          <w:sz w:val="23"/>
          <w:szCs w:val="23"/>
          <w:lang w:val="es-PE"/>
        </w:rPr>
      </w:pPr>
      <w:r w:rsidRPr="00307C65">
        <w:rPr>
          <w:rFonts w:ascii="Times New Roman" w:hAnsi="Times New Roman" w:cs="Times New Roman"/>
          <w:b/>
          <w:sz w:val="23"/>
          <w:szCs w:val="23"/>
          <w:u w:val="single"/>
          <w:lang w:val="es-PE"/>
        </w:rPr>
        <w:t>PRIMERO</w:t>
      </w:r>
      <w:r w:rsidRPr="00307C65">
        <w:rPr>
          <w:rFonts w:ascii="Times New Roman" w:hAnsi="Times New Roman" w:cs="Times New Roman"/>
          <w:b/>
          <w:sz w:val="23"/>
          <w:szCs w:val="23"/>
          <w:lang w:val="es-PE"/>
        </w:rPr>
        <w:t>:</w:t>
      </w:r>
      <w:r w:rsidRPr="00307C65">
        <w:rPr>
          <w:rFonts w:ascii="Times New Roman" w:hAnsi="Times New Roman" w:cs="Times New Roman"/>
          <w:sz w:val="23"/>
          <w:szCs w:val="23"/>
          <w:lang w:val="es-PE"/>
        </w:rPr>
        <w:t xml:space="preserve"> El artículo 10 (Procedimiento) del Reglamento de la DEFASEG </w:t>
      </w:r>
      <w:r w:rsidRPr="00307C65">
        <w:rPr>
          <w:rFonts w:ascii="Times New Roman" w:hAnsi="Times New Roman" w:eastAsia="Arial Unicode MS" w:cs="Times New Roman"/>
          <w:sz w:val="23"/>
          <w:szCs w:val="23"/>
          <w:lang w:val="es-PE"/>
        </w:rPr>
        <w:t>(http://www.defaseg.com.pe/reglamento)</w:t>
      </w:r>
      <w:r w:rsidRPr="00307C65">
        <w:rPr>
          <w:rFonts w:ascii="Times New Roman" w:hAnsi="Times New Roman" w:cs="Times New Roman"/>
          <w:sz w:val="23"/>
          <w:szCs w:val="23"/>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Pr="00307C65" w:rsidR="00307C65" w:rsidP="00307C65" w:rsidRDefault="00307C65" w14:paraId="4F768644" w14:textId="77777777">
      <w:pPr>
        <w:jc w:val="both"/>
        <w:rPr>
          <w:rFonts w:ascii="Times New Roman" w:hAnsi="Times New Roman" w:cs="Times New Roman"/>
          <w:sz w:val="23"/>
          <w:szCs w:val="23"/>
          <w:lang w:val="es-PE"/>
        </w:rPr>
      </w:pPr>
      <w:r w:rsidRPr="00307C65">
        <w:rPr>
          <w:rFonts w:ascii="Times New Roman" w:hAnsi="Times New Roman" w:cs="Times New Roman"/>
          <w:sz w:val="23"/>
          <w:szCs w:val="23"/>
          <w:lang w:val="es-PE"/>
        </w:rPr>
        <w:t>Conforme a ello, en el caso concreto, al interponer el recurso de impugnación la aseguradora ha ejercido formalmente su derecho a contradecir lo resuelto por la Defensoría.</w:t>
      </w:r>
    </w:p>
    <w:p w:rsidRPr="00307C65" w:rsidR="00307C65" w:rsidP="00307C65" w:rsidRDefault="00307C65" w14:paraId="1109C7D5" w14:textId="77777777">
      <w:pPr>
        <w:jc w:val="both"/>
        <w:rPr>
          <w:rFonts w:ascii="Times New Roman" w:hAnsi="Times New Roman" w:cs="Times New Roman"/>
          <w:sz w:val="23"/>
          <w:szCs w:val="23"/>
          <w:lang w:val="es-PE"/>
        </w:rPr>
      </w:pPr>
      <w:r w:rsidRPr="00307C65">
        <w:rPr>
          <w:rFonts w:ascii="Times New Roman" w:hAnsi="Times New Roman" w:cs="Times New Roman"/>
          <w:b/>
          <w:bCs/>
          <w:sz w:val="23"/>
          <w:szCs w:val="23"/>
          <w:u w:val="single"/>
          <w:lang w:val="es-PE"/>
        </w:rPr>
        <w:t>SEGUNDO</w:t>
      </w:r>
      <w:r w:rsidRPr="00307C65">
        <w:rPr>
          <w:rFonts w:ascii="Times New Roman" w:hAnsi="Times New Roman" w:cs="Times New Roman"/>
          <w:b/>
          <w:bCs/>
          <w:sz w:val="23"/>
          <w:szCs w:val="23"/>
          <w:lang w:val="es-PE"/>
        </w:rPr>
        <w:t>:</w:t>
      </w:r>
      <w:r w:rsidRPr="00307C65">
        <w:rPr>
          <w:rFonts w:ascii="Times New Roman" w:hAnsi="Times New Roman" w:cs="Times New Roman"/>
          <w:bCs/>
          <w:sz w:val="23"/>
          <w:szCs w:val="23"/>
          <w:lang w:val="es-PE"/>
        </w:rPr>
        <w:t xml:space="preserve"> Que el recurso de impugnación presentado por la aseguradora no se sustenta en nueva prueba sino en tratar de desvirtuar los fundamentos de la resolución impugnada, invocando que </w:t>
      </w:r>
      <w:r w:rsidRPr="00307C65">
        <w:rPr>
          <w:rFonts w:ascii="Times New Roman" w:hAnsi="Times New Roman" w:cs="Times New Roman"/>
          <w:color w:val="000000"/>
          <w:sz w:val="23"/>
          <w:szCs w:val="23"/>
          <w:lang w:val="es-PE" w:eastAsia="es-PE"/>
        </w:rPr>
        <w:t>el hecho que los asegurados presenten la denuncia policial fuera del plazo establecido en el seguro sí genera un perjuicio a la aseguradora</w:t>
      </w:r>
      <w:r w:rsidRPr="00307C65">
        <w:rPr>
          <w:rFonts w:ascii="Times New Roman" w:hAnsi="Times New Roman" w:cs="Times New Roman"/>
          <w:sz w:val="23"/>
          <w:szCs w:val="23"/>
          <w:lang w:val="es-PE"/>
        </w:rPr>
        <w:t>.</w:t>
      </w:r>
    </w:p>
    <w:p w:rsidRPr="00307C65" w:rsidR="00307C65" w:rsidP="00307C65" w:rsidRDefault="00307C65" w14:paraId="3F43E3C9" w14:textId="77777777">
      <w:pPr>
        <w:tabs>
          <w:tab w:val="left" w:pos="709"/>
          <w:tab w:val="left" w:pos="2160"/>
        </w:tabs>
        <w:jc w:val="both"/>
        <w:rPr>
          <w:rFonts w:ascii="Times New Roman" w:hAnsi="Times New Roman" w:cs="Times New Roman"/>
          <w:sz w:val="23"/>
          <w:szCs w:val="23"/>
          <w:lang w:val="es-419"/>
        </w:rPr>
      </w:pPr>
      <w:r w:rsidRPr="00307C65">
        <w:rPr>
          <w:rFonts w:ascii="Times New Roman" w:hAnsi="Times New Roman" w:cs="Times New Roman"/>
          <w:sz w:val="23"/>
          <w:szCs w:val="23"/>
          <w:lang w:val="es-419"/>
        </w:rPr>
        <w:t xml:space="preserve">Al respecto, el artículo 59 de la Ley del Contrato de Seguro -Ley 29946- señala que: </w:t>
      </w:r>
    </w:p>
    <w:p w:rsidRPr="00307C65" w:rsidR="00307C65" w:rsidP="00307C65" w:rsidRDefault="00307C65" w14:paraId="2A8672B5" w14:textId="77777777">
      <w:pPr>
        <w:tabs>
          <w:tab w:val="left" w:pos="709"/>
          <w:tab w:val="left" w:pos="2160"/>
        </w:tabs>
        <w:ind w:left="709" w:hanging="709"/>
        <w:jc w:val="both"/>
        <w:rPr>
          <w:rFonts w:ascii="Times New Roman" w:hAnsi="Times New Roman" w:cs="Times New Roman"/>
          <w:i/>
          <w:sz w:val="23"/>
          <w:szCs w:val="23"/>
          <w:lang w:val="es-PE"/>
        </w:rPr>
      </w:pPr>
      <w:r w:rsidRPr="00307C65">
        <w:rPr>
          <w:rFonts w:ascii="Times New Roman" w:hAnsi="Times New Roman" w:cs="Times New Roman"/>
          <w:i/>
          <w:sz w:val="23"/>
          <w:szCs w:val="23"/>
          <w:lang w:val="es-419"/>
        </w:rPr>
        <w:tab/>
      </w:r>
      <w:r w:rsidRPr="00307C65">
        <w:rPr>
          <w:rFonts w:ascii="Times New Roman" w:hAnsi="Times New Roman" w:cs="Times New Roman"/>
          <w:i/>
          <w:sz w:val="23"/>
          <w:szCs w:val="23"/>
          <w:lang w:val="es-419"/>
        </w:rPr>
        <w:t>“</w:t>
      </w:r>
      <w:r w:rsidRPr="00307C65">
        <w:rPr>
          <w:rFonts w:ascii="Times New Roman" w:hAnsi="Times New Roman" w:cs="Times New Roman"/>
          <w:i/>
          <w:sz w:val="23"/>
          <w:szCs w:val="23"/>
          <w:lang w:val="es-PE"/>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307C65">
        <w:rPr>
          <w:rFonts w:ascii="Times New Roman" w:hAnsi="Times New Roman" w:cs="Times New Roman"/>
          <w:i/>
          <w:sz w:val="23"/>
          <w:szCs w:val="23"/>
          <w:lang w:val="es-PE"/>
        </w:rPr>
        <w:t>de acuerdo al</w:t>
      </w:r>
      <w:proofErr w:type="gramEnd"/>
      <w:r w:rsidRPr="00307C65">
        <w:rPr>
          <w:rFonts w:ascii="Times New Roman" w:hAnsi="Times New Roman" w:cs="Times New Roman"/>
          <w:i/>
          <w:sz w:val="23"/>
          <w:szCs w:val="23"/>
          <w:lang w:val="es-PE"/>
        </w:rPr>
        <w:t xml:space="preserve"> siguiente régimen:</w:t>
      </w:r>
    </w:p>
    <w:p w:rsidRPr="00307C65" w:rsidR="00307C65" w:rsidP="00307C65" w:rsidRDefault="00307C65" w14:paraId="02EB57AF" w14:textId="77777777">
      <w:pPr>
        <w:tabs>
          <w:tab w:val="left" w:pos="709"/>
          <w:tab w:val="left" w:pos="2160"/>
        </w:tabs>
        <w:ind w:left="1418" w:hanging="709"/>
        <w:jc w:val="both"/>
        <w:rPr>
          <w:rFonts w:ascii="Times New Roman" w:hAnsi="Times New Roman" w:cs="Times New Roman"/>
          <w:i/>
          <w:sz w:val="23"/>
          <w:szCs w:val="23"/>
          <w:lang w:val="es-PE"/>
        </w:rPr>
      </w:pPr>
      <w:r w:rsidRPr="00307C65">
        <w:rPr>
          <w:rFonts w:ascii="Times New Roman" w:hAnsi="Times New Roman" w:cs="Times New Roman"/>
          <w:i/>
          <w:sz w:val="23"/>
          <w:szCs w:val="23"/>
          <w:lang w:val="es-PE"/>
        </w:rPr>
        <w:t>Cargas posteriores al siniestro</w:t>
      </w:r>
    </w:p>
    <w:p w:rsidRPr="00307C65" w:rsidR="00307C65" w:rsidP="00307C65" w:rsidRDefault="00307C65" w14:paraId="198F8475" w14:textId="77777777">
      <w:pPr>
        <w:tabs>
          <w:tab w:val="left" w:pos="709"/>
          <w:tab w:val="left" w:pos="2160"/>
        </w:tabs>
        <w:ind w:left="1418" w:hanging="709"/>
        <w:jc w:val="both"/>
        <w:rPr>
          <w:rFonts w:ascii="Times New Roman" w:hAnsi="Times New Roman" w:cs="Times New Roman"/>
          <w:b/>
          <w:i/>
          <w:sz w:val="23"/>
          <w:szCs w:val="23"/>
          <w:u w:val="single"/>
          <w:lang w:val="es-PE"/>
        </w:rPr>
      </w:pPr>
      <w:r w:rsidRPr="00307C65">
        <w:rPr>
          <w:rFonts w:ascii="Times New Roman" w:hAnsi="Times New Roman" w:cs="Times New Roman"/>
          <w:b/>
          <w:i/>
          <w:sz w:val="23"/>
          <w:szCs w:val="23"/>
          <w:lang w:val="es-PE"/>
        </w:rPr>
        <w:t xml:space="preserve">c) </w:t>
      </w:r>
      <w:r w:rsidRPr="00307C65">
        <w:rPr>
          <w:rFonts w:ascii="Times New Roman" w:hAnsi="Times New Roman" w:cs="Times New Roman"/>
          <w:b/>
          <w:i/>
          <w:sz w:val="23"/>
          <w:szCs w:val="23"/>
          <w:lang w:val="es-PE"/>
        </w:rPr>
        <w:tab/>
      </w:r>
      <w:r w:rsidRPr="00307C65">
        <w:rPr>
          <w:rFonts w:ascii="Times New Roman" w:hAnsi="Times New Roman" w:cs="Times New Roman"/>
          <w:b/>
          <w:i/>
          <w:sz w:val="23"/>
          <w:szCs w:val="23"/>
          <w:lang w:val="es-PE"/>
        </w:rPr>
        <w:t xml:space="preserve">Si la carga debe ejecutarse después del siniestro, el asegurador se libera por el incumplimiento del asegurado, si el mismo influyó </w:t>
      </w:r>
      <w:r w:rsidRPr="00307C65">
        <w:rPr>
          <w:rFonts w:ascii="Times New Roman" w:hAnsi="Times New Roman" w:cs="Times New Roman"/>
          <w:b/>
          <w:i/>
          <w:sz w:val="23"/>
          <w:szCs w:val="23"/>
          <w:u w:val="single"/>
          <w:lang w:val="es-PE"/>
        </w:rPr>
        <w:t>en la extensión de la obligación asumida.</w:t>
      </w:r>
    </w:p>
    <w:p w:rsidRPr="00307C65" w:rsidR="00307C65" w:rsidP="00307C65" w:rsidRDefault="00307C65" w14:paraId="31D9329B" w14:textId="77777777">
      <w:pPr>
        <w:tabs>
          <w:tab w:val="left" w:pos="709"/>
          <w:tab w:val="left" w:pos="2160"/>
        </w:tabs>
        <w:ind w:left="1418" w:hanging="709"/>
        <w:jc w:val="both"/>
        <w:rPr>
          <w:rFonts w:ascii="Times New Roman" w:hAnsi="Times New Roman" w:cs="Times New Roman"/>
          <w:i/>
          <w:sz w:val="23"/>
          <w:szCs w:val="23"/>
          <w:lang w:val="es-PE"/>
        </w:rPr>
      </w:pPr>
      <w:r w:rsidRPr="00307C65">
        <w:rPr>
          <w:rFonts w:ascii="Times New Roman" w:hAnsi="Times New Roman" w:cs="Times New Roman"/>
          <w:i/>
          <w:sz w:val="23"/>
          <w:szCs w:val="23"/>
          <w:lang w:val="es-PE"/>
        </w:rPr>
        <w:t xml:space="preserve">d) </w:t>
      </w:r>
      <w:r w:rsidRPr="00307C65">
        <w:rPr>
          <w:rFonts w:ascii="Times New Roman" w:hAnsi="Times New Roman" w:cs="Times New Roman"/>
          <w:i/>
          <w:sz w:val="23"/>
          <w:szCs w:val="23"/>
          <w:lang w:val="es-PE"/>
        </w:rPr>
        <w:tab/>
      </w:r>
      <w:r w:rsidRPr="00307C65">
        <w:rPr>
          <w:rFonts w:ascii="Times New Roman" w:hAnsi="Times New Roman" w:cs="Times New Roman"/>
          <w:i/>
          <w:sz w:val="23"/>
          <w:szCs w:val="23"/>
          <w:lang w:val="es-PE"/>
        </w:rPr>
        <w:t>En caso de culpa leve, la indemnización se reduce de manera proporcional a la agravación del siniestro consecuencia del incumplimiento.”</w:t>
      </w:r>
    </w:p>
    <w:p w:rsidRPr="00307C65" w:rsidR="00307C65" w:rsidP="00307C65" w:rsidRDefault="00307C65" w14:paraId="74773454" w14:textId="77777777">
      <w:pPr>
        <w:jc w:val="both"/>
        <w:rPr>
          <w:rFonts w:ascii="Times New Roman" w:hAnsi="Times New Roman" w:cs="Times New Roman"/>
          <w:sz w:val="23"/>
          <w:szCs w:val="23"/>
          <w:lang w:val="es-PE"/>
        </w:rPr>
      </w:pPr>
      <w:r w:rsidRPr="00307C65">
        <w:rPr>
          <w:rFonts w:ascii="Times New Roman" w:hAnsi="Times New Roman" w:cs="Times New Roman"/>
          <w:sz w:val="23"/>
          <w:szCs w:val="23"/>
          <w:lang w:val="es-PE"/>
        </w:rPr>
        <w:t>Sobre el particular, este Colegiado reitera que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 En el presente caso la aseguradora no ha demostrado cómo la denuncia policial efectuada en un plazo mayor a 4 horas ha influido en el alcance de las obligaciones derivadas del contrato de seguro.</w:t>
      </w:r>
    </w:p>
    <w:p w:rsidRPr="00307C65" w:rsidR="00307C65" w:rsidP="00307C65" w:rsidRDefault="00307C65" w14:paraId="1C1F7A6C" w14:textId="2E277F22">
      <w:pPr>
        <w:jc w:val="both"/>
        <w:rPr>
          <w:rFonts w:ascii="Times New Roman" w:hAnsi="Times New Roman" w:cs="Times New Roman"/>
          <w:sz w:val="23"/>
          <w:szCs w:val="23"/>
          <w:lang w:val="es-PE"/>
        </w:rPr>
      </w:pPr>
      <w:r w:rsidRPr="1174BFF1" w:rsidR="00307C65">
        <w:rPr>
          <w:rFonts w:ascii="Times New Roman" w:hAnsi="Times New Roman" w:cs="Times New Roman"/>
          <w:sz w:val="23"/>
          <w:szCs w:val="23"/>
          <w:lang w:val="es-PE"/>
        </w:rPr>
        <w:t xml:space="preserve">Que, </w:t>
      </w:r>
      <w:r w:rsidRPr="1174BFF1" w:rsidR="3F28C83D">
        <w:rPr>
          <w:rFonts w:ascii="Times New Roman" w:hAnsi="Times New Roman" w:cs="Times New Roman"/>
          <w:sz w:val="23"/>
          <w:szCs w:val="23"/>
          <w:lang w:val="es-PE"/>
        </w:rPr>
        <w:t>..................................</w:t>
      </w:r>
      <w:r w:rsidRPr="1174BFF1" w:rsidR="00307C65">
        <w:rPr>
          <w:rFonts w:ascii="Times New Roman" w:hAnsi="Times New Roman" w:cs="Times New Roman"/>
          <w:sz w:val="23"/>
          <w:szCs w:val="23"/>
          <w:lang w:val="es-PE"/>
        </w:rPr>
        <w:t xml:space="preserve"> señala que la Defensoría al ser una jurisdicción que resuelve con arreglo a derecho, debe considerar la posición asumida por el Instituto Nacional de Defensa de la Competencia y de la Protección de la Propiedad Intelectual – INDECOPI en casos similares, en los cuales rechazó la cobertura en la medida que la denuncia fue presentada de forma extemporánea, resolviéndose con el archivo del procedimiento.</w:t>
      </w:r>
    </w:p>
    <w:p w:rsidRPr="00307C65" w:rsidR="00307C65" w:rsidP="00307C65" w:rsidRDefault="00307C65" w14:paraId="7EA8371B" w14:textId="77777777">
      <w:pPr>
        <w:jc w:val="both"/>
        <w:rPr>
          <w:rFonts w:ascii="Times New Roman" w:hAnsi="Times New Roman" w:cs="Times New Roman"/>
          <w:sz w:val="23"/>
          <w:szCs w:val="23"/>
          <w:lang w:val="es-PE"/>
        </w:rPr>
      </w:pPr>
      <w:r w:rsidRPr="00307C65">
        <w:rPr>
          <w:rFonts w:ascii="Times New Roman" w:hAnsi="Times New Roman" w:cs="Times New Roman"/>
          <w:sz w:val="23"/>
          <w:szCs w:val="23"/>
          <w:lang w:val="es-PE"/>
        </w:rPr>
        <w:t>Que, el pronunciamiento emitido por INDECOPI no es un precedente vinculante para la DEFASEG.</w:t>
      </w:r>
    </w:p>
    <w:p w:rsidRPr="00307C65" w:rsidR="00307C65" w:rsidP="00307C65" w:rsidRDefault="00307C65" w14:paraId="1656F7A7" w14:textId="77777777">
      <w:pPr>
        <w:jc w:val="both"/>
        <w:rPr>
          <w:rFonts w:ascii="Times New Roman" w:hAnsi="Times New Roman" w:cs="Times New Roman"/>
          <w:sz w:val="23"/>
          <w:szCs w:val="23"/>
          <w:lang w:val="es-PE"/>
        </w:rPr>
      </w:pPr>
      <w:r w:rsidRPr="00307C65">
        <w:rPr>
          <w:rFonts w:ascii="Times New Roman" w:hAnsi="Times New Roman" w:cs="Times New Roman"/>
          <w:sz w:val="23"/>
          <w:szCs w:val="23"/>
          <w:lang w:val="es-PE"/>
        </w:rPr>
        <w:t xml:space="preserve">Que, aplicando correctamente el </w:t>
      </w:r>
      <w:r w:rsidRPr="00307C65">
        <w:rPr>
          <w:rFonts w:ascii="Times New Roman" w:hAnsi="Times New Roman" w:cs="Times New Roman"/>
          <w:sz w:val="23"/>
          <w:szCs w:val="23"/>
          <w:lang w:val="es-419"/>
        </w:rPr>
        <w:t>el artículo 59 de la Ley del Contrato de Seguro -Ley 29946, este Colegiado llega a la conclusión de que la interposición extemporánea de la denuncia policial no influye en la extensión del riesgo, y, por lo tanto, no procede aplicar la caducidad del derecho del asegurado.</w:t>
      </w:r>
    </w:p>
    <w:p w:rsidRPr="00307C65" w:rsidR="00307C65" w:rsidP="00307C65" w:rsidRDefault="00307C65" w14:paraId="21678A6D" w14:textId="77777777">
      <w:pPr>
        <w:jc w:val="both"/>
        <w:rPr>
          <w:rFonts w:ascii="Times New Roman" w:hAnsi="Times New Roman" w:cs="Times New Roman"/>
          <w:sz w:val="23"/>
          <w:szCs w:val="23"/>
          <w:lang w:val="es-PE"/>
        </w:rPr>
      </w:pPr>
      <w:r w:rsidRPr="00307C65">
        <w:rPr>
          <w:rFonts w:ascii="Times New Roman" w:hAnsi="Times New Roman" w:cs="Times New Roman"/>
          <w:b/>
          <w:sz w:val="23"/>
          <w:szCs w:val="23"/>
          <w:u w:val="single"/>
          <w:lang w:val="es-PE"/>
        </w:rPr>
        <w:t>TERCERO</w:t>
      </w:r>
      <w:r w:rsidRPr="00307C65">
        <w:rPr>
          <w:rFonts w:ascii="Times New Roman" w:hAnsi="Times New Roman" w:cs="Times New Roman"/>
          <w:b/>
          <w:sz w:val="23"/>
          <w:szCs w:val="23"/>
          <w:lang w:val="es-PE"/>
        </w:rPr>
        <w:t>:</w:t>
      </w:r>
      <w:r w:rsidRPr="00307C65">
        <w:rPr>
          <w:rFonts w:ascii="Times New Roman" w:hAnsi="Times New Roman" w:cs="Times New Roman"/>
          <w:sz w:val="23"/>
          <w:szCs w:val="23"/>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307C65" w:rsidR="00307C65" w:rsidP="00307C65" w:rsidRDefault="00307C65" w14:paraId="1C363963" w14:textId="77777777">
      <w:pPr>
        <w:jc w:val="both"/>
        <w:rPr>
          <w:rFonts w:ascii="Times New Roman" w:hAnsi="Times New Roman" w:cs="Times New Roman"/>
          <w:b/>
          <w:sz w:val="23"/>
          <w:szCs w:val="23"/>
          <w:lang w:val="es-PE"/>
        </w:rPr>
      </w:pPr>
      <w:r w:rsidRPr="00307C65">
        <w:rPr>
          <w:rFonts w:ascii="Times New Roman" w:hAnsi="Times New Roman" w:cs="Times New Roman"/>
          <w:b/>
          <w:sz w:val="23"/>
          <w:szCs w:val="23"/>
          <w:lang w:val="es-PE"/>
        </w:rPr>
        <w:t>ATENDIENDO A LO EXPRESADO, CONFORME A SU REGLAMENTO, ESTE COLEGIADO RESUELVE:</w:t>
      </w:r>
    </w:p>
    <w:p w:rsidRPr="00307C65" w:rsidR="00307C65" w:rsidP="1174BFF1" w:rsidRDefault="00307C65" w14:paraId="674450DF" w14:textId="08F8A6AE">
      <w:pPr>
        <w:pStyle w:val="Default"/>
        <w:jc w:val="both"/>
        <w:rPr>
          <w:rFonts w:ascii="Times New Roman" w:hAnsi="Times New Roman" w:cs="Times New Roman"/>
          <w:b w:val="1"/>
          <w:bCs w:val="1"/>
          <w:sz w:val="23"/>
          <w:szCs w:val="23"/>
          <w:lang w:val="es-MX"/>
        </w:rPr>
      </w:pPr>
      <w:r w:rsidRPr="1174BFF1" w:rsidR="00307C65">
        <w:rPr>
          <w:rFonts w:ascii="Times New Roman" w:hAnsi="Times New Roman" w:cs="Times New Roman"/>
          <w:b w:val="1"/>
          <w:bCs w:val="1"/>
          <w:sz w:val="23"/>
          <w:szCs w:val="23"/>
        </w:rPr>
        <w:t xml:space="preserve">DECLARAR INFUNDADO </w:t>
      </w:r>
      <w:r w:rsidRPr="1174BFF1" w:rsidR="00307C65">
        <w:rPr>
          <w:rFonts w:ascii="Times New Roman" w:hAnsi="Times New Roman" w:cs="Times New Roman"/>
          <w:sz w:val="23"/>
          <w:szCs w:val="23"/>
        </w:rPr>
        <w:t>el recurso de impugnación interpuesto por</w:t>
      </w:r>
      <w:r w:rsidRPr="1174BFF1" w:rsidR="00307C65">
        <w:rPr>
          <w:rFonts w:ascii="Times New Roman" w:hAnsi="Times New Roman" w:cs="Times New Roman"/>
          <w:b w:val="1"/>
          <w:bCs w:val="1"/>
          <w:sz w:val="23"/>
          <w:szCs w:val="23"/>
        </w:rPr>
        <w:t xml:space="preserve"> </w:t>
      </w:r>
      <w:r w:rsidRPr="1174BFF1" w:rsidR="3F28C83D">
        <w:rPr>
          <w:rFonts w:ascii="Times New Roman" w:hAnsi="Times New Roman" w:cs="Times New Roman"/>
          <w:b w:val="1"/>
          <w:bCs w:val="1"/>
          <w:sz w:val="23"/>
          <w:szCs w:val="23"/>
        </w:rPr>
        <w:t>..................................</w:t>
      </w:r>
      <w:r w:rsidRPr="1174BFF1" w:rsidR="00307C65">
        <w:rPr>
          <w:rFonts w:ascii="Times New Roman" w:hAnsi="Times New Roman" w:cs="Times New Roman"/>
          <w:b w:val="1"/>
          <w:bCs w:val="1"/>
          <w:sz w:val="23"/>
          <w:szCs w:val="23"/>
        </w:rPr>
        <w:t xml:space="preserve"> Y REASEGUROS </w:t>
      </w:r>
      <w:r w:rsidRPr="1174BFF1" w:rsidR="00307C65">
        <w:rPr>
          <w:rFonts w:ascii="Times New Roman" w:hAnsi="Times New Roman" w:cs="Times New Roman"/>
          <w:sz w:val="23"/>
          <w:szCs w:val="23"/>
        </w:rPr>
        <w:t>y, por consiguiente,</w:t>
      </w:r>
      <w:r w:rsidRPr="1174BFF1" w:rsidR="00307C65">
        <w:rPr>
          <w:rFonts w:ascii="Times New Roman" w:hAnsi="Times New Roman" w:cs="Times New Roman"/>
          <w:b w:val="1"/>
          <w:bCs w:val="1"/>
          <w:sz w:val="23"/>
          <w:szCs w:val="23"/>
        </w:rPr>
        <w:t xml:space="preserve"> CONFIRMAR la Resolución </w:t>
      </w:r>
      <w:r w:rsidRPr="1174BFF1" w:rsidR="00307C65">
        <w:rPr>
          <w:rFonts w:ascii="Times New Roman" w:hAnsi="Times New Roman" w:cs="Times New Roman"/>
          <w:b w:val="1"/>
          <w:bCs w:val="1"/>
          <w:sz w:val="23"/>
          <w:szCs w:val="23"/>
        </w:rPr>
        <w:t>N°</w:t>
      </w:r>
      <w:r w:rsidRPr="1174BFF1" w:rsidR="00307C65">
        <w:rPr>
          <w:rFonts w:ascii="Times New Roman" w:hAnsi="Times New Roman" w:cs="Times New Roman"/>
          <w:b w:val="1"/>
          <w:bCs w:val="1"/>
          <w:sz w:val="23"/>
          <w:szCs w:val="23"/>
        </w:rPr>
        <w:t xml:space="preserve"> 047/24</w:t>
      </w:r>
      <w:r w:rsidRPr="1174BFF1" w:rsidR="00307C65">
        <w:rPr>
          <w:rFonts w:ascii="Times New Roman" w:hAnsi="Times New Roman" w:cs="Times New Roman"/>
          <w:b w:val="1"/>
          <w:bCs w:val="1"/>
          <w:sz w:val="23"/>
          <w:szCs w:val="23"/>
          <w:lang w:val="es-MX"/>
        </w:rPr>
        <w:t>.</w:t>
      </w:r>
    </w:p>
    <w:p w:rsidRPr="00307C65" w:rsidR="00307C65" w:rsidP="00307C65" w:rsidRDefault="00307C65" w14:paraId="43002099" w14:textId="77777777">
      <w:pPr>
        <w:pStyle w:val="Default"/>
        <w:jc w:val="both"/>
        <w:rPr>
          <w:rFonts w:ascii="Times New Roman" w:hAnsi="Times New Roman" w:cs="Times New Roman"/>
          <w:b/>
          <w:sz w:val="23"/>
          <w:szCs w:val="23"/>
        </w:rPr>
      </w:pPr>
    </w:p>
    <w:p w:rsidRPr="00307C65" w:rsidR="008B6A09" w:rsidP="008B6A09" w:rsidRDefault="0091528B" w14:paraId="000A434B" w14:textId="213A9F26">
      <w:pPr>
        <w:jc w:val="right"/>
        <w:rPr>
          <w:rFonts w:ascii="Times New Roman" w:hAnsi="Times New Roman" w:cs="Times New Roman"/>
          <w:sz w:val="23"/>
          <w:szCs w:val="23"/>
          <w:lang w:val="es-PE"/>
        </w:rPr>
      </w:pPr>
      <w:r w:rsidRPr="00307C65">
        <w:rPr>
          <w:rFonts w:ascii="Times New Roman" w:hAnsi="Times New Roman" w:eastAsia="Arial Unicode MS" w:cs="Times New Roman"/>
          <w:sz w:val="23"/>
          <w:szCs w:val="23"/>
          <w:lang w:val="es-PE" w:eastAsia="ar-SA"/>
        </w:rPr>
        <w:t xml:space="preserve">Lima, </w:t>
      </w:r>
      <w:r w:rsidRPr="00307C65" w:rsidR="00950F53">
        <w:rPr>
          <w:rFonts w:ascii="Times New Roman" w:hAnsi="Times New Roman" w:eastAsia="Arial Unicode MS" w:cs="Times New Roman"/>
          <w:sz w:val="23"/>
          <w:szCs w:val="23"/>
          <w:lang w:val="es-PE" w:eastAsia="ar-SA"/>
        </w:rPr>
        <w:t>0</w:t>
      </w:r>
      <w:r w:rsidRPr="00307C65" w:rsidR="00975745">
        <w:rPr>
          <w:rFonts w:ascii="Times New Roman" w:hAnsi="Times New Roman" w:eastAsia="Arial Unicode MS" w:cs="Times New Roman"/>
          <w:sz w:val="23"/>
          <w:szCs w:val="23"/>
          <w:lang w:val="es-PE" w:eastAsia="ar-SA"/>
        </w:rPr>
        <w:t>8</w:t>
      </w:r>
      <w:r w:rsidRPr="00307C65" w:rsidR="00570ED6">
        <w:rPr>
          <w:rFonts w:ascii="Times New Roman" w:hAnsi="Times New Roman" w:eastAsia="Arial Unicode MS" w:cs="Times New Roman"/>
          <w:sz w:val="23"/>
          <w:szCs w:val="23"/>
          <w:lang w:val="es-PE" w:eastAsia="ar-SA"/>
        </w:rPr>
        <w:t xml:space="preserve"> </w:t>
      </w:r>
      <w:r w:rsidRPr="00307C65" w:rsidR="00707C99">
        <w:rPr>
          <w:rFonts w:ascii="Times New Roman" w:hAnsi="Times New Roman" w:eastAsia="Arial Unicode MS" w:cs="Times New Roman"/>
          <w:sz w:val="23"/>
          <w:szCs w:val="23"/>
          <w:lang w:val="es-PE" w:eastAsia="ar-SA"/>
        </w:rPr>
        <w:t xml:space="preserve">de </w:t>
      </w:r>
      <w:r w:rsidRPr="00307C65" w:rsidR="00950F53">
        <w:rPr>
          <w:rFonts w:ascii="Times New Roman" w:hAnsi="Times New Roman" w:eastAsia="Arial Unicode MS" w:cs="Times New Roman"/>
          <w:sz w:val="23"/>
          <w:szCs w:val="23"/>
          <w:lang w:val="es-PE" w:eastAsia="ar-SA"/>
        </w:rPr>
        <w:t>mayo</w:t>
      </w:r>
      <w:r w:rsidRPr="00307C65" w:rsidR="002F478E">
        <w:rPr>
          <w:rFonts w:ascii="Times New Roman" w:hAnsi="Times New Roman" w:eastAsia="Arial Unicode MS" w:cs="Times New Roman"/>
          <w:sz w:val="23"/>
          <w:szCs w:val="23"/>
          <w:lang w:val="es-PE" w:eastAsia="ar-SA"/>
        </w:rPr>
        <w:t xml:space="preserve"> </w:t>
      </w:r>
      <w:r w:rsidRPr="00307C65" w:rsidR="00F06498">
        <w:rPr>
          <w:rFonts w:ascii="Times New Roman" w:hAnsi="Times New Roman" w:eastAsia="Arial Unicode MS" w:cs="Times New Roman"/>
          <w:sz w:val="23"/>
          <w:szCs w:val="23"/>
          <w:lang w:val="es-PE" w:eastAsia="ar-SA"/>
        </w:rPr>
        <w:t>de 202</w:t>
      </w:r>
      <w:r w:rsidRPr="00307C65" w:rsidR="00543015">
        <w:rPr>
          <w:rFonts w:ascii="Times New Roman" w:hAnsi="Times New Roman" w:eastAsia="Arial Unicode MS" w:cs="Times New Roman"/>
          <w:sz w:val="23"/>
          <w:szCs w:val="23"/>
          <w:lang w:val="es-PE" w:eastAsia="ar-SA"/>
        </w:rPr>
        <w:t>4</w:t>
      </w:r>
      <w:r w:rsidRPr="00307C65" w:rsidR="00707C99">
        <w:rPr>
          <w:rFonts w:ascii="Times New Roman" w:hAnsi="Times New Roman" w:eastAsia="Times New Roman" w:cs="Times New Roman"/>
          <w:sz w:val="23"/>
          <w:szCs w:val="23"/>
          <w:lang w:val="es-PE" w:eastAsia="ar-SA"/>
        </w:rPr>
        <w:t xml:space="preserve"> </w:t>
      </w:r>
    </w:p>
    <w:p w:rsidRPr="00307C65" w:rsidR="00A323F4" w:rsidP="00A323F4" w:rsidRDefault="00A323F4" w14:paraId="1B6988F6" w14:textId="77777777">
      <w:pPr>
        <w:spacing w:after="0" w:line="240" w:lineRule="auto"/>
        <w:jc w:val="both"/>
        <w:rPr>
          <w:rFonts w:ascii="Times New Roman" w:hAnsi="Times New Roman" w:cs="Times New Roman"/>
          <w:b/>
          <w:bCs/>
          <w:i/>
          <w:iCs/>
          <w:sz w:val="23"/>
          <w:szCs w:val="23"/>
          <w:lang w:val="es-PE"/>
        </w:rPr>
      </w:pPr>
      <w:r w:rsidRPr="00307C65">
        <w:rPr>
          <w:rFonts w:ascii="Times New Roman" w:hAnsi="Times New Roman" w:cs="Times New Roman"/>
          <w:b/>
          <w:bCs/>
          <w:i/>
          <w:iCs/>
          <w:sz w:val="23"/>
          <w:szCs w:val="23"/>
          <w:lang w:val="es-PE"/>
        </w:rPr>
        <w:t>La Secretaría Técnica certifica que la presente resolución cuenta con el voto de los vocales cuyos nombres figuran en el presente documento.</w:t>
      </w:r>
    </w:p>
    <w:p w:rsidRPr="00307C65" w:rsidR="00A323F4" w:rsidP="00A323F4" w:rsidRDefault="00A323F4" w14:paraId="3AB80116" w14:textId="77777777">
      <w:pPr>
        <w:spacing w:after="0" w:line="360" w:lineRule="auto"/>
        <w:jc w:val="both"/>
        <w:rPr>
          <w:rFonts w:ascii="Times New Roman" w:hAnsi="Times New Roman" w:cs="Times New Roman"/>
          <w:b/>
          <w:bCs/>
          <w:i/>
          <w:iCs/>
          <w:sz w:val="23"/>
          <w:szCs w:val="23"/>
          <w:lang w:val="es-PE"/>
        </w:rPr>
      </w:pPr>
    </w:p>
    <w:p w:rsidRPr="00307C65" w:rsidR="00950F53" w:rsidP="00950F53" w:rsidRDefault="00950F53" w14:paraId="4D8DC1AA" w14:textId="120742D0">
      <w:pPr>
        <w:spacing w:after="0" w:line="360" w:lineRule="auto"/>
        <w:jc w:val="center"/>
        <w:rPr>
          <w:rFonts w:ascii="Times New Roman" w:hAnsi="Times New Roman" w:cs="Times New Roman"/>
          <w:b/>
          <w:bCs/>
          <w:sz w:val="23"/>
          <w:szCs w:val="23"/>
          <w:lang w:val="es-PE"/>
        </w:rPr>
      </w:pPr>
      <w:r w:rsidRPr="00307C65">
        <w:rPr>
          <w:rFonts w:ascii="Times New Roman" w:hAnsi="Times New Roman" w:cs="Times New Roman"/>
          <w:b/>
          <w:bCs/>
          <w:sz w:val="23"/>
          <w:szCs w:val="23"/>
          <w:lang w:val="es-PE"/>
        </w:rPr>
        <w:t xml:space="preserve">Omar Alfaro Villanueva – </w:t>
      </w:r>
      <w:proofErr w:type="gramStart"/>
      <w:r w:rsidRPr="00307C65">
        <w:rPr>
          <w:rFonts w:ascii="Times New Roman" w:hAnsi="Times New Roman" w:cs="Times New Roman"/>
          <w:b/>
          <w:bCs/>
          <w:sz w:val="23"/>
          <w:szCs w:val="23"/>
          <w:lang w:val="es-PE"/>
        </w:rPr>
        <w:t>Presidente</w:t>
      </w:r>
      <w:proofErr w:type="gramEnd"/>
    </w:p>
    <w:p w:rsidRPr="00307C65" w:rsidR="007543CD" w:rsidP="007543CD" w:rsidRDefault="00543015" w14:paraId="220AA7AD" w14:textId="6D2A9CB4">
      <w:pPr>
        <w:spacing w:after="0" w:line="360" w:lineRule="auto"/>
        <w:jc w:val="center"/>
        <w:rPr>
          <w:rFonts w:ascii="Times New Roman" w:hAnsi="Times New Roman" w:cs="Times New Roman"/>
          <w:b/>
          <w:bCs/>
          <w:sz w:val="23"/>
          <w:szCs w:val="23"/>
          <w:lang w:val="es-PE"/>
        </w:rPr>
      </w:pPr>
      <w:r w:rsidRPr="00307C65">
        <w:rPr>
          <w:rFonts w:ascii="Times New Roman" w:hAnsi="Times New Roman" w:cs="Times New Roman"/>
          <w:b/>
          <w:bCs/>
          <w:sz w:val="23"/>
          <w:szCs w:val="23"/>
          <w:lang w:val="es-PE"/>
        </w:rPr>
        <w:t xml:space="preserve">María Eugenia Valdez Fernández Baca </w:t>
      </w:r>
      <w:proofErr w:type="gramStart"/>
      <w:r w:rsidRPr="00307C65" w:rsidR="007543CD">
        <w:rPr>
          <w:rFonts w:ascii="Times New Roman" w:hAnsi="Times New Roman" w:cs="Times New Roman"/>
          <w:b/>
          <w:bCs/>
          <w:sz w:val="23"/>
          <w:szCs w:val="23"/>
          <w:lang w:val="es-PE"/>
        </w:rPr>
        <w:t xml:space="preserve">– </w:t>
      </w:r>
      <w:r w:rsidRPr="00307C65" w:rsidR="00950F53">
        <w:rPr>
          <w:rFonts w:ascii="Times New Roman" w:hAnsi="Times New Roman" w:cs="Times New Roman"/>
          <w:b/>
          <w:bCs/>
          <w:sz w:val="23"/>
          <w:szCs w:val="23"/>
          <w:lang w:val="es-PE"/>
        </w:rPr>
        <w:t xml:space="preserve"> Vocal</w:t>
      </w:r>
      <w:proofErr w:type="gramEnd"/>
    </w:p>
    <w:p w:rsidRPr="00307C65" w:rsidR="007543CD" w:rsidP="007543CD" w:rsidRDefault="00543015" w14:paraId="0DCF6E18" w14:textId="56F1BED3">
      <w:pPr>
        <w:spacing w:after="0" w:line="360" w:lineRule="auto"/>
        <w:jc w:val="center"/>
        <w:rPr>
          <w:rFonts w:ascii="Times New Roman" w:hAnsi="Times New Roman" w:cs="Times New Roman"/>
          <w:b/>
          <w:bCs/>
          <w:sz w:val="23"/>
          <w:szCs w:val="23"/>
          <w:lang w:val="es-PE"/>
        </w:rPr>
      </w:pPr>
      <w:r w:rsidRPr="00307C65">
        <w:rPr>
          <w:rFonts w:ascii="Times New Roman" w:hAnsi="Times New Roman" w:cs="Times New Roman"/>
          <w:b/>
          <w:bCs/>
          <w:sz w:val="23"/>
          <w:szCs w:val="23"/>
          <w:lang w:val="es-PE"/>
        </w:rPr>
        <w:t xml:space="preserve">Rolando Eyzaguirre </w:t>
      </w:r>
      <w:proofErr w:type="spellStart"/>
      <w:r w:rsidRPr="00307C65">
        <w:rPr>
          <w:rFonts w:ascii="Times New Roman" w:hAnsi="Times New Roman" w:cs="Times New Roman"/>
          <w:b/>
          <w:bCs/>
          <w:sz w:val="23"/>
          <w:szCs w:val="23"/>
          <w:lang w:val="es-PE"/>
        </w:rPr>
        <w:t>Maccan</w:t>
      </w:r>
      <w:proofErr w:type="spellEnd"/>
      <w:r w:rsidRPr="00307C65">
        <w:rPr>
          <w:rFonts w:ascii="Times New Roman" w:hAnsi="Times New Roman" w:cs="Times New Roman"/>
          <w:b/>
          <w:bCs/>
          <w:sz w:val="23"/>
          <w:szCs w:val="23"/>
          <w:lang w:val="es-PE"/>
        </w:rPr>
        <w:t xml:space="preserve"> </w:t>
      </w:r>
      <w:r w:rsidRPr="00307C65" w:rsidR="007543CD">
        <w:rPr>
          <w:rFonts w:ascii="Times New Roman" w:hAnsi="Times New Roman" w:cs="Times New Roman"/>
          <w:b/>
          <w:bCs/>
          <w:sz w:val="23"/>
          <w:szCs w:val="23"/>
          <w:lang w:val="es-PE"/>
        </w:rPr>
        <w:t>– Vocal</w:t>
      </w:r>
    </w:p>
    <w:p w:rsidRPr="00307C65" w:rsidR="007543CD" w:rsidP="007543CD" w:rsidRDefault="007543CD" w14:paraId="69BFE54F" w14:textId="77777777">
      <w:pPr>
        <w:spacing w:after="0" w:line="360" w:lineRule="auto"/>
        <w:jc w:val="center"/>
        <w:rPr>
          <w:rFonts w:ascii="Times New Roman" w:hAnsi="Times New Roman" w:cs="Times New Roman"/>
          <w:sz w:val="23"/>
          <w:szCs w:val="23"/>
          <w:lang w:val="es-PE"/>
        </w:rPr>
      </w:pPr>
      <w:r w:rsidRPr="00307C65">
        <w:rPr>
          <w:rFonts w:ascii="Times New Roman" w:hAnsi="Times New Roman" w:cs="Times New Roman"/>
          <w:b/>
          <w:bCs/>
          <w:sz w:val="23"/>
          <w:szCs w:val="23"/>
          <w:lang w:val="es-PE"/>
        </w:rPr>
        <w:t>Gonzalo Abad del Busto – Vocal</w:t>
      </w:r>
    </w:p>
    <w:p w:rsidRPr="00307C65"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12C0B" w:rsidP="00784355" w:rsidRDefault="00B12C0B" w14:paraId="28BA5549" w14:textId="77777777">
      <w:pPr>
        <w:spacing w:after="0" w:line="240" w:lineRule="auto"/>
      </w:pPr>
      <w:r>
        <w:separator/>
      </w:r>
    </w:p>
  </w:endnote>
  <w:endnote w:type="continuationSeparator" w:id="0">
    <w:p w:rsidR="00B12C0B" w:rsidP="00784355" w:rsidRDefault="00B12C0B" w14:paraId="6C874B1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12C0B" w:rsidP="00784355" w:rsidRDefault="00B12C0B" w14:paraId="53FC76F2" w14:textId="77777777">
      <w:pPr>
        <w:spacing w:after="0" w:line="240" w:lineRule="auto"/>
      </w:pPr>
      <w:r>
        <w:separator/>
      </w:r>
    </w:p>
  </w:footnote>
  <w:footnote w:type="continuationSeparator" w:id="0">
    <w:p w:rsidR="00B12C0B" w:rsidP="00784355" w:rsidRDefault="00B12C0B" w14:paraId="25EABE2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5"/>
  </w:num>
  <w:num w:numId="3" w16cid:durableId="333261791">
    <w:abstractNumId w:val="21"/>
  </w:num>
  <w:num w:numId="4" w16cid:durableId="1770345525">
    <w:abstractNumId w:val="20"/>
  </w:num>
  <w:num w:numId="5" w16cid:durableId="1816144979">
    <w:abstractNumId w:val="23"/>
  </w:num>
  <w:num w:numId="6" w16cid:durableId="1304313350">
    <w:abstractNumId w:val="0"/>
  </w:num>
  <w:num w:numId="7" w16cid:durableId="16682880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4"/>
  </w:num>
  <w:num w:numId="17" w16cid:durableId="17998823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1"/>
  </w:num>
  <w:num w:numId="26" w16cid:durableId="2108460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1F82"/>
    <w:rsid w:val="001529FE"/>
    <w:rsid w:val="00157979"/>
    <w:rsid w:val="00160361"/>
    <w:rsid w:val="001703D8"/>
    <w:rsid w:val="00170E39"/>
    <w:rsid w:val="0017140F"/>
    <w:rsid w:val="00171DF3"/>
    <w:rsid w:val="00174918"/>
    <w:rsid w:val="001749D2"/>
    <w:rsid w:val="00174DA5"/>
    <w:rsid w:val="00181908"/>
    <w:rsid w:val="00181DCE"/>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07C65"/>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D5FA7"/>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1F1D"/>
    <w:rsid w:val="00763A24"/>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1A22"/>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648F"/>
    <w:rsid w:val="00917CAF"/>
    <w:rsid w:val="009271BE"/>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2A35"/>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1174BFF1"/>
    <w:rsid w:val="1772FFD0"/>
    <w:rsid w:val="1CBCEBF1"/>
    <w:rsid w:val="28EC00A5"/>
    <w:rsid w:val="3D5742BC"/>
    <w:rsid w:val="3F28C83D"/>
    <w:rsid w:val="58A79931"/>
    <w:rsid w:val="6D250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FB878DF-2F3B-44AA-9E6D-B8482A024518}"/>
</file>

<file path=customXml/itemProps3.xml><?xml version="1.0" encoding="utf-8"?>
<ds:datastoreItem xmlns:ds="http://schemas.openxmlformats.org/officeDocument/2006/customXml" ds:itemID="{CAC87DD7-EEDF-4856-9EE8-38BD951D4421}"/>
</file>

<file path=customXml/itemProps4.xml><?xml version="1.0" encoding="utf-8"?>
<ds:datastoreItem xmlns:ds="http://schemas.openxmlformats.org/officeDocument/2006/customXml" ds:itemID="{A05AF9FB-56E7-4716-BC52-C9805590047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283</cp:revision>
  <cp:lastPrinted>2024-05-09T14:53:00Z</cp:lastPrinted>
  <dcterms:created xsi:type="dcterms:W3CDTF">2023-02-14T22:37:00Z</dcterms:created>
  <dcterms:modified xsi:type="dcterms:W3CDTF">2025-12-10T19:36:05Z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