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F4D0C" w:rsidR="00707C99" w:rsidP="00272F4F" w:rsidRDefault="00201C0D" w14:paraId="19FE0E96" w14:textId="31845D18">
      <w:pPr>
        <w:spacing w:after="0" w:line="240" w:lineRule="auto"/>
        <w:jc w:val="center"/>
        <w:rPr>
          <w:rFonts w:ascii="Times New Roman" w:hAnsi="Times New Roman" w:cs="Times New Roman"/>
          <w:b/>
          <w:sz w:val="24"/>
          <w:szCs w:val="24"/>
          <w:lang w:val="es-PE" w:eastAsia="ar-SA"/>
        </w:rPr>
      </w:pPr>
      <w:r w:rsidRPr="00FF4D0C">
        <w:rPr>
          <w:rFonts w:ascii="Times New Roman" w:hAnsi="Times New Roman" w:cs="Times New Roman"/>
          <w:b/>
          <w:sz w:val="24"/>
          <w:szCs w:val="24"/>
          <w:lang w:val="es-PE" w:eastAsia="ar-SA"/>
        </w:rPr>
        <w:t xml:space="preserve">RESOLUCIÓN DE RECURSO IMPUGNATIVO </w:t>
      </w:r>
      <w:r w:rsidRPr="00FF4D0C" w:rsidR="00707C99">
        <w:rPr>
          <w:rFonts w:ascii="Times New Roman" w:hAnsi="Times New Roman" w:cs="Times New Roman"/>
          <w:b/>
          <w:sz w:val="24"/>
          <w:szCs w:val="24"/>
          <w:lang w:val="es-PE" w:eastAsia="ar-SA"/>
        </w:rPr>
        <w:t xml:space="preserve">N° </w:t>
      </w:r>
      <w:r w:rsidRPr="00FF4D0C" w:rsidR="00516293">
        <w:rPr>
          <w:rFonts w:ascii="Times New Roman" w:hAnsi="Times New Roman" w:cs="Times New Roman"/>
          <w:b/>
          <w:sz w:val="24"/>
          <w:szCs w:val="24"/>
          <w:lang w:val="es-PE" w:eastAsia="ar-SA"/>
        </w:rPr>
        <w:t>0</w:t>
      </w:r>
      <w:r w:rsidRPr="00FF4D0C" w:rsidR="000433F1">
        <w:rPr>
          <w:rFonts w:ascii="Times New Roman" w:hAnsi="Times New Roman" w:cs="Times New Roman"/>
          <w:b/>
          <w:sz w:val="24"/>
          <w:szCs w:val="24"/>
          <w:lang w:val="es-PE" w:eastAsia="ar-SA"/>
        </w:rPr>
        <w:t>1</w:t>
      </w:r>
      <w:r w:rsidRPr="00FF4D0C" w:rsidR="001E69BA">
        <w:rPr>
          <w:rFonts w:ascii="Times New Roman" w:hAnsi="Times New Roman" w:cs="Times New Roman"/>
          <w:b/>
          <w:sz w:val="24"/>
          <w:szCs w:val="24"/>
          <w:lang w:val="es-PE" w:eastAsia="ar-SA"/>
        </w:rPr>
        <w:t>7</w:t>
      </w:r>
      <w:r w:rsidRPr="00FF4D0C" w:rsidR="00C671F5">
        <w:rPr>
          <w:rFonts w:ascii="Times New Roman" w:hAnsi="Times New Roman" w:cs="Times New Roman"/>
          <w:b/>
          <w:sz w:val="24"/>
          <w:szCs w:val="24"/>
          <w:lang w:val="es-PE" w:eastAsia="ar-SA"/>
        </w:rPr>
        <w:t>/2</w:t>
      </w:r>
      <w:r w:rsidRPr="00FF4D0C" w:rsidR="00543015">
        <w:rPr>
          <w:rFonts w:ascii="Times New Roman" w:hAnsi="Times New Roman" w:cs="Times New Roman"/>
          <w:b/>
          <w:sz w:val="24"/>
          <w:szCs w:val="24"/>
          <w:lang w:val="es-PE" w:eastAsia="ar-SA"/>
        </w:rPr>
        <w:t>4</w:t>
      </w:r>
    </w:p>
    <w:p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FF4D0C" w:rsidR="000E4569" w:rsidP="000E4569" w:rsidRDefault="000E4569" w14:paraId="2C24DE91" w14:textId="0190B5BF">
      <w:pPr>
        <w:spacing w:after="0" w:line="240" w:lineRule="auto"/>
        <w:jc w:val="both"/>
        <w:rPr>
          <w:rFonts w:ascii="Times New Roman" w:hAnsi="Times New Roman" w:cs="Times New Roman"/>
          <w:sz w:val="24"/>
          <w:szCs w:val="24"/>
          <w:lang w:val="es-PE"/>
        </w:rPr>
      </w:pPr>
      <w:r w:rsidRPr="00FF4D0C">
        <w:rPr>
          <w:rFonts w:ascii="Times New Roman" w:hAnsi="Times New Roman" w:cs="Times New Roman"/>
          <w:b/>
          <w:sz w:val="24"/>
          <w:szCs w:val="24"/>
          <w:lang w:val="es-PE"/>
        </w:rPr>
        <w:t xml:space="preserve">Vistos: </w:t>
      </w:r>
    </w:p>
    <w:p w:rsidRPr="00FF4D0C" w:rsidR="000E4569" w:rsidP="000E4569" w:rsidRDefault="000E4569" w14:paraId="1D7B1BA6" w14:textId="77777777">
      <w:pPr>
        <w:spacing w:after="0" w:line="240" w:lineRule="auto"/>
        <w:jc w:val="both"/>
        <w:rPr>
          <w:rFonts w:ascii="Times New Roman" w:hAnsi="Times New Roman" w:cs="Times New Roman"/>
          <w:sz w:val="24"/>
          <w:szCs w:val="24"/>
          <w:lang w:val="es-PE"/>
        </w:rPr>
      </w:pPr>
    </w:p>
    <w:p w:rsidRPr="00FF4D0C" w:rsidR="000E4569" w:rsidP="000E4569" w:rsidRDefault="000E4569" w14:paraId="16E060E9" w14:textId="465B4A3B">
      <w:pPr>
        <w:spacing w:line="240" w:lineRule="auto"/>
        <w:jc w:val="both"/>
        <w:rPr>
          <w:rFonts w:ascii="Times New Roman" w:hAnsi="Times New Roman" w:cs="Times New Roman"/>
          <w:sz w:val="24"/>
          <w:szCs w:val="24"/>
          <w:lang w:val="es-PE"/>
        </w:rPr>
      </w:pPr>
      <w:r w:rsidRPr="61BF73A0" w:rsidR="000E4569">
        <w:rPr>
          <w:rFonts w:ascii="Times New Roman" w:hAnsi="Times New Roman" w:cs="Times New Roman"/>
          <w:sz w:val="24"/>
          <w:szCs w:val="24"/>
          <w:lang w:val="es-PE"/>
        </w:rPr>
        <w:t xml:space="preserve">El Recurso Impugnativo presentado por </w:t>
      </w:r>
      <w:r w:rsidRPr="61BF73A0" w:rsidR="472CB6DD">
        <w:rPr>
          <w:rFonts w:ascii="Times New Roman" w:hAnsi="Times New Roman" w:cs="Times New Roman"/>
          <w:b w:val="1"/>
          <w:bCs w:val="1"/>
          <w:sz w:val="24"/>
          <w:szCs w:val="24"/>
          <w:lang w:val="es-PE"/>
        </w:rPr>
        <w:t>................................</w:t>
      </w:r>
      <w:r w:rsidRPr="61BF73A0" w:rsidR="000E4569">
        <w:rPr>
          <w:rFonts w:ascii="Times New Roman" w:hAnsi="Times New Roman" w:cs="Times New Roman"/>
          <w:sz w:val="24"/>
          <w:szCs w:val="24"/>
          <w:lang w:val="es-PE"/>
        </w:rPr>
        <w:t xml:space="preserve">, respecto de la Resolución </w:t>
      </w:r>
      <w:r w:rsidRPr="61BF73A0" w:rsidR="000E4569">
        <w:rPr>
          <w:rFonts w:ascii="Times New Roman" w:hAnsi="Times New Roman" w:cs="Times New Roman"/>
          <w:sz w:val="24"/>
          <w:szCs w:val="24"/>
          <w:lang w:val="es-PE"/>
        </w:rPr>
        <w:t>N°</w:t>
      </w:r>
      <w:r w:rsidRPr="61BF73A0" w:rsidR="000E4569">
        <w:rPr>
          <w:rFonts w:ascii="Times New Roman" w:hAnsi="Times New Roman" w:cs="Times New Roman"/>
          <w:sz w:val="24"/>
          <w:szCs w:val="24"/>
          <w:lang w:val="es-PE"/>
        </w:rPr>
        <w:t xml:space="preserve"> 030/24, emitida por esta Defensoría del Asegurado (DEFASEG) que declaró FUNDADA la reclamación interpuesta, sobre otorgamiento de cobertura al siniestro ocurrido bajo la Póliza de Seguro SOAT contratada.</w:t>
      </w:r>
    </w:p>
    <w:p w:rsidRPr="00FF4D0C" w:rsidR="000E4569" w:rsidP="000E4569" w:rsidRDefault="000E4569" w14:paraId="38F28790" w14:textId="236D1EFA">
      <w:pPr>
        <w:spacing w:line="240" w:lineRule="auto"/>
        <w:jc w:val="both"/>
        <w:rPr>
          <w:rFonts w:ascii="Times New Roman" w:hAnsi="Times New Roman" w:cs="Times New Roman"/>
          <w:sz w:val="24"/>
          <w:szCs w:val="24"/>
          <w:lang w:val="es-PE"/>
        </w:rPr>
      </w:pPr>
      <w:r w:rsidRPr="61BF73A0" w:rsidR="000E4569">
        <w:rPr>
          <w:rFonts w:ascii="Times New Roman" w:hAnsi="Times New Roman" w:cs="Times New Roman"/>
          <w:sz w:val="24"/>
          <w:szCs w:val="24"/>
          <w:lang w:val="es-PE"/>
        </w:rPr>
        <w:t xml:space="preserve">Que el señalado Recurso Impugnativo se fundamenta resumidamente en lo siguiente: 1) Que, el rechazo de la cobertura presentada por el Sr. </w:t>
      </w:r>
      <w:r w:rsidRPr="61BF73A0" w:rsidR="46FFE677">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se encuentra plenamente justificado, en tanto su fallecido padre era transportado en el vehículo menor del cual no se pudo verificar la placa de rodaje y, por tanto, tan poco se puede determinar si contaba con una póliza SOAT a cargo de </w:t>
      </w:r>
      <w:r w:rsidRPr="61BF73A0" w:rsidR="472CB6DD">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2) Que, así pues, según lo dispuesto en el artículo 17 del Reglamento SOAT, en caso de accidentes en los que hayan participado dos (2) o más vehículos, cada compañía de seguros será responsable del pago de las indemnizaciones correspondientes a las personas transportadas en el vehículo por ella asegurado. 3) Que, la aseguradora reitera que, en la medida que el padre del señor </w:t>
      </w:r>
      <w:r w:rsidRPr="61BF73A0" w:rsidR="46FFE677">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w:t>
      </w:r>
      <w:r w:rsidRPr="61BF73A0" w:rsidR="000E4569">
        <w:rPr>
          <w:rFonts w:ascii="Times New Roman" w:hAnsi="Times New Roman" w:cs="Times New Roman"/>
          <w:sz w:val="24"/>
          <w:szCs w:val="24"/>
          <w:lang w:val="es-PE"/>
        </w:rPr>
        <w:t xml:space="preserve">se encontraba en calidad de ocupante de la unidad menor, de la cual no se pudo identificar que estuvo asegurada a través de una póliza SOAT emitida por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no corresponde la activación de la cobertura solicitada.</w:t>
      </w:r>
      <w:r w:rsidRPr="61BF73A0" w:rsidR="000E4569">
        <w:rPr>
          <w:rFonts w:ascii="Times New Roman" w:hAnsi="Times New Roman" w:cs="Times New Roman"/>
          <w:sz w:val="24"/>
          <w:szCs w:val="24"/>
          <w:lang w:val="es-PE"/>
        </w:rPr>
        <w:t xml:space="preserve"> 4) Que, el artículo 173°.2 del Texto Único Ordenado de la Ley </w:t>
      </w:r>
      <w:r w:rsidRPr="61BF73A0" w:rsidR="000E4569">
        <w:rPr>
          <w:rFonts w:ascii="Times New Roman" w:hAnsi="Times New Roman" w:cs="Times New Roman"/>
          <w:sz w:val="24"/>
          <w:szCs w:val="24"/>
          <w:lang w:val="es-PE"/>
        </w:rPr>
        <w:t>N°</w:t>
      </w:r>
      <w:r w:rsidRPr="61BF73A0" w:rsidR="000E4569">
        <w:rPr>
          <w:rFonts w:ascii="Times New Roman" w:hAnsi="Times New Roman" w:cs="Times New Roman"/>
          <w:sz w:val="24"/>
          <w:szCs w:val="24"/>
          <w:lang w:val="es-PE"/>
        </w:rPr>
        <w:t xml:space="preserve"> 27444, Ley de Procedimiento Administrativo General, establece </w:t>
      </w:r>
      <w:r w:rsidRPr="61BF73A0" w:rsidR="000E4569">
        <w:rPr>
          <w:rFonts w:ascii="Times New Roman" w:hAnsi="Times New Roman" w:cs="Times New Roman"/>
          <w:sz w:val="24"/>
          <w:szCs w:val="24"/>
          <w:lang w:val="es-PE"/>
        </w:rPr>
        <w:t>a</w:t>
      </w:r>
      <w:r w:rsidRPr="61BF73A0" w:rsidR="000E4569">
        <w:rPr>
          <w:rFonts w:ascii="Times New Roman" w:hAnsi="Times New Roman" w:cs="Times New Roman"/>
          <w:sz w:val="24"/>
          <w:szCs w:val="24"/>
          <w:lang w:val="es-PE"/>
        </w:rPr>
        <w:t xml:space="preserve"> obligación de los administrados de aportar pruebas. Este artículo se complementa con lo dispuesto en el artículo 196° del Código Procesal Civil – de aplicación complementaria al presente procedimiento que señala que la carga de la prueba corresponde a quien afirma los hechos que configuran su pretensión. 5) Que, es el Sr. </w:t>
      </w:r>
      <w:r w:rsidRPr="61BF73A0" w:rsidR="46FFE677">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quien debe presentar la aclaración de la denuncia policial u otro medio probatorio que acredite que su padre se encontraba en una unidad vehicular asegurada por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6) Que, por otro lado, el colegiado dispone de manera general que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debe activar la cobertura SOAT, incluyendo así el reembolso de gastos por sepelio, no obstante, se pone en conocimiento de la Defensoría que el Sr. </w:t>
      </w:r>
      <w:r w:rsidRPr="61BF73A0" w:rsidR="46FFE677">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no tiene legitimidad para obrar, en tanto es la señora </w:t>
      </w:r>
      <w:r w:rsidRPr="61BF73A0" w:rsidR="7384FBA6">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quien ha demostrado haber gastado S/. 5,000.00 soles. Que, en tal sentido, resulta claro que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no se encontraba en la obligación de abonar alguna indemnización por fallecimiento ni reembolso de gastos de sepelio al Sr. </w:t>
      </w:r>
      <w:r w:rsidRPr="61BF73A0" w:rsidR="46FFE677">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w:t>
      </w:r>
    </w:p>
    <w:p w:rsidRPr="00FF4D0C" w:rsidR="000E4569" w:rsidP="000E4569" w:rsidRDefault="000E4569" w14:paraId="4B476CA3" w14:textId="20DB4F36">
      <w:pPr>
        <w:spacing w:line="240" w:lineRule="auto"/>
        <w:jc w:val="both"/>
        <w:rPr>
          <w:rFonts w:ascii="Times New Roman" w:hAnsi="Times New Roman" w:cs="Times New Roman"/>
          <w:sz w:val="24"/>
          <w:szCs w:val="24"/>
          <w:lang w:val="es-PE"/>
        </w:rPr>
      </w:pPr>
      <w:r w:rsidRPr="61BF73A0" w:rsidR="000E4569">
        <w:rPr>
          <w:rFonts w:ascii="Times New Roman" w:hAnsi="Times New Roman" w:cs="Times New Roman"/>
          <w:sz w:val="24"/>
          <w:szCs w:val="24"/>
          <w:lang w:val="es-PE"/>
        </w:rPr>
        <w:t xml:space="preserve">Que, habiéndose corrido traslado al señor </w:t>
      </w:r>
      <w:r w:rsidRPr="61BF73A0" w:rsidR="081E7CD9">
        <w:rPr>
          <w:rFonts w:ascii="Times New Roman" w:hAnsi="Times New Roman" w:cs="Times New Roman"/>
          <w:sz w:val="24"/>
          <w:szCs w:val="24"/>
          <w:lang w:val="es-PE"/>
        </w:rPr>
        <w:t>..................................................</w:t>
      </w:r>
      <w:r w:rsidRPr="61BF73A0" w:rsidR="46FFE677">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del referido Recurso impugnatorio, el mismo presentó su contestación indicando lo siguiente: 1) Que,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en su Recurso de Revisión no fundamente nueva prueba y no presenta nuevos argumentos más que los que ya resolvió la DEFASEG a través de la Resolución </w:t>
      </w:r>
      <w:r w:rsidRPr="61BF73A0" w:rsidR="000E4569">
        <w:rPr>
          <w:rFonts w:ascii="Times New Roman" w:hAnsi="Times New Roman" w:cs="Times New Roman"/>
          <w:sz w:val="24"/>
          <w:szCs w:val="24"/>
          <w:lang w:val="es-PE"/>
        </w:rPr>
        <w:t>N°</w:t>
      </w:r>
      <w:r w:rsidRPr="61BF73A0" w:rsidR="000E4569">
        <w:rPr>
          <w:rFonts w:ascii="Times New Roman" w:hAnsi="Times New Roman" w:cs="Times New Roman"/>
          <w:sz w:val="24"/>
          <w:szCs w:val="24"/>
          <w:lang w:val="es-PE"/>
        </w:rPr>
        <w:t xml:space="preserve"> 030/24. 2) Que,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no cumplió con presentar prueba documentaria de que el fallecimiento del padre del reclamante no se debió a atropello causado por el vehículo asegurado en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conforme a lo solicitad por la DEFASEG en la audiencia de vista. 3) Que, los gastos de sepelio fueron realizados por la Sra. </w:t>
      </w:r>
      <w:r w:rsidRPr="61BF73A0" w:rsidR="7384FBA6">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con DNI </w:t>
      </w:r>
      <w:r w:rsidRPr="61BF73A0" w:rsidR="000E4569">
        <w:rPr>
          <w:rFonts w:ascii="Times New Roman" w:hAnsi="Times New Roman" w:cs="Times New Roman"/>
          <w:sz w:val="24"/>
          <w:szCs w:val="24"/>
          <w:lang w:val="es-PE"/>
        </w:rPr>
        <w:t>N°</w:t>
      </w:r>
      <w:r w:rsidRPr="61BF73A0" w:rsidR="000E4569">
        <w:rPr>
          <w:rFonts w:ascii="Times New Roman" w:hAnsi="Times New Roman" w:cs="Times New Roman"/>
          <w:sz w:val="24"/>
          <w:szCs w:val="24"/>
          <w:lang w:val="es-PE"/>
        </w:rPr>
        <w:t xml:space="preserve"> </w:t>
      </w:r>
      <w:r w:rsidRPr="61BF73A0" w:rsidR="07C997AD">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4) Que, la legitimidad del reclamante para obrar se basa en que es hijo y único beneficiario para cobrar la indemnización del SOAT que debe pagar Rímac, como consecuencia del fallecimiento de su padre en accidente de tránsito de fecha 22 de junio de 2023.  </w:t>
      </w:r>
    </w:p>
    <w:p w:rsidRPr="00FF4D0C" w:rsidR="000E4569" w:rsidP="000E4569" w:rsidRDefault="000E4569" w14:paraId="0E1F9471" w14:textId="77777777">
      <w:pPr>
        <w:spacing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 xml:space="preserve"> En consecuencia y atendiendo a lo expuesto, esta Defensoría resuelve finalmente lo siguiente:</w:t>
      </w:r>
    </w:p>
    <w:p w:rsidRPr="00FF4D0C" w:rsidR="000E4569" w:rsidP="000E4569" w:rsidRDefault="000E4569" w14:paraId="6C8E63C0" w14:textId="4884B15D">
      <w:pPr>
        <w:spacing w:line="240" w:lineRule="auto"/>
        <w:jc w:val="both"/>
        <w:rPr>
          <w:rFonts w:ascii="Times New Roman" w:hAnsi="Times New Roman" w:cs="Times New Roman"/>
          <w:sz w:val="24"/>
          <w:szCs w:val="24"/>
          <w:lang w:val="es-PE"/>
        </w:rPr>
      </w:pPr>
      <w:r w:rsidRPr="61BF73A0" w:rsidR="000E4569">
        <w:rPr>
          <w:rFonts w:ascii="Times New Roman" w:hAnsi="Times New Roman" w:cs="Times New Roman"/>
          <w:b w:val="1"/>
          <w:bCs w:val="1"/>
          <w:sz w:val="24"/>
          <w:szCs w:val="24"/>
          <w:lang w:val="es-PE"/>
        </w:rPr>
        <w:t>PRIMERO:</w:t>
      </w:r>
      <w:r w:rsidRPr="61BF73A0" w:rsidR="000E4569">
        <w:rPr>
          <w:rFonts w:ascii="Times New Roman" w:hAnsi="Times New Roman" w:cs="Times New Roman"/>
          <w:sz w:val="24"/>
          <w:szCs w:val="24"/>
          <w:lang w:val="es-PE"/>
        </w:rPr>
        <w:t xml:space="preserve"> Que el artículo 10 (Procedimiento) del Reglamento de la DEFASEG (</w:t>
      </w:r>
      <w:hyperlink r:id="R4e98b33a01df44ee">
        <w:r w:rsidRPr="61BF73A0" w:rsidR="000E4569">
          <w:rPr>
            <w:rStyle w:val="Hipervnculo"/>
            <w:rFonts w:ascii="Times New Roman" w:hAnsi="Times New Roman" w:cs="Times New Roman"/>
            <w:sz w:val="24"/>
            <w:szCs w:val="24"/>
            <w:lang w:val="es-PE"/>
          </w:rPr>
          <w:t>http://www.defaseg.com.pe/reglamento</w:t>
        </w:r>
      </w:hyperlink>
      <w:r w:rsidRPr="61BF73A0" w:rsidR="000E4569">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61BF73A0" w:rsidR="472CB6DD">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FF4D0C" w:rsidR="000E4569" w:rsidP="000E4569" w:rsidRDefault="000E4569" w14:paraId="2D95BF80" w14:textId="77777777">
      <w:pPr>
        <w:spacing w:line="240" w:lineRule="auto"/>
        <w:jc w:val="both"/>
        <w:rPr>
          <w:rFonts w:ascii="Times New Roman" w:hAnsi="Times New Roman" w:cs="Times New Roman"/>
          <w:sz w:val="24"/>
          <w:szCs w:val="24"/>
          <w:lang w:val="es-PE"/>
        </w:rPr>
      </w:pPr>
      <w:r w:rsidRPr="00FF4D0C">
        <w:rPr>
          <w:rFonts w:ascii="Times New Roman" w:hAnsi="Times New Roman" w:cs="Times New Roman"/>
          <w:b/>
          <w:sz w:val="24"/>
          <w:szCs w:val="24"/>
          <w:lang w:val="es-PE"/>
        </w:rPr>
        <w:t>SEGUNDO:</w:t>
      </w:r>
      <w:r w:rsidRPr="00FF4D0C">
        <w:rPr>
          <w:rFonts w:ascii="Times New Roman" w:hAnsi="Times New Roman" w:cs="Times New Roman"/>
          <w:sz w:val="24"/>
          <w:szCs w:val="24"/>
          <w:lang w:val="es-PE"/>
        </w:rPr>
        <w:t xml:space="preserve"> Que, de la lectura del Recurso Impugnativo interpuesto se aprecia que la aseguradora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aseguradora que este colegiado no comparte, pero sin aportar argumento o medio probatorio alguno que permita objetivamente a este colegiado apreciar que habría incurrido efectivamente en un error o vicio al momento de resolver.</w:t>
      </w:r>
    </w:p>
    <w:p w:rsidRPr="00FF4D0C" w:rsidR="000E4569" w:rsidP="000E4569" w:rsidRDefault="000E4569" w14:paraId="64E069FD" w14:textId="77777777">
      <w:pPr>
        <w:spacing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 xml:space="preserve">Que, sin perjuicio de lo anterior, esta Defensoría considera oportuno mencionar nuevamente lo siguiente: </w:t>
      </w:r>
    </w:p>
    <w:p w:rsidRPr="00FF4D0C" w:rsidR="000E4569" w:rsidP="000E4569" w:rsidRDefault="000E4569" w14:paraId="104EFC9C" w14:textId="77777777">
      <w:pPr>
        <w:pStyle w:val="Prrafodelista"/>
        <w:numPr>
          <w:ilvl w:val="0"/>
          <w:numId w:val="32"/>
        </w:numPr>
        <w:spacing w:after="0"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Que, el Acta de Intervención Policial N° 30 de fecha 22 de junio de 2023, expresa lo siguiente:</w:t>
      </w:r>
    </w:p>
    <w:p w:rsidRPr="00FF4D0C" w:rsidR="000E4569" w:rsidP="000E4569" w:rsidRDefault="000E4569" w14:paraId="413D9D27" w14:textId="77777777">
      <w:pPr>
        <w:spacing w:after="0" w:line="240" w:lineRule="auto"/>
        <w:jc w:val="both"/>
        <w:rPr>
          <w:rFonts w:ascii="Times New Roman" w:hAnsi="Times New Roman" w:cs="Times New Roman"/>
          <w:sz w:val="24"/>
          <w:szCs w:val="24"/>
          <w:lang w:val="es-PE"/>
        </w:rPr>
      </w:pPr>
    </w:p>
    <w:p w:rsidRPr="00FF4D0C" w:rsidR="000E4569" w:rsidP="000E4569" w:rsidRDefault="000E4569" w14:paraId="73C2A8A6" w14:textId="77777777">
      <w:pPr>
        <w:spacing w:after="0"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“RESOLUCION</w:t>
      </w:r>
    </w:p>
    <w:p w:rsidRPr="00FF4D0C" w:rsidR="000E4569" w:rsidP="000E4569" w:rsidRDefault="000E4569" w14:paraId="0DCCCD16" w14:textId="77777777">
      <w:pPr>
        <w:spacing w:after="0" w:line="240" w:lineRule="auto"/>
        <w:jc w:val="both"/>
        <w:rPr>
          <w:rFonts w:ascii="Times New Roman" w:hAnsi="Times New Roman" w:cs="Times New Roman"/>
          <w:sz w:val="24"/>
          <w:szCs w:val="24"/>
          <w:lang w:val="es-PE"/>
        </w:rPr>
      </w:pPr>
    </w:p>
    <w:p w:rsidRPr="00FF4D0C" w:rsidR="000E4569" w:rsidP="000E4569" w:rsidRDefault="000E4569" w14:paraId="04E4844F" w14:textId="77777777">
      <w:pPr>
        <w:spacing w:after="0"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 xml:space="preserve">° OFICIO NRO: OFICIO N° 393-23-IIIMACREGPOL-LAL/REGPOL-LAL-DIVPO, FECHA 24/06/2023 (…) el instructor </w:t>
      </w:r>
    </w:p>
    <w:p w:rsidRPr="00FF4D0C" w:rsidR="000E4569" w:rsidP="000E4569" w:rsidRDefault="000E4569" w14:paraId="4DB490D5" w14:textId="77777777">
      <w:pPr>
        <w:spacing w:after="0" w:line="240" w:lineRule="auto"/>
        <w:jc w:val="both"/>
        <w:rPr>
          <w:rFonts w:ascii="Times New Roman" w:hAnsi="Times New Roman" w:cs="Times New Roman"/>
          <w:sz w:val="24"/>
          <w:szCs w:val="24"/>
          <w:lang w:val="es-PE"/>
        </w:rPr>
      </w:pPr>
    </w:p>
    <w:p w:rsidRPr="00FF4D0C" w:rsidR="000E4569" w:rsidP="000E4569" w:rsidRDefault="000E4569" w14:paraId="232515D2" w14:textId="77777777">
      <w:pPr>
        <w:spacing w:after="0" w:line="240" w:lineRule="auto"/>
        <w:jc w:val="both"/>
        <w:rPr>
          <w:rFonts w:ascii="Times New Roman" w:hAnsi="Times New Roman" w:cs="Times New Roman"/>
          <w:b/>
          <w:bCs/>
          <w:sz w:val="24"/>
          <w:szCs w:val="24"/>
          <w:lang w:val="es-PE"/>
        </w:rPr>
      </w:pPr>
      <w:r w:rsidRPr="00FF4D0C">
        <w:rPr>
          <w:rFonts w:ascii="Times New Roman" w:hAnsi="Times New Roman" w:cs="Times New Roman"/>
          <w:b/>
          <w:bCs/>
          <w:sz w:val="24"/>
          <w:szCs w:val="24"/>
          <w:lang w:val="es-PE"/>
        </w:rPr>
        <w:t>MOTIVO DE ACCIDENTES DE TRANSITO Y CAIDA DE PASAJERO CON ATROPELLO FATAL, FRMULADO POR COMISARÍA HUAMACHUCO – REGPOL – LA LIBERTAD.</w:t>
      </w:r>
    </w:p>
    <w:p w:rsidRPr="00FF4D0C" w:rsidR="000E4569" w:rsidP="000E4569" w:rsidRDefault="000E4569" w14:paraId="60C2D5FB" w14:textId="77777777">
      <w:pPr>
        <w:spacing w:after="0" w:line="240" w:lineRule="auto"/>
        <w:jc w:val="both"/>
        <w:rPr>
          <w:rFonts w:ascii="Times New Roman" w:hAnsi="Times New Roman" w:cs="Times New Roman"/>
          <w:sz w:val="24"/>
          <w:szCs w:val="24"/>
          <w:lang w:val="es-PE"/>
        </w:rPr>
      </w:pPr>
    </w:p>
    <w:p w:rsidRPr="00FF4D0C" w:rsidR="000E4569" w:rsidP="000E4569" w:rsidRDefault="000E4569" w14:paraId="2D97DCF8" w14:textId="77777777">
      <w:pPr>
        <w:spacing w:after="0"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Fdo. EL INSTRUCTOR – Fdo. EL DENUNCIANTE</w:t>
      </w:r>
    </w:p>
    <w:p w:rsidRPr="00FF4D0C" w:rsidR="000E4569" w:rsidP="000E4569" w:rsidRDefault="000E4569" w14:paraId="3604E751" w14:textId="77777777">
      <w:pPr>
        <w:spacing w:after="0"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IMPRESIÓN DIGITAL</w:t>
      </w:r>
    </w:p>
    <w:p w:rsidRPr="00FF4D0C" w:rsidR="000E4569" w:rsidP="000E4569" w:rsidRDefault="000E4569" w14:paraId="752AE45E" w14:textId="77777777">
      <w:pPr>
        <w:spacing w:after="0" w:line="240" w:lineRule="auto"/>
        <w:jc w:val="both"/>
        <w:rPr>
          <w:rFonts w:ascii="Times New Roman" w:hAnsi="Times New Roman" w:cs="Times New Roman"/>
          <w:sz w:val="24"/>
          <w:szCs w:val="24"/>
          <w:lang w:val="es-PE"/>
        </w:rPr>
      </w:pPr>
    </w:p>
    <w:p w:rsidRPr="00FF4D0C" w:rsidR="000E4569" w:rsidP="000E4569" w:rsidRDefault="000E4569" w14:paraId="0987D11B" w14:textId="77777777">
      <w:pPr>
        <w:spacing w:after="0"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El resaltado es nuestro</w:t>
      </w:r>
    </w:p>
    <w:p w:rsidRPr="00FF4D0C" w:rsidR="000E4569" w:rsidP="000E4569" w:rsidRDefault="000E4569" w14:paraId="3A6D9C1A" w14:textId="77777777">
      <w:pPr>
        <w:spacing w:after="0" w:line="240" w:lineRule="auto"/>
        <w:jc w:val="both"/>
        <w:rPr>
          <w:rFonts w:ascii="Times New Roman" w:hAnsi="Times New Roman" w:cs="Times New Roman"/>
          <w:sz w:val="24"/>
          <w:szCs w:val="24"/>
          <w:lang w:val="es-PE"/>
        </w:rPr>
      </w:pPr>
    </w:p>
    <w:p w:rsidRPr="00FF4D0C" w:rsidR="000E4569" w:rsidP="000E4569" w:rsidRDefault="000E4569" w14:paraId="1A0A5A21" w14:textId="2470015D">
      <w:pPr>
        <w:pStyle w:val="Prrafodelista"/>
        <w:numPr>
          <w:ilvl w:val="0"/>
          <w:numId w:val="32"/>
        </w:numPr>
        <w:spacing w:after="0" w:line="240" w:lineRule="auto"/>
        <w:jc w:val="both"/>
        <w:rPr>
          <w:rFonts w:ascii="Times New Roman" w:hAnsi="Times New Roman" w:cs="Times New Roman"/>
          <w:sz w:val="24"/>
          <w:szCs w:val="24"/>
          <w:lang w:val="es-PE"/>
        </w:rPr>
      </w:pPr>
      <w:r w:rsidRPr="61BF73A0" w:rsidR="000E4569">
        <w:rPr>
          <w:rFonts w:ascii="Times New Roman" w:hAnsi="Times New Roman" w:cs="Times New Roman"/>
          <w:sz w:val="24"/>
          <w:szCs w:val="24"/>
          <w:lang w:val="es-PE"/>
        </w:rPr>
        <w:t xml:space="preserve">Que, por su parte,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en su descargo solo menciona que el fallecido era, al momento del siniestro, ocupante de la unidad menor.</w:t>
      </w:r>
    </w:p>
    <w:p w:rsidRPr="00FF4D0C" w:rsidR="000E4569" w:rsidP="000E4569" w:rsidRDefault="000E4569" w14:paraId="1A305ECF" w14:textId="31173866">
      <w:pPr>
        <w:pStyle w:val="Prrafodelista"/>
        <w:numPr>
          <w:ilvl w:val="0"/>
          <w:numId w:val="32"/>
        </w:numPr>
        <w:spacing w:after="0" w:line="240" w:lineRule="auto"/>
        <w:jc w:val="both"/>
        <w:rPr>
          <w:rFonts w:ascii="Times New Roman" w:hAnsi="Times New Roman" w:cs="Times New Roman"/>
          <w:sz w:val="24"/>
          <w:szCs w:val="24"/>
          <w:lang w:val="es-PE"/>
        </w:rPr>
      </w:pPr>
      <w:r w:rsidRPr="61BF73A0" w:rsidR="000E4569">
        <w:rPr>
          <w:rFonts w:ascii="Times New Roman" w:hAnsi="Times New Roman" w:cs="Times New Roman"/>
          <w:sz w:val="24"/>
          <w:szCs w:val="24"/>
          <w:lang w:val="es-PE"/>
        </w:rPr>
        <w:t xml:space="preserve">Que, ante dicha situación, la DEFASEG al término de la audiencia de vista otorgó un plazo adicional de cinco (5) días hábiles a la aseguradora, para que presente una prueba documentaria de que el fallecimiento del señor </w:t>
      </w:r>
      <w:r w:rsidRPr="61BF73A0" w:rsidR="46FFE677">
        <w:rPr>
          <w:rFonts w:ascii="Times New Roman" w:hAnsi="Times New Roman" w:cs="Times New Roman"/>
          <w:sz w:val="24"/>
          <w:szCs w:val="24"/>
          <w:lang w:val="es-PE"/>
        </w:rPr>
        <w:t>...................</w:t>
      </w:r>
      <w:r w:rsidRPr="61BF73A0" w:rsidR="532DC316">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no se debió a atropello causado por el vehículo asegurado en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w:t>
      </w:r>
    </w:p>
    <w:p w:rsidRPr="00FF4D0C" w:rsidR="000E4569" w:rsidP="000E4569" w:rsidRDefault="000E4569" w14:paraId="4CB1F53A" w14:textId="33AF2752">
      <w:pPr>
        <w:pStyle w:val="Prrafodelista"/>
        <w:numPr>
          <w:ilvl w:val="0"/>
          <w:numId w:val="32"/>
        </w:numPr>
        <w:spacing w:after="0" w:line="240" w:lineRule="auto"/>
        <w:jc w:val="both"/>
        <w:rPr>
          <w:rFonts w:ascii="Times New Roman" w:hAnsi="Times New Roman" w:cs="Times New Roman"/>
          <w:sz w:val="24"/>
          <w:szCs w:val="24"/>
          <w:lang w:val="es-PE"/>
        </w:rPr>
      </w:pPr>
      <w:r w:rsidRPr="61BF73A0" w:rsidR="000E4569">
        <w:rPr>
          <w:rFonts w:ascii="Times New Roman" w:hAnsi="Times New Roman" w:cs="Times New Roman"/>
          <w:sz w:val="24"/>
          <w:szCs w:val="24"/>
          <w:lang w:val="es-PE"/>
        </w:rPr>
        <w:t xml:space="preserve">Que, habiendo vencido el plazo otorgado a la aseguradora para que presente lo solicitado, lamentablemente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no ha cumplido con tal solicitud.</w:t>
      </w:r>
    </w:p>
    <w:p w:rsidRPr="00FF4D0C" w:rsidR="000E4569" w:rsidP="000E4569" w:rsidRDefault="000E4569" w14:paraId="62199D97" w14:textId="77777777">
      <w:pPr>
        <w:spacing w:after="0" w:line="240" w:lineRule="auto"/>
        <w:jc w:val="both"/>
        <w:rPr>
          <w:rFonts w:ascii="Times New Roman" w:hAnsi="Times New Roman" w:cs="Times New Roman"/>
          <w:sz w:val="24"/>
          <w:szCs w:val="24"/>
          <w:lang w:val="es-PE"/>
        </w:rPr>
      </w:pPr>
    </w:p>
    <w:p w:rsidRPr="00FF4D0C" w:rsidR="000E4569" w:rsidP="000E4569" w:rsidRDefault="000E4569" w14:paraId="0BBF9CCD" w14:textId="77777777">
      <w:pPr>
        <w:spacing w:after="0"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FF4D0C" w:rsidR="000E4569" w:rsidP="000E4569" w:rsidRDefault="000E4569" w14:paraId="50EF0A03" w14:textId="77777777">
      <w:pPr>
        <w:spacing w:after="0" w:line="240" w:lineRule="auto"/>
        <w:jc w:val="both"/>
        <w:rPr>
          <w:rFonts w:ascii="Times New Roman" w:hAnsi="Times New Roman" w:cs="Times New Roman"/>
          <w:sz w:val="24"/>
          <w:szCs w:val="24"/>
          <w:lang w:val="es-PE"/>
        </w:rPr>
      </w:pPr>
    </w:p>
    <w:p w:rsidRPr="00FF4D0C" w:rsidR="000E4569" w:rsidP="000E4569" w:rsidRDefault="000E4569" w14:paraId="7D5FEF00" w14:textId="77777777">
      <w:pPr>
        <w:spacing w:line="240" w:lineRule="auto"/>
        <w:jc w:val="both"/>
        <w:rPr>
          <w:rFonts w:ascii="Times New Roman" w:hAnsi="Times New Roman" w:cs="Times New Roman"/>
          <w:b/>
          <w:sz w:val="24"/>
          <w:szCs w:val="24"/>
          <w:lang w:val="es-PE"/>
        </w:rPr>
      </w:pPr>
      <w:r w:rsidRPr="00FF4D0C">
        <w:rPr>
          <w:rFonts w:ascii="Times New Roman" w:hAnsi="Times New Roman" w:cs="Times New Roman"/>
          <w:b/>
          <w:sz w:val="24"/>
          <w:szCs w:val="24"/>
          <w:lang w:val="es-PE"/>
        </w:rPr>
        <w:t xml:space="preserve">RESUELVE: </w:t>
      </w:r>
    </w:p>
    <w:p w:rsidRPr="00FF4D0C" w:rsidR="000E4569" w:rsidP="61BF73A0" w:rsidRDefault="000E4569" w14:paraId="6460D200" w14:textId="3A080BCD">
      <w:pPr>
        <w:spacing w:line="240" w:lineRule="auto"/>
        <w:jc w:val="both"/>
        <w:rPr>
          <w:rFonts w:ascii="Times New Roman" w:hAnsi="Times New Roman" w:cs="Times New Roman"/>
          <w:b w:val="1"/>
          <w:bCs w:val="1"/>
          <w:sz w:val="24"/>
          <w:szCs w:val="24"/>
          <w:lang w:val="es-PE"/>
        </w:rPr>
      </w:pPr>
      <w:r w:rsidRPr="61BF73A0" w:rsidR="000E4569">
        <w:rPr>
          <w:rFonts w:ascii="Times New Roman" w:hAnsi="Times New Roman" w:cs="Times New Roman"/>
          <w:sz w:val="24"/>
          <w:szCs w:val="24"/>
          <w:lang w:val="es-PE"/>
        </w:rPr>
        <w:t xml:space="preserve">Declarar </w:t>
      </w:r>
      <w:r w:rsidRPr="61BF73A0" w:rsidR="000E4569">
        <w:rPr>
          <w:rFonts w:ascii="Times New Roman" w:hAnsi="Times New Roman" w:cs="Times New Roman"/>
          <w:b w:val="1"/>
          <w:bCs w:val="1"/>
          <w:sz w:val="24"/>
          <w:szCs w:val="24"/>
          <w:lang w:val="es-PE"/>
        </w:rPr>
        <w:t>INFUNDADO</w:t>
      </w:r>
      <w:r w:rsidRPr="61BF73A0" w:rsidR="000E4569">
        <w:rPr>
          <w:rFonts w:ascii="Times New Roman" w:hAnsi="Times New Roman" w:cs="Times New Roman"/>
          <w:sz w:val="24"/>
          <w:szCs w:val="24"/>
          <w:lang w:val="es-PE"/>
        </w:rPr>
        <w:t xml:space="preserve"> el Recurso Impugnativo interpuesto y, por consiguiente, ratificar la Resolución </w:t>
      </w:r>
      <w:r w:rsidRPr="61BF73A0" w:rsidR="000E4569">
        <w:rPr>
          <w:rFonts w:ascii="Times New Roman" w:hAnsi="Times New Roman" w:cs="Times New Roman"/>
          <w:sz w:val="24"/>
          <w:szCs w:val="24"/>
          <w:lang w:val="es-PE"/>
        </w:rPr>
        <w:t>N°</w:t>
      </w:r>
      <w:r w:rsidRPr="61BF73A0" w:rsidR="000E4569">
        <w:rPr>
          <w:rFonts w:ascii="Times New Roman" w:hAnsi="Times New Roman" w:cs="Times New Roman"/>
          <w:sz w:val="24"/>
          <w:szCs w:val="24"/>
          <w:lang w:val="es-PE"/>
        </w:rPr>
        <w:t xml:space="preserve"> 030/24 que declaró</w:t>
      </w:r>
      <w:r w:rsidRPr="61BF73A0" w:rsidR="000E4569">
        <w:rPr>
          <w:rFonts w:ascii="Times New Roman" w:hAnsi="Times New Roman" w:cs="Times New Roman"/>
          <w:b w:val="1"/>
          <w:bCs w:val="1"/>
          <w:sz w:val="24"/>
          <w:szCs w:val="24"/>
          <w:lang w:val="es-PE"/>
        </w:rPr>
        <w:t xml:space="preserve"> FUNDADA </w:t>
      </w:r>
      <w:r w:rsidRPr="61BF73A0" w:rsidR="000E4569">
        <w:rPr>
          <w:rFonts w:ascii="Times New Roman" w:hAnsi="Times New Roman" w:cs="Times New Roman"/>
          <w:sz w:val="24"/>
          <w:szCs w:val="24"/>
          <w:lang w:val="es-PE"/>
        </w:rPr>
        <w:t>la reclamación interpuesta</w:t>
      </w:r>
      <w:r w:rsidRPr="61BF73A0" w:rsidR="000E4569">
        <w:rPr>
          <w:rFonts w:ascii="Times New Roman" w:hAnsi="Times New Roman" w:cs="Times New Roman"/>
          <w:b w:val="1"/>
          <w:bCs w:val="1"/>
          <w:sz w:val="24"/>
          <w:szCs w:val="24"/>
          <w:lang w:val="es-PE"/>
        </w:rPr>
        <w:t xml:space="preserve">, </w:t>
      </w:r>
      <w:r w:rsidRPr="61BF73A0" w:rsidR="000E4569">
        <w:rPr>
          <w:rFonts w:ascii="Times New Roman" w:hAnsi="Times New Roman" w:cs="Times New Roman"/>
          <w:sz w:val="24"/>
          <w:szCs w:val="24"/>
          <w:lang w:val="es-PE"/>
        </w:rPr>
        <w:t xml:space="preserve">debiendo </w:t>
      </w:r>
      <w:r w:rsidRPr="61BF73A0" w:rsidR="21706865">
        <w:rPr>
          <w:rFonts w:ascii="Times New Roman" w:hAnsi="Times New Roman" w:cs="Times New Roman"/>
          <w:sz w:val="24"/>
          <w:szCs w:val="24"/>
          <w:lang w:val="es-PE"/>
        </w:rPr>
        <w:t>.............................</w:t>
      </w:r>
      <w:r w:rsidRPr="61BF73A0" w:rsidR="000E4569">
        <w:rPr>
          <w:rFonts w:ascii="Times New Roman" w:hAnsi="Times New Roman" w:cs="Times New Roman"/>
          <w:sz w:val="24"/>
          <w:szCs w:val="24"/>
          <w:lang w:val="es-PE"/>
        </w:rPr>
        <w:t xml:space="preserve"> proceder a la atención del siniestro, considerando a los beneficiarios </w:t>
      </w:r>
      <w:r w:rsidRPr="61BF73A0" w:rsidR="000E4569">
        <w:rPr>
          <w:rFonts w:ascii="Times New Roman" w:hAnsi="Times New Roman" w:cs="Times New Roman"/>
          <w:sz w:val="24"/>
          <w:szCs w:val="24"/>
          <w:lang w:val="es-PE"/>
        </w:rPr>
        <w:t>de acuerdo a</w:t>
      </w:r>
      <w:r w:rsidRPr="61BF73A0" w:rsidR="000E4569">
        <w:rPr>
          <w:rFonts w:ascii="Times New Roman" w:hAnsi="Times New Roman" w:cs="Times New Roman"/>
          <w:sz w:val="24"/>
          <w:szCs w:val="24"/>
          <w:lang w:val="es-PE"/>
        </w:rPr>
        <w:t xml:space="preserve"> la prelación contenida en el Reglamento del SOAT.</w:t>
      </w:r>
    </w:p>
    <w:p w:rsidRPr="00FF4D0C" w:rsidR="000E4569" w:rsidP="000E4569" w:rsidRDefault="000E4569" w14:paraId="716545B4" w14:textId="77777777">
      <w:pPr>
        <w:spacing w:after="0" w:line="240" w:lineRule="auto"/>
        <w:jc w:val="both"/>
        <w:rPr>
          <w:rFonts w:ascii="Times New Roman" w:hAnsi="Times New Roman" w:cs="Times New Roman"/>
          <w:sz w:val="24"/>
          <w:szCs w:val="24"/>
          <w:lang w:val="es-PE"/>
        </w:rPr>
      </w:pPr>
    </w:p>
    <w:p w:rsidRPr="00FF4D0C" w:rsidR="000E4569" w:rsidP="000E4569" w:rsidRDefault="000E4569" w14:paraId="55300652" w14:textId="77777777">
      <w:pPr>
        <w:pStyle w:val="Prrafodelista"/>
        <w:spacing w:line="240" w:lineRule="auto"/>
        <w:jc w:val="both"/>
        <w:rPr>
          <w:rFonts w:ascii="Times New Roman" w:hAnsi="Times New Roman" w:cs="Times New Roman"/>
          <w:sz w:val="24"/>
          <w:szCs w:val="24"/>
          <w:lang w:val="es-PE"/>
        </w:rPr>
      </w:pPr>
    </w:p>
    <w:p w:rsidRPr="00FF4D0C" w:rsidR="000E4569" w:rsidP="000E4569" w:rsidRDefault="000E4569" w14:paraId="2E6F626A" w14:textId="77777777">
      <w:pPr>
        <w:spacing w:line="240" w:lineRule="auto"/>
        <w:jc w:val="both"/>
        <w:rPr>
          <w:rFonts w:ascii="Times New Roman" w:hAnsi="Times New Roman" w:cs="Times New Roman"/>
          <w:sz w:val="24"/>
          <w:szCs w:val="24"/>
          <w:lang w:val="es-PE"/>
        </w:rPr>
      </w:pPr>
    </w:p>
    <w:p w:rsidRPr="00FF4D0C" w:rsidR="000E4569" w:rsidP="000E4569" w:rsidRDefault="000E4569" w14:paraId="021F4232" w14:textId="77777777">
      <w:pPr>
        <w:spacing w:line="240" w:lineRule="auto"/>
        <w:jc w:val="both"/>
        <w:rPr>
          <w:rFonts w:ascii="Times New Roman" w:hAnsi="Times New Roman" w:cs="Times New Roman"/>
          <w:sz w:val="24"/>
          <w:szCs w:val="24"/>
          <w:lang w:val="es-PE"/>
        </w:rPr>
      </w:pPr>
    </w:p>
    <w:p w:rsidRPr="00FF4D0C" w:rsidR="000E4569" w:rsidP="000E4569" w:rsidRDefault="000E4569" w14:paraId="043B28CC" w14:textId="77777777">
      <w:pPr>
        <w:spacing w:line="240" w:lineRule="auto"/>
        <w:jc w:val="both"/>
        <w:rPr>
          <w:rFonts w:ascii="Times New Roman" w:hAnsi="Times New Roman" w:cs="Times New Roman"/>
          <w:sz w:val="24"/>
          <w:szCs w:val="24"/>
          <w:lang w:val="es-PE"/>
        </w:rPr>
      </w:pPr>
    </w:p>
    <w:p w:rsidRPr="00FF4D0C" w:rsidR="000E4569" w:rsidP="000E4569" w:rsidRDefault="000E4569" w14:paraId="6C98C92A" w14:textId="77777777">
      <w:pPr>
        <w:spacing w:line="240" w:lineRule="auto"/>
        <w:jc w:val="both"/>
        <w:rPr>
          <w:rFonts w:ascii="Times New Roman" w:hAnsi="Times New Roman" w:cs="Times New Roman"/>
          <w:sz w:val="24"/>
          <w:szCs w:val="24"/>
          <w:lang w:val="es-PE"/>
        </w:rPr>
      </w:pPr>
    </w:p>
    <w:p w:rsidRPr="00FF4D0C" w:rsidR="000E4569" w:rsidP="000E4569" w:rsidRDefault="000E4569" w14:paraId="3C6A43CA" w14:textId="77777777">
      <w:pPr>
        <w:spacing w:line="240" w:lineRule="auto"/>
        <w:jc w:val="both"/>
        <w:rPr>
          <w:rFonts w:ascii="Times New Roman" w:hAnsi="Times New Roman" w:cs="Times New Roman"/>
          <w:sz w:val="24"/>
          <w:szCs w:val="24"/>
          <w:lang w:val="es-PE"/>
        </w:rPr>
      </w:pPr>
    </w:p>
    <w:p w:rsidRPr="00FF4D0C" w:rsidR="000E4569" w:rsidP="000E4569" w:rsidRDefault="000E4569" w14:paraId="53B76A88" w14:textId="77777777">
      <w:pPr>
        <w:spacing w:line="240" w:lineRule="auto"/>
        <w:jc w:val="both"/>
        <w:rPr>
          <w:rFonts w:ascii="Times New Roman" w:hAnsi="Times New Roman" w:cs="Times New Roman"/>
          <w:sz w:val="24"/>
          <w:szCs w:val="24"/>
          <w:lang w:val="es-PE"/>
        </w:rPr>
      </w:pPr>
    </w:p>
    <w:p w:rsidRPr="00FF4D0C" w:rsidR="000E4569" w:rsidP="000E4569" w:rsidRDefault="000E4569" w14:paraId="3E7ECE8E" w14:textId="77777777">
      <w:pPr>
        <w:spacing w:line="240" w:lineRule="auto"/>
        <w:jc w:val="both"/>
        <w:rPr>
          <w:rFonts w:ascii="Times New Roman" w:hAnsi="Times New Roman" w:cs="Times New Roman"/>
          <w:sz w:val="24"/>
          <w:szCs w:val="24"/>
          <w:lang w:val="es-PE"/>
        </w:rPr>
      </w:pPr>
    </w:p>
    <w:p w:rsidRPr="00FF4D0C" w:rsidR="000E4569" w:rsidP="000E4569" w:rsidRDefault="000E4569" w14:paraId="21C6EDB0" w14:textId="77777777">
      <w:pPr>
        <w:spacing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Que, por último, es necesario recordar que, el último párrafo del Artículo 22 del Reglamento de Comercialización de Productos de Seguros, modificado por Resolución SBS 277-2021 señala:</w:t>
      </w:r>
    </w:p>
    <w:p w:rsidRPr="00FF4D0C" w:rsidR="000E4569" w:rsidP="000E4569" w:rsidRDefault="000E4569" w14:paraId="67993314" w14:textId="77777777">
      <w:pPr>
        <w:spacing w:line="240" w:lineRule="auto"/>
        <w:jc w:val="both"/>
        <w:rPr>
          <w:rFonts w:ascii="Times New Roman" w:hAnsi="Times New Roman" w:cs="Times New Roman"/>
          <w:sz w:val="24"/>
          <w:szCs w:val="24"/>
          <w:lang w:val="es-PE"/>
        </w:rPr>
      </w:pPr>
      <w:r w:rsidRPr="00FF4D0C">
        <w:rPr>
          <w:rFonts w:ascii="Times New Roman" w:hAnsi="Times New Roman" w:cs="Times New Roman"/>
          <w:i/>
          <w:iCs/>
          <w:sz w:val="24"/>
          <w:szCs w:val="24"/>
          <w:lang w:val="es-PE"/>
        </w:rPr>
        <w:t xml:space="preserve">“Para todos los casos de comercialización a distancia, las empresas deben implementar un soporte adecuado para obtener, conservar y resguardar la información brindada al potencial asegurado y su aceptación para la contratación del seguro, según las características de los canales utilizados, propios o de sus comercializares, lo que incluye las grabaciones de video y/o de voz u otros mecanismos”. </w:t>
      </w:r>
    </w:p>
    <w:p w:rsidRPr="00FF4D0C" w:rsidR="000E4569" w:rsidP="000E4569" w:rsidRDefault="000E4569" w14:paraId="7B4984AB" w14:textId="77777777">
      <w:pPr>
        <w:spacing w:line="240" w:lineRule="auto"/>
        <w:jc w:val="both"/>
        <w:rPr>
          <w:rFonts w:ascii="Times New Roman" w:hAnsi="Times New Roman" w:cs="Times New Roman"/>
          <w:sz w:val="24"/>
          <w:szCs w:val="24"/>
          <w:lang w:val="es-PE"/>
        </w:rPr>
      </w:pPr>
      <w:r w:rsidRPr="00FF4D0C">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FF4D0C" w:rsidR="000E4569" w:rsidP="000E4569" w:rsidRDefault="000E4569" w14:paraId="4E737E5E" w14:textId="77777777">
      <w:pPr>
        <w:spacing w:line="240" w:lineRule="auto"/>
        <w:jc w:val="both"/>
        <w:rPr>
          <w:rFonts w:ascii="Times New Roman" w:hAnsi="Times New Roman" w:cs="Times New Roman"/>
          <w:b/>
          <w:sz w:val="24"/>
          <w:szCs w:val="24"/>
          <w:lang w:val="es-PE"/>
        </w:rPr>
      </w:pPr>
      <w:r w:rsidRPr="00FF4D0C">
        <w:rPr>
          <w:rFonts w:ascii="Times New Roman" w:hAnsi="Times New Roman" w:cs="Times New Roman"/>
          <w:b/>
          <w:sz w:val="24"/>
          <w:szCs w:val="24"/>
          <w:lang w:val="es-PE"/>
        </w:rPr>
        <w:t xml:space="preserve">RESUELVE: </w:t>
      </w:r>
    </w:p>
    <w:p w:rsidRPr="00FF4D0C" w:rsidR="00307C65" w:rsidP="000E4569" w:rsidRDefault="000E4569" w14:paraId="43002099" w14:textId="30296CE3">
      <w:pPr>
        <w:spacing w:line="240" w:lineRule="auto"/>
        <w:jc w:val="both"/>
        <w:rPr>
          <w:rFonts w:ascii="Times New Roman" w:hAnsi="Times New Roman" w:cs="Times New Roman"/>
          <w:b w:val="1"/>
          <w:bCs w:val="1"/>
          <w:sz w:val="24"/>
          <w:szCs w:val="24"/>
          <w:lang w:val="es-PE"/>
        </w:rPr>
      </w:pPr>
      <w:r w:rsidRPr="61BF73A0" w:rsidR="000E4569">
        <w:rPr>
          <w:rFonts w:ascii="Times New Roman" w:hAnsi="Times New Roman" w:cs="Times New Roman"/>
          <w:sz w:val="24"/>
          <w:szCs w:val="24"/>
          <w:lang w:val="es-PE"/>
        </w:rPr>
        <w:t xml:space="preserve">Declarar </w:t>
      </w:r>
      <w:r w:rsidRPr="61BF73A0" w:rsidR="000E4569">
        <w:rPr>
          <w:rFonts w:ascii="Times New Roman" w:hAnsi="Times New Roman" w:cs="Times New Roman"/>
          <w:b w:val="1"/>
          <w:bCs w:val="1"/>
          <w:sz w:val="24"/>
          <w:szCs w:val="24"/>
          <w:lang w:val="es-PE"/>
        </w:rPr>
        <w:t>INFUNDADO</w:t>
      </w:r>
      <w:r w:rsidRPr="61BF73A0" w:rsidR="000E4569">
        <w:rPr>
          <w:rFonts w:ascii="Times New Roman" w:hAnsi="Times New Roman" w:cs="Times New Roman"/>
          <w:sz w:val="24"/>
          <w:szCs w:val="24"/>
          <w:lang w:val="es-PE"/>
        </w:rPr>
        <w:t xml:space="preserve"> el Recurso Impugnativo interpuesto y, por consiguiente, ratificar la Resolución </w:t>
      </w:r>
      <w:r w:rsidRPr="61BF73A0" w:rsidR="000E4569">
        <w:rPr>
          <w:rFonts w:ascii="Times New Roman" w:hAnsi="Times New Roman" w:cs="Times New Roman"/>
          <w:sz w:val="24"/>
          <w:szCs w:val="24"/>
          <w:lang w:val="es-PE"/>
        </w:rPr>
        <w:t>N°</w:t>
      </w:r>
      <w:r w:rsidRPr="61BF73A0" w:rsidR="000E4569">
        <w:rPr>
          <w:rFonts w:ascii="Times New Roman" w:hAnsi="Times New Roman" w:cs="Times New Roman"/>
          <w:sz w:val="24"/>
          <w:szCs w:val="24"/>
          <w:lang w:val="es-PE"/>
        </w:rPr>
        <w:t xml:space="preserve"> 0</w:t>
      </w:r>
      <w:r w:rsidRPr="61BF73A0" w:rsidR="007745AD">
        <w:rPr>
          <w:rFonts w:ascii="Times New Roman" w:hAnsi="Times New Roman" w:cs="Times New Roman"/>
          <w:sz w:val="24"/>
          <w:szCs w:val="24"/>
          <w:lang w:val="es-PE"/>
        </w:rPr>
        <w:t>30</w:t>
      </w:r>
      <w:r w:rsidRPr="61BF73A0" w:rsidR="000E4569">
        <w:rPr>
          <w:rFonts w:ascii="Times New Roman" w:hAnsi="Times New Roman" w:cs="Times New Roman"/>
          <w:sz w:val="24"/>
          <w:szCs w:val="24"/>
          <w:lang w:val="es-PE"/>
        </w:rPr>
        <w:t>/24 que declaró</w:t>
      </w:r>
      <w:r w:rsidRPr="61BF73A0" w:rsidR="000E4569">
        <w:rPr>
          <w:rFonts w:ascii="Times New Roman" w:hAnsi="Times New Roman" w:cs="Times New Roman"/>
          <w:b w:val="1"/>
          <w:bCs w:val="1"/>
          <w:sz w:val="24"/>
          <w:szCs w:val="24"/>
          <w:lang w:val="es-PE"/>
        </w:rPr>
        <w:t xml:space="preserve"> FUNDADA </w:t>
      </w:r>
      <w:r w:rsidRPr="61BF73A0" w:rsidR="000E4569">
        <w:rPr>
          <w:rFonts w:ascii="Times New Roman" w:hAnsi="Times New Roman" w:cs="Times New Roman"/>
          <w:sz w:val="24"/>
          <w:szCs w:val="24"/>
          <w:lang w:val="es-PE"/>
        </w:rPr>
        <w:t>la reclamación interpuesta</w:t>
      </w:r>
      <w:r w:rsidRPr="61BF73A0" w:rsidR="000E4569">
        <w:rPr>
          <w:rFonts w:ascii="Times New Roman" w:hAnsi="Times New Roman" w:cs="Times New Roman"/>
          <w:b w:val="1"/>
          <w:bCs w:val="1"/>
          <w:sz w:val="24"/>
          <w:szCs w:val="24"/>
          <w:lang w:val="es-PE"/>
        </w:rPr>
        <w:t xml:space="preserve"> </w:t>
      </w:r>
      <w:r w:rsidRPr="61BF73A0" w:rsidR="000E4569">
        <w:rPr>
          <w:rFonts w:ascii="Times New Roman" w:hAnsi="Times New Roman" w:cs="Times New Roman"/>
          <w:sz w:val="24"/>
          <w:szCs w:val="24"/>
          <w:lang w:val="es-PE"/>
        </w:rPr>
        <w:t>contra</w:t>
      </w:r>
      <w:r w:rsidRPr="61BF73A0" w:rsidR="000E4569">
        <w:rPr>
          <w:rFonts w:ascii="Times New Roman" w:hAnsi="Times New Roman" w:cs="Times New Roman"/>
          <w:b w:val="1"/>
          <w:bCs w:val="1"/>
          <w:sz w:val="24"/>
          <w:szCs w:val="24"/>
          <w:lang w:val="es-PE"/>
        </w:rPr>
        <w:t xml:space="preserve"> </w:t>
      </w:r>
      <w:r w:rsidRPr="61BF73A0" w:rsidR="21706865">
        <w:rPr>
          <w:rFonts w:ascii="Times New Roman" w:hAnsi="Times New Roman" w:cs="Times New Roman"/>
          <w:b w:val="1"/>
          <w:bCs w:val="1"/>
          <w:sz w:val="24"/>
          <w:szCs w:val="24"/>
          <w:lang w:val="es-PE"/>
        </w:rPr>
        <w:t>.............................</w:t>
      </w:r>
      <w:r w:rsidRPr="61BF73A0" w:rsidR="000E4569">
        <w:rPr>
          <w:rFonts w:ascii="Times New Roman" w:hAnsi="Times New Roman" w:cs="Times New Roman"/>
          <w:b w:val="1"/>
          <w:bCs w:val="1"/>
          <w:sz w:val="24"/>
          <w:szCs w:val="24"/>
          <w:lang w:val="es-PE"/>
        </w:rPr>
        <w:t>.</w:t>
      </w:r>
    </w:p>
    <w:p w:rsidRPr="00FF4D0C" w:rsidR="008B6A09" w:rsidP="008B6A09" w:rsidRDefault="0091528B" w14:paraId="000A434B" w14:textId="6C248366">
      <w:pPr>
        <w:jc w:val="right"/>
        <w:rPr>
          <w:rFonts w:ascii="Times New Roman" w:hAnsi="Times New Roman" w:cs="Times New Roman"/>
          <w:sz w:val="24"/>
          <w:szCs w:val="24"/>
          <w:lang w:val="es-PE"/>
        </w:rPr>
      </w:pPr>
      <w:r w:rsidRPr="00FF4D0C">
        <w:rPr>
          <w:rFonts w:ascii="Times New Roman" w:hAnsi="Times New Roman" w:eastAsia="Arial Unicode MS" w:cs="Times New Roman"/>
          <w:sz w:val="24"/>
          <w:szCs w:val="24"/>
          <w:lang w:val="es-PE" w:eastAsia="ar-SA"/>
        </w:rPr>
        <w:t xml:space="preserve">Lima, </w:t>
      </w:r>
      <w:r w:rsidRPr="00FF4D0C" w:rsidR="00536113">
        <w:rPr>
          <w:rFonts w:ascii="Times New Roman" w:hAnsi="Times New Roman" w:eastAsia="Arial Unicode MS" w:cs="Times New Roman"/>
          <w:sz w:val="24"/>
          <w:szCs w:val="24"/>
          <w:lang w:val="es-PE" w:eastAsia="ar-SA"/>
        </w:rPr>
        <w:t>27</w:t>
      </w:r>
      <w:r w:rsidRPr="00FF4D0C" w:rsidR="00570ED6">
        <w:rPr>
          <w:rFonts w:ascii="Times New Roman" w:hAnsi="Times New Roman" w:eastAsia="Arial Unicode MS" w:cs="Times New Roman"/>
          <w:sz w:val="24"/>
          <w:szCs w:val="24"/>
          <w:lang w:val="es-PE" w:eastAsia="ar-SA"/>
        </w:rPr>
        <w:t xml:space="preserve"> </w:t>
      </w:r>
      <w:r w:rsidRPr="00FF4D0C" w:rsidR="00707C99">
        <w:rPr>
          <w:rFonts w:ascii="Times New Roman" w:hAnsi="Times New Roman" w:eastAsia="Arial Unicode MS" w:cs="Times New Roman"/>
          <w:sz w:val="24"/>
          <w:szCs w:val="24"/>
          <w:lang w:val="es-PE" w:eastAsia="ar-SA"/>
        </w:rPr>
        <w:t xml:space="preserve">de </w:t>
      </w:r>
      <w:r w:rsidRPr="00FF4D0C" w:rsidR="00950F53">
        <w:rPr>
          <w:rFonts w:ascii="Times New Roman" w:hAnsi="Times New Roman" w:eastAsia="Arial Unicode MS" w:cs="Times New Roman"/>
          <w:sz w:val="24"/>
          <w:szCs w:val="24"/>
          <w:lang w:val="es-PE" w:eastAsia="ar-SA"/>
        </w:rPr>
        <w:t>mayo</w:t>
      </w:r>
      <w:r w:rsidRPr="00FF4D0C" w:rsidR="002F478E">
        <w:rPr>
          <w:rFonts w:ascii="Times New Roman" w:hAnsi="Times New Roman" w:eastAsia="Arial Unicode MS" w:cs="Times New Roman"/>
          <w:sz w:val="24"/>
          <w:szCs w:val="24"/>
          <w:lang w:val="es-PE" w:eastAsia="ar-SA"/>
        </w:rPr>
        <w:t xml:space="preserve"> </w:t>
      </w:r>
      <w:r w:rsidRPr="00FF4D0C" w:rsidR="00F06498">
        <w:rPr>
          <w:rFonts w:ascii="Times New Roman" w:hAnsi="Times New Roman" w:eastAsia="Arial Unicode MS" w:cs="Times New Roman"/>
          <w:sz w:val="24"/>
          <w:szCs w:val="24"/>
          <w:lang w:val="es-PE" w:eastAsia="ar-SA"/>
        </w:rPr>
        <w:t>de 202</w:t>
      </w:r>
      <w:r w:rsidRPr="00FF4D0C" w:rsidR="00543015">
        <w:rPr>
          <w:rFonts w:ascii="Times New Roman" w:hAnsi="Times New Roman" w:eastAsia="Arial Unicode MS" w:cs="Times New Roman"/>
          <w:sz w:val="24"/>
          <w:szCs w:val="24"/>
          <w:lang w:val="es-PE" w:eastAsia="ar-SA"/>
        </w:rPr>
        <w:t>4</w:t>
      </w:r>
      <w:r w:rsidRPr="00FF4D0C" w:rsidR="00707C99">
        <w:rPr>
          <w:rFonts w:ascii="Times New Roman" w:hAnsi="Times New Roman" w:eastAsia="Times New Roman" w:cs="Times New Roman"/>
          <w:sz w:val="24"/>
          <w:szCs w:val="24"/>
          <w:lang w:val="es-PE" w:eastAsia="ar-SA"/>
        </w:rPr>
        <w:t xml:space="preserve"> </w:t>
      </w:r>
    </w:p>
    <w:p w:rsidRPr="00FF4D0C"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FF4D0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FF4D0C"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FF4D0C"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FF4D0C">
        <w:rPr>
          <w:rFonts w:ascii="Times New Roman" w:hAnsi="Times New Roman" w:cs="Times New Roman"/>
          <w:b/>
          <w:bCs/>
          <w:sz w:val="24"/>
          <w:szCs w:val="24"/>
          <w:lang w:val="es-PE"/>
        </w:rPr>
        <w:t>Omar Alfaro Villanueva – Presidente</w:t>
      </w:r>
    </w:p>
    <w:p w:rsidRPr="00FF4D0C"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FF4D0C">
        <w:rPr>
          <w:rFonts w:ascii="Times New Roman" w:hAnsi="Times New Roman" w:cs="Times New Roman"/>
          <w:b/>
          <w:bCs/>
          <w:sz w:val="24"/>
          <w:szCs w:val="24"/>
          <w:lang w:val="es-PE"/>
        </w:rPr>
        <w:lastRenderedPageBreak/>
        <w:t xml:space="preserve">María Eugenia Valdez Fernández Baca </w:t>
      </w:r>
      <w:r w:rsidRPr="00FF4D0C" w:rsidR="007543CD">
        <w:rPr>
          <w:rFonts w:ascii="Times New Roman" w:hAnsi="Times New Roman" w:cs="Times New Roman"/>
          <w:b/>
          <w:bCs/>
          <w:sz w:val="24"/>
          <w:szCs w:val="24"/>
          <w:lang w:val="es-PE"/>
        </w:rPr>
        <w:t xml:space="preserve">– </w:t>
      </w:r>
      <w:r w:rsidRPr="00FF4D0C" w:rsidR="00950F53">
        <w:rPr>
          <w:rFonts w:ascii="Times New Roman" w:hAnsi="Times New Roman" w:cs="Times New Roman"/>
          <w:b/>
          <w:bCs/>
          <w:sz w:val="24"/>
          <w:szCs w:val="24"/>
          <w:lang w:val="es-PE"/>
        </w:rPr>
        <w:t xml:space="preserve"> Vocal</w:t>
      </w:r>
    </w:p>
    <w:p w:rsidRPr="00FF4D0C"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FF4D0C">
        <w:rPr>
          <w:rFonts w:ascii="Times New Roman" w:hAnsi="Times New Roman" w:cs="Times New Roman"/>
          <w:b/>
          <w:bCs/>
          <w:sz w:val="24"/>
          <w:szCs w:val="24"/>
          <w:lang w:val="es-PE"/>
        </w:rPr>
        <w:t xml:space="preserve">Rolando Eyzaguirre Maccan </w:t>
      </w:r>
      <w:r w:rsidRPr="00FF4D0C" w:rsidR="007543CD">
        <w:rPr>
          <w:rFonts w:ascii="Times New Roman" w:hAnsi="Times New Roman" w:cs="Times New Roman"/>
          <w:b/>
          <w:bCs/>
          <w:sz w:val="24"/>
          <w:szCs w:val="24"/>
          <w:lang w:val="es-PE"/>
        </w:rPr>
        <w:t>– Vocal</w:t>
      </w:r>
    </w:p>
    <w:p w:rsidRPr="00FF4D0C"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FF4D0C">
        <w:rPr>
          <w:rFonts w:ascii="Times New Roman" w:hAnsi="Times New Roman" w:cs="Times New Roman"/>
          <w:b/>
          <w:bCs/>
          <w:sz w:val="24"/>
          <w:szCs w:val="24"/>
          <w:lang w:val="es-PE"/>
        </w:rPr>
        <w:t>Gonzalo Abad del Busto – Vocal</w:t>
      </w:r>
    </w:p>
    <w:p w:rsidRPr="00307C65"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F186A" w:rsidP="00784355" w:rsidRDefault="007F186A" w14:paraId="65B1A9EA" w14:textId="77777777">
      <w:pPr>
        <w:spacing w:after="0" w:line="240" w:lineRule="auto"/>
      </w:pPr>
      <w:r>
        <w:separator/>
      </w:r>
    </w:p>
  </w:endnote>
  <w:endnote w:type="continuationSeparator" w:id="0">
    <w:p w:rsidR="007F186A" w:rsidP="00784355" w:rsidRDefault="007F186A" w14:paraId="3725C95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F186A" w:rsidP="00784355" w:rsidRDefault="007F186A" w14:paraId="626B4841" w14:textId="77777777">
      <w:pPr>
        <w:spacing w:after="0" w:line="240" w:lineRule="auto"/>
      </w:pPr>
      <w:r>
        <w:separator/>
      </w:r>
    </w:p>
  </w:footnote>
  <w:footnote w:type="continuationSeparator" w:id="0">
    <w:p w:rsidR="007F186A" w:rsidP="00784355" w:rsidRDefault="007F186A" w14:paraId="00F521B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6"/>
  </w:num>
  <w:num w:numId="3" w16cid:durableId="333261791">
    <w:abstractNumId w:val="22"/>
  </w:num>
  <w:num w:numId="4" w16cid:durableId="1770345525">
    <w:abstractNumId w:val="21"/>
  </w:num>
  <w:num w:numId="5" w16cid:durableId="1816144979">
    <w:abstractNumId w:val="24"/>
  </w:num>
  <w:num w:numId="6" w16cid:durableId="1304313350">
    <w:abstractNumId w:val="0"/>
  </w:num>
  <w:num w:numId="7" w16cid:durableId="16682880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5"/>
  </w:num>
  <w:num w:numId="17" w16cid:durableId="17998823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2"/>
  </w:num>
  <w:num w:numId="26" w16cid:durableId="2108460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56CC"/>
    <w:rsid w:val="000F6340"/>
    <w:rsid w:val="00111342"/>
    <w:rsid w:val="0011308C"/>
    <w:rsid w:val="00116B6A"/>
    <w:rsid w:val="0012166D"/>
    <w:rsid w:val="00125B9B"/>
    <w:rsid w:val="0013051A"/>
    <w:rsid w:val="001320DF"/>
    <w:rsid w:val="00132697"/>
    <w:rsid w:val="00136E12"/>
    <w:rsid w:val="001373AF"/>
    <w:rsid w:val="001377EF"/>
    <w:rsid w:val="0014650D"/>
    <w:rsid w:val="00150874"/>
    <w:rsid w:val="001508BC"/>
    <w:rsid w:val="00151F82"/>
    <w:rsid w:val="001529FE"/>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611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186A"/>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07C997AD"/>
    <w:rsid w:val="081E7CD9"/>
    <w:rsid w:val="21706865"/>
    <w:rsid w:val="3564013A"/>
    <w:rsid w:val="46FFE677"/>
    <w:rsid w:val="472CB6DD"/>
    <w:rsid w:val="532DC316"/>
    <w:rsid w:val="5A85D450"/>
    <w:rsid w:val="61BF73A0"/>
    <w:rsid w:val="7384FBA6"/>
    <w:rsid w:val="7915D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4e98b33a01df44ee" Type="http://schemas.openxmlformats.org/officeDocument/2006/relationships/hyperlink" Target="http://www.defaseg.com.pe/reglament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F2716C3-6F00-497C-A916-6EF7490A8810}"/>
</file>

<file path=customXml/itemProps3.xml><?xml version="1.0" encoding="utf-8"?>
<ds:datastoreItem xmlns:ds="http://schemas.openxmlformats.org/officeDocument/2006/customXml" ds:itemID="{864F1441-5D6E-4DFC-8963-FCBDA882C852}"/>
</file>

<file path=customXml/itemProps4.xml><?xml version="1.0" encoding="utf-8"?>
<ds:datastoreItem xmlns:ds="http://schemas.openxmlformats.org/officeDocument/2006/customXml" ds:itemID="{DB617736-7616-436D-81AC-F0B1DDF317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295</cp:revision>
  <cp:lastPrinted>2024-05-27T17:49:00Z</cp:lastPrinted>
  <dcterms:created xsi:type="dcterms:W3CDTF">2023-02-14T22:37:00Z</dcterms:created>
  <dcterms:modified xsi:type="dcterms:W3CDTF">2025-12-10T19:46:15Z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