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B69A2" w:rsidR="00707C99" w:rsidP="00272F4F" w:rsidRDefault="00201C0D" w14:paraId="19FE0E96" w14:textId="3DE8DADE">
      <w:pPr>
        <w:spacing w:after="0" w:line="240" w:lineRule="auto"/>
        <w:jc w:val="center"/>
        <w:rPr>
          <w:rFonts w:ascii="Times New Roman" w:hAnsi="Times New Roman" w:cs="Times New Roman"/>
          <w:b/>
          <w:sz w:val="24"/>
          <w:szCs w:val="24"/>
          <w:lang w:val="es-PE" w:eastAsia="ar-SA"/>
        </w:rPr>
      </w:pPr>
      <w:r w:rsidRPr="006B69A2">
        <w:rPr>
          <w:rFonts w:ascii="Times New Roman" w:hAnsi="Times New Roman" w:cs="Times New Roman"/>
          <w:b/>
          <w:sz w:val="24"/>
          <w:szCs w:val="24"/>
          <w:lang w:val="es-PE" w:eastAsia="ar-SA"/>
        </w:rPr>
        <w:t xml:space="preserve">RESOLUCIÓN DE RECURSO IMPUGNATIVO </w:t>
      </w:r>
      <w:r w:rsidRPr="006B69A2" w:rsidR="00707C99">
        <w:rPr>
          <w:rFonts w:ascii="Times New Roman" w:hAnsi="Times New Roman" w:cs="Times New Roman"/>
          <w:b/>
          <w:sz w:val="24"/>
          <w:szCs w:val="24"/>
          <w:lang w:val="es-PE" w:eastAsia="ar-SA"/>
        </w:rPr>
        <w:t xml:space="preserve">N° </w:t>
      </w:r>
      <w:r w:rsidRPr="006B69A2" w:rsidR="00516293">
        <w:rPr>
          <w:rFonts w:ascii="Times New Roman" w:hAnsi="Times New Roman" w:cs="Times New Roman"/>
          <w:b/>
          <w:sz w:val="24"/>
          <w:szCs w:val="24"/>
          <w:lang w:val="es-PE" w:eastAsia="ar-SA"/>
        </w:rPr>
        <w:t>0</w:t>
      </w:r>
      <w:r w:rsidRPr="006B69A2" w:rsidR="000433F1">
        <w:rPr>
          <w:rFonts w:ascii="Times New Roman" w:hAnsi="Times New Roman" w:cs="Times New Roman"/>
          <w:b/>
          <w:sz w:val="24"/>
          <w:szCs w:val="24"/>
          <w:lang w:val="es-PE" w:eastAsia="ar-SA"/>
        </w:rPr>
        <w:t>1</w:t>
      </w:r>
      <w:r w:rsidRPr="006B69A2" w:rsidR="00481687">
        <w:rPr>
          <w:rFonts w:ascii="Times New Roman" w:hAnsi="Times New Roman" w:cs="Times New Roman"/>
          <w:b/>
          <w:sz w:val="24"/>
          <w:szCs w:val="24"/>
          <w:lang w:val="es-PE" w:eastAsia="ar-SA"/>
        </w:rPr>
        <w:t>9</w:t>
      </w:r>
      <w:r w:rsidRPr="006B69A2" w:rsidR="00C671F5">
        <w:rPr>
          <w:rFonts w:ascii="Times New Roman" w:hAnsi="Times New Roman" w:cs="Times New Roman"/>
          <w:b/>
          <w:sz w:val="24"/>
          <w:szCs w:val="24"/>
          <w:lang w:val="es-PE" w:eastAsia="ar-SA"/>
        </w:rPr>
        <w:t>/2</w:t>
      </w:r>
      <w:r w:rsidRPr="006B69A2" w:rsidR="00543015">
        <w:rPr>
          <w:rFonts w:ascii="Times New Roman" w:hAnsi="Times New Roman" w:cs="Times New Roman"/>
          <w:b/>
          <w:sz w:val="24"/>
          <w:szCs w:val="24"/>
          <w:lang w:val="es-PE" w:eastAsia="ar-SA"/>
        </w:rPr>
        <w:t>4</w:t>
      </w:r>
    </w:p>
    <w:p w:rsidRPr="006B69A2"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6B69A2" w:rsidR="006B69A2" w:rsidP="006B69A2" w:rsidRDefault="006B69A2" w14:paraId="29F194B6"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b/>
          <w:sz w:val="24"/>
          <w:szCs w:val="24"/>
          <w:lang w:val="es-PE"/>
        </w:rPr>
        <w:t xml:space="preserve">Vistos: </w:t>
      </w:r>
    </w:p>
    <w:p w:rsidRPr="006B69A2" w:rsidR="006B69A2" w:rsidP="006B69A2" w:rsidRDefault="006B69A2" w14:paraId="33E2C8AF" w14:textId="77777777">
      <w:pPr>
        <w:spacing w:after="0" w:line="240" w:lineRule="auto"/>
        <w:jc w:val="both"/>
        <w:rPr>
          <w:rFonts w:ascii="Times New Roman" w:hAnsi="Times New Roman" w:cs="Times New Roman"/>
          <w:sz w:val="24"/>
          <w:szCs w:val="24"/>
          <w:lang w:val="es-PE"/>
        </w:rPr>
      </w:pPr>
    </w:p>
    <w:p w:rsidRPr="006B69A2" w:rsidR="006B69A2" w:rsidP="006B69A2" w:rsidRDefault="006B69A2" w14:paraId="1E39AEC1" w14:textId="3889C9B2">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1AD4BA61" w:rsidR="006B69A2">
        <w:rPr>
          <w:rFonts w:ascii="Times New Roman" w:hAnsi="Times New Roman" w:cs="Times New Roman"/>
          <w:sz w:val="24"/>
          <w:szCs w:val="24"/>
          <w:lang w:val="es-PE"/>
        </w:rPr>
        <w:t xml:space="preserve">El recurso de impugnación presentado el 27 de marzo de 2024 por </w:t>
      </w:r>
      <w:r w:rsidRPr="1AD4BA61" w:rsidR="51F12162">
        <w:rPr>
          <w:rFonts w:ascii="Times New Roman" w:hAnsi="Times New Roman" w:cs="Times New Roman"/>
          <w:b w:val="1"/>
          <w:bCs w:val="1"/>
          <w:sz w:val="24"/>
          <w:szCs w:val="24"/>
          <w:lang w:val="es-PE"/>
        </w:rPr>
        <w:t>.............................................</w:t>
      </w:r>
      <w:r w:rsidRPr="1AD4BA61" w:rsidR="006B69A2">
        <w:rPr>
          <w:rFonts w:ascii="Times New Roman" w:hAnsi="Times New Roman" w:cs="Times New Roman"/>
          <w:b w:val="1"/>
          <w:bCs w:val="1"/>
          <w:sz w:val="24"/>
          <w:szCs w:val="24"/>
          <w:lang w:val="es-PE"/>
        </w:rPr>
        <w:t xml:space="preserve"> </w:t>
      </w:r>
      <w:r w:rsidRPr="1AD4BA61" w:rsidR="006B69A2">
        <w:rPr>
          <w:rFonts w:ascii="Times New Roman" w:hAnsi="Times New Roman" w:cs="Times New Roman"/>
          <w:sz w:val="24"/>
          <w:szCs w:val="24"/>
          <w:lang w:val="es-PE"/>
        </w:rPr>
        <w:t xml:space="preserve">(en adelante, la aseguradora) respecto de la Resolución Nro. 050/24, notificada el 20 de marzo de 2024, emitida por esta Defensoría del Asegurado (DEFASEG), que declaró </w:t>
      </w:r>
      <w:r w:rsidRPr="1AD4BA61" w:rsidR="006B69A2">
        <w:rPr>
          <w:rFonts w:ascii="Times New Roman" w:hAnsi="Times New Roman" w:cs="Times New Roman"/>
          <w:b w:val="1"/>
          <w:bCs w:val="1"/>
          <w:sz w:val="24"/>
          <w:szCs w:val="24"/>
          <w:lang w:val="es-PE"/>
        </w:rPr>
        <w:t>FUNDADA</w:t>
      </w:r>
      <w:r w:rsidRPr="1AD4BA61" w:rsidR="006B69A2">
        <w:rPr>
          <w:rFonts w:ascii="Times New Roman" w:hAnsi="Times New Roman" w:cs="Times New Roman"/>
          <w:sz w:val="24"/>
          <w:szCs w:val="24"/>
          <w:lang w:val="es-PE"/>
        </w:rPr>
        <w:t xml:space="preserve"> la reclamación interpuesta por doña </w:t>
      </w:r>
      <w:r w:rsidRPr="1AD4BA61" w:rsidR="1D961D2A">
        <w:rPr>
          <w:rFonts w:ascii="Times New Roman" w:hAnsi="Times New Roman" w:cs="Times New Roman"/>
          <w:b w:val="1"/>
          <w:bCs w:val="1"/>
          <w:sz w:val="24"/>
          <w:szCs w:val="24"/>
          <w:lang w:val="es-ES"/>
        </w:rPr>
        <w:t>.............................................</w:t>
      </w:r>
      <w:r w:rsidRPr="1AD4BA61" w:rsidR="006B69A2">
        <w:rPr>
          <w:rFonts w:ascii="Times New Roman" w:hAnsi="Times New Roman" w:cs="Times New Roman"/>
          <w:sz w:val="24"/>
          <w:szCs w:val="24"/>
          <w:lang w:val="es-PE"/>
        </w:rPr>
        <w:t xml:space="preserve"> (en adelante, la asegurada), a fin de que se apruebe su solicitud de cobertura de desgravamen correspondiente a la Póliza Desgravamen </w:t>
      </w:r>
      <w:r w:rsidRPr="1AD4BA61" w:rsidR="46D61FBD">
        <w:rPr>
          <w:rFonts w:ascii="Times New Roman" w:hAnsi="Times New Roman" w:cs="Times New Roman"/>
          <w:sz w:val="24"/>
          <w:szCs w:val="24"/>
          <w:lang w:val="es-PE"/>
        </w:rPr>
        <w:t>.........................</w:t>
      </w:r>
      <w:r w:rsidRPr="1AD4BA61" w:rsidR="006B69A2">
        <w:rPr>
          <w:rFonts w:ascii="Times New Roman" w:hAnsi="Times New Roman" w:cs="Times New Roman"/>
          <w:sz w:val="24"/>
          <w:szCs w:val="24"/>
          <w:lang w:val="es-PE"/>
        </w:rPr>
        <w:t xml:space="preserve"> Desempleo </w:t>
      </w:r>
      <w:r>
        <w:br/>
      </w:r>
      <w:r w:rsidRPr="1AD4BA61" w:rsidR="006B69A2">
        <w:rPr>
          <w:rFonts w:ascii="Times New Roman" w:hAnsi="Times New Roman" w:cs="Times New Roman"/>
          <w:sz w:val="24"/>
          <w:szCs w:val="24"/>
          <w:lang w:val="es-PE"/>
        </w:rPr>
        <w:t xml:space="preserve">- </w:t>
      </w:r>
      <w:r w:rsidRPr="1AD4BA61" w:rsidR="006B69A2">
        <w:rPr>
          <w:rFonts w:ascii="Times New Roman" w:hAnsi="Times New Roman" w:cs="Times New Roman"/>
          <w:sz w:val="24"/>
          <w:szCs w:val="24"/>
          <w:lang w:val="es-PE"/>
        </w:rPr>
        <w:t>N°</w:t>
      </w:r>
      <w:r w:rsidRPr="1AD4BA61" w:rsidR="0670A4CA">
        <w:rPr>
          <w:rFonts w:ascii="Times New Roman" w:hAnsi="Times New Roman" w:cs="Times New Roman"/>
          <w:sz w:val="24"/>
          <w:szCs w:val="24"/>
          <w:lang w:val="es-PE"/>
        </w:rPr>
        <w:t>......................................</w:t>
      </w:r>
      <w:r w:rsidRPr="1AD4BA61" w:rsidR="006B69A2">
        <w:rPr>
          <w:rFonts w:ascii="Times New Roman" w:hAnsi="Times New Roman" w:cs="Times New Roman"/>
          <w:sz w:val="24"/>
          <w:szCs w:val="24"/>
          <w:lang w:val="es-PE"/>
        </w:rPr>
        <w:t xml:space="preserve"> (en adelante, la póliza), por el fallecimiento del señor </w:t>
      </w:r>
      <w:r w:rsidRPr="1AD4BA61" w:rsidR="4721E624">
        <w:rPr>
          <w:rFonts w:ascii="Times New Roman" w:hAnsi="Times New Roman" w:cs="Times New Roman"/>
          <w:sz w:val="24"/>
          <w:szCs w:val="24"/>
          <w:lang w:val="es-PE"/>
        </w:rPr>
        <w:t>......................................</w:t>
      </w:r>
      <w:r w:rsidRPr="1AD4BA61" w:rsidR="006B69A2">
        <w:rPr>
          <w:rFonts w:ascii="Times New Roman" w:hAnsi="Times New Roman" w:cs="Times New Roman"/>
          <w:sz w:val="24"/>
          <w:szCs w:val="24"/>
          <w:lang w:val="es-PE"/>
        </w:rPr>
        <w:t>, contratante de la póliza (en adelante, el contratante).</w:t>
      </w:r>
    </w:p>
    <w:p w:rsidRPr="006B69A2" w:rsidR="006B69A2" w:rsidP="006B69A2" w:rsidRDefault="006B69A2" w14:paraId="25F1D90A" w14:textId="77777777">
      <w:pPr>
        <w:spacing w:after="0" w:line="240" w:lineRule="auto"/>
        <w:jc w:val="both"/>
        <w:rPr>
          <w:rFonts w:ascii="Times New Roman" w:hAnsi="Times New Roman" w:cs="Times New Roman"/>
          <w:sz w:val="24"/>
          <w:szCs w:val="24"/>
          <w:lang w:val="es-PE"/>
        </w:rPr>
      </w:pPr>
    </w:p>
    <w:p w:rsidRPr="006B69A2" w:rsidR="006B69A2" w:rsidP="006B69A2" w:rsidRDefault="006B69A2" w14:paraId="4A200D94" w14:textId="77777777">
      <w:pPr>
        <w:pStyle w:val="Default"/>
        <w:jc w:val="both"/>
        <w:rPr>
          <w:rFonts w:ascii="Times New Roman" w:hAnsi="Times New Roman" w:cs="Times New Roman"/>
          <w:color w:val="auto"/>
        </w:rPr>
      </w:pPr>
      <w:r w:rsidRPr="006B69A2">
        <w:rPr>
          <w:rFonts w:ascii="Times New Roman" w:hAnsi="Times New Roman" w:cs="Times New Roman"/>
        </w:rPr>
        <w:t xml:space="preserve">Que el </w:t>
      </w:r>
      <w:r w:rsidRPr="006B69A2">
        <w:rPr>
          <w:rFonts w:ascii="Times New Roman" w:hAnsi="Times New Roman" w:cs="Times New Roman"/>
          <w:color w:val="auto"/>
        </w:rPr>
        <w:t>señalado Recurso Impugnativo se fundamenta resumidamente en lo siguiente: 1) tal y como se ha precisado anteriormente, la aseguradora advirtió que el Acta de defunción concluía que la causa de muerte del contratante se desencadenaba por una serie de enfermedades, las mismas que, de la revisión de su historia clínica, son preexistentes a la celebración del contrato de seguro; 2) DEFASEG consideró que la aseguradora no había cumplido con adjuntar medios probatorios suficientes que corroboren lo alegado ya que, en efecto, no se pudo conseguir aquel informe médico detallado antes de la emisión de la Resolución; 3) en el Informe Médico – que presentará a la brevedad– se podrá advertir que, del análisis de las enfermedades advertidas en el historial clínico en contraste con la información del Informe Estadístico de la Defunción, la causa del fallecimiento del contratante responde directamente a las enfermedades preexistentes que éste padecía;</w:t>
      </w:r>
    </w:p>
    <w:p w:rsidRPr="006B69A2" w:rsidR="006B69A2" w:rsidP="006B69A2" w:rsidRDefault="006B69A2" w14:paraId="4AB5C267" w14:textId="77777777">
      <w:pPr>
        <w:pStyle w:val="Default"/>
        <w:jc w:val="both"/>
        <w:rPr>
          <w:rFonts w:ascii="Times New Roman" w:hAnsi="Times New Roman" w:cs="Times New Roman"/>
        </w:rPr>
      </w:pPr>
    </w:p>
    <w:p w:rsidRPr="006B69A2" w:rsidR="006B69A2" w:rsidP="006B69A2" w:rsidRDefault="006B69A2" w14:paraId="39EFC8E1" w14:textId="77777777">
      <w:pPr>
        <w:pStyle w:val="Default"/>
        <w:jc w:val="both"/>
        <w:rPr>
          <w:rFonts w:ascii="Times New Roman" w:hAnsi="Times New Roman" w:cs="Times New Roman"/>
        </w:rPr>
      </w:pPr>
      <w:r w:rsidRPr="006B69A2">
        <w:rPr>
          <w:rFonts w:ascii="Times New Roman" w:hAnsi="Times New Roman" w:cs="Times New Roman"/>
        </w:rPr>
        <w:t>Que, habiéndose corrido traslado a la asegurada del referido Recurso impugnatorio, esta no ha cumplido con absolverlo. No obstante, habiendo transcurrido el plazo correspondiente, el presente procedimiento se encuentra expedito para ser resuelto;</w:t>
      </w:r>
      <w:r w:rsidRPr="006B69A2">
        <w:rPr>
          <w:rFonts w:ascii="Times New Roman" w:hAnsi="Times New Roman" w:cs="Times New Roman"/>
          <w:b/>
          <w:bCs/>
        </w:rPr>
        <w:t xml:space="preserve"> </w:t>
      </w:r>
    </w:p>
    <w:p w:rsidRPr="006B69A2" w:rsidR="006B69A2" w:rsidP="006B69A2" w:rsidRDefault="006B69A2" w14:paraId="3EFA22F3" w14:textId="77777777">
      <w:pPr>
        <w:pStyle w:val="Default"/>
        <w:jc w:val="both"/>
        <w:rPr>
          <w:rFonts w:ascii="Times New Roman" w:hAnsi="Times New Roman" w:cs="Times New Roman"/>
        </w:rPr>
      </w:pPr>
    </w:p>
    <w:p w:rsidRPr="006B69A2" w:rsidR="006B69A2" w:rsidP="006B69A2" w:rsidRDefault="006B69A2" w14:paraId="1D1B9B7F"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sz w:val="24"/>
          <w:szCs w:val="24"/>
          <w:lang w:val="es-PE"/>
        </w:rPr>
        <w:t>Que, atendiendo a lo expuesto, esta Defensoría resuelve finalmente lo siguiente:</w:t>
      </w:r>
    </w:p>
    <w:p w:rsidRPr="006B69A2" w:rsidR="006B69A2" w:rsidP="006B69A2" w:rsidRDefault="006B69A2" w14:paraId="47291B19" w14:textId="77777777">
      <w:pPr>
        <w:spacing w:after="0" w:line="240" w:lineRule="auto"/>
        <w:jc w:val="both"/>
        <w:rPr>
          <w:rFonts w:ascii="Times New Roman" w:hAnsi="Times New Roman" w:cs="Times New Roman"/>
          <w:b/>
          <w:sz w:val="24"/>
          <w:szCs w:val="24"/>
          <w:lang w:val="es-PE"/>
        </w:rPr>
      </w:pPr>
    </w:p>
    <w:p w:rsidRPr="006B69A2" w:rsidR="006B69A2" w:rsidP="006B69A2" w:rsidRDefault="006B69A2" w14:paraId="0F015E42"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b/>
          <w:sz w:val="24"/>
          <w:szCs w:val="24"/>
          <w:lang w:val="es-PE"/>
        </w:rPr>
        <w:t>PRIMERO:</w:t>
      </w:r>
      <w:r w:rsidRPr="006B69A2">
        <w:rPr>
          <w:rFonts w:ascii="Times New Roman" w:hAnsi="Times New Roman" w:cs="Times New Roman"/>
          <w:sz w:val="24"/>
          <w:szCs w:val="24"/>
          <w:lang w:val="es-PE"/>
        </w:rPr>
        <w:t xml:space="preserve"> Que el artículo 10 (Procedimiento) del Reglamento de la DEFASEG (</w:t>
      </w:r>
      <w:r w:rsidR="00813611">
        <w:fldChar w:fldCharType="begin"/>
      </w:r>
      <w:r w:rsidRPr="00813611" w:rsidR="00813611">
        <w:rPr>
          <w:lang w:val="es-PE"/>
        </w:rPr>
        <w:instrText>HYPERLINK "http://www.defaseg.com.pe/reglamento"</w:instrText>
      </w:r>
      <w:r w:rsidR="00813611">
        <w:fldChar w:fldCharType="separate"/>
      </w:r>
      <w:r w:rsidRPr="006B69A2">
        <w:rPr>
          <w:rStyle w:val="Hipervnculo"/>
          <w:rFonts w:ascii="Times New Roman" w:hAnsi="Times New Roman" w:cs="Times New Roman"/>
          <w:sz w:val="24"/>
          <w:szCs w:val="24"/>
          <w:lang w:val="es-PE"/>
        </w:rPr>
        <w:t>http://www.defaseg.com.pe/reglamento</w:t>
      </w:r>
      <w:r w:rsidR="00813611">
        <w:rPr>
          <w:rStyle w:val="Hipervnculo"/>
          <w:rFonts w:ascii="Times New Roman" w:hAnsi="Times New Roman" w:cs="Times New Roman"/>
          <w:sz w:val="24"/>
          <w:szCs w:val="24"/>
          <w:lang w:val="es-PE"/>
        </w:rPr>
        <w:fldChar w:fldCharType="end"/>
      </w:r>
      <w:r w:rsidRPr="006B69A2">
        <w:rPr>
          <w:rFonts w:ascii="Times New Roman" w:hAnsi="Times New Roman" w:cs="Times New Roman"/>
          <w:sz w:val="24"/>
          <w:szCs w:val="24"/>
          <w:lang w:val="es-PE"/>
        </w:rPr>
        <w:t>) establece que cualquiera de las partes que no se encuentre de acuerdo con la decisión adoptada por el colegiado sobre la materia reclamada, podrá impugnarla, interponiendo el correspondiente Recurso Impugnativo. Conforme a ello, en el caso concreto, la aseguradora, al interponer el Recurso Impugnativo, ha ejercido formalmente su derecho a contradecir lo resuelto por la Defensoría, el que deberá sustentar -razonablemente- la razón de su desacuerdo, destacando el vicio o error en que se habría incurrido y que permitiría fundamentar que lo resuelto no se ajusta a derecho ni a los correspondientes actuados.</w:t>
      </w:r>
    </w:p>
    <w:p w:rsidRPr="006B69A2" w:rsidR="006B69A2" w:rsidP="006B69A2" w:rsidRDefault="006B69A2" w14:paraId="4289CB17" w14:textId="77777777">
      <w:pPr>
        <w:spacing w:after="0" w:line="240" w:lineRule="auto"/>
        <w:jc w:val="both"/>
        <w:rPr>
          <w:rFonts w:ascii="Times New Roman" w:hAnsi="Times New Roman" w:cs="Times New Roman"/>
          <w:b/>
          <w:sz w:val="24"/>
          <w:szCs w:val="24"/>
          <w:lang w:val="es-PE"/>
        </w:rPr>
      </w:pPr>
    </w:p>
    <w:p w:rsidRPr="006B69A2" w:rsidR="006B69A2" w:rsidP="006B69A2" w:rsidRDefault="006B69A2" w14:paraId="3B410547"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b/>
          <w:sz w:val="24"/>
          <w:szCs w:val="24"/>
          <w:lang w:val="es-PE"/>
        </w:rPr>
        <w:t>SEGUNDO:</w:t>
      </w:r>
      <w:r w:rsidRPr="006B69A2">
        <w:rPr>
          <w:rFonts w:ascii="Times New Roman" w:hAnsi="Times New Roman" w:cs="Times New Roman"/>
          <w:sz w:val="24"/>
          <w:szCs w:val="24"/>
          <w:lang w:val="es-PE"/>
        </w:rPr>
        <w:t xml:space="preserve"> Que, de la lectura del Recurso Impugnativo se aprecia que la reclamante impugna lo resuelto por la DEFASEG manifestando su disconformidad. A juicio de este colegiado, el recurso impugnativo interpuesto puede ser categorizado, por su contenido mismo, como una solicitud de revisión general, sustentado en el respetable criterio del reclamante que este colegiado no comparte definitivamente, pero sin aportar argumento o medio probatorio alguno que permita objetivamente a este colegiado apreciar que habría incurrido efectivamente en un error o vicio al momento de resolver, por lo que la DEFASEG reitera lo analizado y concluido en su oportunidad. </w:t>
      </w:r>
    </w:p>
    <w:p w:rsidRPr="006B69A2" w:rsidR="006B69A2" w:rsidP="006B69A2" w:rsidRDefault="006B69A2" w14:paraId="4874390D" w14:textId="77777777">
      <w:pPr>
        <w:spacing w:after="0" w:line="240" w:lineRule="auto"/>
        <w:jc w:val="both"/>
        <w:rPr>
          <w:rFonts w:ascii="Times New Roman" w:hAnsi="Times New Roman" w:cs="Times New Roman"/>
          <w:sz w:val="24"/>
          <w:szCs w:val="24"/>
          <w:lang w:val="es-PE"/>
        </w:rPr>
      </w:pPr>
    </w:p>
    <w:p w:rsidRPr="006B69A2" w:rsidR="006B69A2" w:rsidP="006B69A2" w:rsidRDefault="006B69A2" w14:paraId="2DBD93C5"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sz w:val="24"/>
          <w:szCs w:val="24"/>
          <w:lang w:val="es-PE"/>
        </w:rPr>
        <w:t>Al respecto, debemos precisar que, si bien la aseguradora afirma que presentaría un Informe Médico, este nunca fue presentado, por lo que resulta imposible su análisis. En buena cuenta, el presente Recurso Impugnativo carece de prueba o argumento nuevo que pueda ser objeto de análisis por parte de DEFASEG.</w:t>
      </w:r>
    </w:p>
    <w:p w:rsidRPr="006B69A2" w:rsidR="006B69A2" w:rsidP="006B69A2" w:rsidRDefault="006B69A2" w14:paraId="5CDAC38F" w14:textId="77777777">
      <w:pPr>
        <w:spacing w:after="0" w:line="240" w:lineRule="auto"/>
        <w:jc w:val="both"/>
        <w:rPr>
          <w:rFonts w:ascii="Times New Roman" w:hAnsi="Times New Roman" w:cs="Times New Roman"/>
          <w:sz w:val="24"/>
          <w:szCs w:val="24"/>
          <w:lang w:val="es-PE"/>
        </w:rPr>
      </w:pPr>
    </w:p>
    <w:p w:rsidRPr="006B69A2" w:rsidR="006B69A2" w:rsidP="006B69A2" w:rsidRDefault="006B69A2" w14:paraId="4F8D1A5E"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b/>
          <w:sz w:val="24"/>
          <w:szCs w:val="24"/>
          <w:lang w:val="es-PE"/>
        </w:rPr>
        <w:t>TERCERO:</w:t>
      </w:r>
      <w:r w:rsidRPr="006B69A2">
        <w:rPr>
          <w:rFonts w:ascii="Times New Roman" w:hAnsi="Times New Roman" w:cs="Times New Roman"/>
          <w:sz w:val="24"/>
          <w:szCs w:val="24"/>
          <w:lang w:val="es-PE"/>
        </w:rPr>
        <w:t xml:space="preserve"> Que, en particular nos remitimos a lo manifestado en el considerando SÉTIMO de la Resolución Impugnada, así como al Recurso Impugnativo mismo. De la lectura de estos, resulta evidente que la aseguradora, a lo largo del procedimiento, no ha logrado acreditar que la preexistencia a la que hace referencia resulta ser el mismo diagnóstico que, según el Certificado de Defunción, causó el fallecimiento del contratante. De hecho, el Informe Médico que, conforme a lo indicado en el Recurso Impugnativo de la aseguradora, sería ofrecido para su análisis y serviría para acreditar el rechazo de la aseguradora nunca fue remitido. Así, por lo señalado, DEFASEG se ratifica en su análisis previo, en vista de que no existen argumentos o medios probatorios que justifiquen una modificación de este.</w:t>
      </w:r>
    </w:p>
    <w:p w:rsidRPr="006B69A2" w:rsidR="006B69A2" w:rsidP="006B69A2" w:rsidRDefault="006B69A2" w14:paraId="733964AF" w14:textId="77777777">
      <w:pPr>
        <w:spacing w:after="0" w:line="240" w:lineRule="auto"/>
        <w:jc w:val="both"/>
        <w:rPr>
          <w:rFonts w:ascii="Times New Roman" w:hAnsi="Times New Roman" w:cs="Times New Roman"/>
          <w:sz w:val="24"/>
          <w:szCs w:val="24"/>
          <w:lang w:val="es-PE"/>
        </w:rPr>
      </w:pPr>
    </w:p>
    <w:p w:rsidRPr="006B69A2" w:rsidR="006B69A2" w:rsidP="006B69A2" w:rsidRDefault="006B69A2" w14:paraId="7BD873EC" w14:textId="77777777">
      <w:pPr>
        <w:spacing w:after="0" w:line="240" w:lineRule="auto"/>
        <w:jc w:val="both"/>
        <w:rPr>
          <w:rFonts w:ascii="Times New Roman" w:hAnsi="Times New Roman" w:cs="Times New Roman"/>
          <w:sz w:val="24"/>
          <w:szCs w:val="24"/>
          <w:lang w:val="es-PE"/>
        </w:rPr>
      </w:pPr>
      <w:r w:rsidRPr="006B69A2">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6B69A2" w:rsidR="006B69A2" w:rsidP="006B69A2" w:rsidRDefault="006B69A2" w14:paraId="39E429BC" w14:textId="77777777">
      <w:pPr>
        <w:spacing w:after="0" w:line="240" w:lineRule="auto"/>
        <w:jc w:val="both"/>
        <w:rPr>
          <w:rFonts w:ascii="Times New Roman" w:hAnsi="Times New Roman" w:cs="Times New Roman"/>
          <w:b/>
          <w:sz w:val="24"/>
          <w:szCs w:val="24"/>
          <w:lang w:val="es-PE"/>
        </w:rPr>
      </w:pPr>
    </w:p>
    <w:p w:rsidRPr="006B69A2" w:rsidR="006B69A2" w:rsidP="006B69A2" w:rsidRDefault="006B69A2" w14:paraId="0121D4A9" w14:textId="77777777">
      <w:pPr>
        <w:spacing w:after="0" w:line="240" w:lineRule="auto"/>
        <w:jc w:val="both"/>
        <w:rPr>
          <w:rFonts w:ascii="Times New Roman" w:hAnsi="Times New Roman" w:cs="Times New Roman"/>
          <w:b/>
          <w:sz w:val="24"/>
          <w:szCs w:val="24"/>
          <w:lang w:val="es-PE"/>
        </w:rPr>
      </w:pPr>
      <w:r w:rsidRPr="006B69A2">
        <w:rPr>
          <w:rFonts w:ascii="Times New Roman" w:hAnsi="Times New Roman" w:cs="Times New Roman"/>
          <w:b/>
          <w:sz w:val="24"/>
          <w:szCs w:val="24"/>
          <w:lang w:val="es-PE"/>
        </w:rPr>
        <w:t xml:space="preserve">RESUELVE: </w:t>
      </w:r>
    </w:p>
    <w:p w:rsidRPr="006B69A2" w:rsidR="006B69A2" w:rsidP="006B69A2" w:rsidRDefault="006B69A2" w14:paraId="09E81630" w14:textId="77777777">
      <w:pPr>
        <w:spacing w:after="0" w:line="240" w:lineRule="auto"/>
        <w:jc w:val="both"/>
        <w:rPr>
          <w:rFonts w:ascii="Times New Roman" w:hAnsi="Times New Roman" w:cs="Times New Roman"/>
          <w:sz w:val="24"/>
          <w:szCs w:val="24"/>
          <w:lang w:val="es-PE"/>
        </w:rPr>
      </w:pPr>
    </w:p>
    <w:p w:rsidRPr="006B69A2" w:rsidR="006B69A2" w:rsidP="006B69A2" w:rsidRDefault="006B69A2" w14:paraId="27A7EB29" w14:textId="4C2801C4">
      <w:pPr>
        <w:spacing w:after="0" w:line="240" w:lineRule="auto"/>
        <w:jc w:val="both"/>
        <w:rPr>
          <w:rFonts w:ascii="Times New Roman" w:hAnsi="Times New Roman" w:cs="Times New Roman"/>
          <w:sz w:val="24"/>
          <w:szCs w:val="24"/>
          <w:lang w:val="es-PE"/>
        </w:rPr>
      </w:pPr>
      <w:r w:rsidRPr="1AD4BA61" w:rsidR="006B69A2">
        <w:rPr>
          <w:rFonts w:ascii="Times New Roman" w:hAnsi="Times New Roman" w:cs="Times New Roman"/>
          <w:sz w:val="24"/>
          <w:szCs w:val="24"/>
          <w:lang w:val="es-PE"/>
        </w:rPr>
        <w:t xml:space="preserve">Declarar </w:t>
      </w:r>
      <w:r w:rsidRPr="1AD4BA61" w:rsidR="006B69A2">
        <w:rPr>
          <w:rFonts w:ascii="Times New Roman" w:hAnsi="Times New Roman" w:cs="Times New Roman"/>
          <w:b w:val="1"/>
          <w:bCs w:val="1"/>
          <w:sz w:val="24"/>
          <w:szCs w:val="24"/>
          <w:lang w:val="es-PE"/>
        </w:rPr>
        <w:t>INFUNDADO</w:t>
      </w:r>
      <w:r w:rsidRPr="1AD4BA61" w:rsidR="006B69A2">
        <w:rPr>
          <w:rFonts w:ascii="Times New Roman" w:hAnsi="Times New Roman" w:cs="Times New Roman"/>
          <w:sz w:val="24"/>
          <w:szCs w:val="24"/>
          <w:lang w:val="es-PE"/>
        </w:rPr>
        <w:t xml:space="preserve"> el Recurso Impugnativo interpuesto y, por consiguiente, ratificar la Resolución </w:t>
      </w:r>
      <w:r w:rsidRPr="1AD4BA61" w:rsidR="006B69A2">
        <w:rPr>
          <w:rFonts w:ascii="Times New Roman" w:hAnsi="Times New Roman" w:cs="Times New Roman"/>
          <w:sz w:val="24"/>
          <w:szCs w:val="24"/>
          <w:lang w:val="es-PE"/>
        </w:rPr>
        <w:t>N°</w:t>
      </w:r>
      <w:r w:rsidRPr="1AD4BA61" w:rsidR="006B69A2">
        <w:rPr>
          <w:rFonts w:ascii="Times New Roman" w:hAnsi="Times New Roman" w:cs="Times New Roman"/>
          <w:sz w:val="24"/>
          <w:szCs w:val="24"/>
          <w:lang w:val="es-PE"/>
        </w:rPr>
        <w:t xml:space="preserve"> 050/24 que declaró</w:t>
      </w:r>
      <w:r w:rsidRPr="1AD4BA61" w:rsidR="006B69A2">
        <w:rPr>
          <w:rFonts w:ascii="Times New Roman" w:hAnsi="Times New Roman" w:cs="Times New Roman"/>
          <w:b w:val="1"/>
          <w:bCs w:val="1"/>
          <w:sz w:val="24"/>
          <w:szCs w:val="24"/>
          <w:lang w:val="es-PE"/>
        </w:rPr>
        <w:t xml:space="preserve"> FUNDADA </w:t>
      </w:r>
      <w:r w:rsidRPr="1AD4BA61" w:rsidR="006B69A2">
        <w:rPr>
          <w:rFonts w:ascii="Times New Roman" w:hAnsi="Times New Roman" w:cs="Times New Roman"/>
          <w:sz w:val="24"/>
          <w:szCs w:val="24"/>
          <w:lang w:val="es-PE"/>
        </w:rPr>
        <w:t>la reclamación interpuesta</w:t>
      </w:r>
      <w:r w:rsidRPr="1AD4BA61" w:rsidR="006B69A2">
        <w:rPr>
          <w:rFonts w:ascii="Times New Roman" w:hAnsi="Times New Roman" w:cs="Times New Roman"/>
          <w:b w:val="1"/>
          <w:bCs w:val="1"/>
          <w:sz w:val="24"/>
          <w:szCs w:val="24"/>
          <w:lang w:val="es-PE"/>
        </w:rPr>
        <w:t xml:space="preserve"> </w:t>
      </w:r>
      <w:r w:rsidRPr="1AD4BA61" w:rsidR="006B69A2">
        <w:rPr>
          <w:rFonts w:ascii="Times New Roman" w:hAnsi="Times New Roman" w:cs="Times New Roman"/>
          <w:sz w:val="24"/>
          <w:szCs w:val="24"/>
          <w:lang w:val="es-PE"/>
        </w:rPr>
        <w:t>por doña</w:t>
      </w:r>
      <w:r w:rsidRPr="1AD4BA61" w:rsidR="006B69A2">
        <w:rPr>
          <w:rFonts w:ascii="Times New Roman" w:hAnsi="Times New Roman" w:cs="Times New Roman"/>
          <w:b w:val="1"/>
          <w:bCs w:val="1"/>
          <w:sz w:val="24"/>
          <w:szCs w:val="24"/>
          <w:lang w:val="es-PE"/>
        </w:rPr>
        <w:t xml:space="preserve"> </w:t>
      </w:r>
      <w:r w:rsidRPr="1AD4BA61" w:rsidR="1D961D2A">
        <w:rPr>
          <w:rFonts w:ascii="Times New Roman" w:hAnsi="Times New Roman" w:cs="Times New Roman"/>
          <w:b w:val="1"/>
          <w:bCs w:val="1"/>
          <w:sz w:val="24"/>
          <w:szCs w:val="24"/>
          <w:lang w:val="es-ES"/>
        </w:rPr>
        <w:t>.............................................</w:t>
      </w:r>
      <w:r w:rsidRPr="1AD4BA61" w:rsidR="006B69A2">
        <w:rPr>
          <w:rFonts w:ascii="Times New Roman" w:hAnsi="Times New Roman" w:cs="Times New Roman"/>
          <w:b w:val="1"/>
          <w:bCs w:val="1"/>
          <w:sz w:val="24"/>
          <w:szCs w:val="24"/>
          <w:lang w:val="es-PE"/>
        </w:rPr>
        <w:t xml:space="preserve">, </w:t>
      </w:r>
      <w:r w:rsidRPr="1AD4BA61" w:rsidR="006B69A2">
        <w:rPr>
          <w:rFonts w:ascii="Times New Roman" w:hAnsi="Times New Roman" w:cs="Times New Roman"/>
          <w:sz w:val="24"/>
          <w:szCs w:val="24"/>
          <w:lang w:val="es-PE"/>
        </w:rPr>
        <w:t>dejando a salvo el derecho de las partes de acudir a otras instancias que consideren pertinentes.</w:t>
      </w:r>
    </w:p>
    <w:p w:rsidRPr="006B69A2" w:rsidR="008B6A09" w:rsidP="008B6A09" w:rsidRDefault="0091528B" w14:paraId="000A434B" w14:textId="33C94E3E">
      <w:pPr>
        <w:jc w:val="right"/>
        <w:rPr>
          <w:rFonts w:ascii="Times New Roman" w:hAnsi="Times New Roman" w:cs="Times New Roman"/>
          <w:sz w:val="24"/>
          <w:szCs w:val="24"/>
          <w:lang w:val="es-PE"/>
        </w:rPr>
      </w:pPr>
      <w:r w:rsidRPr="006B69A2">
        <w:rPr>
          <w:rFonts w:ascii="Times New Roman" w:hAnsi="Times New Roman" w:eastAsia="Arial Unicode MS" w:cs="Times New Roman"/>
          <w:sz w:val="24"/>
          <w:szCs w:val="24"/>
          <w:lang w:val="es-PE" w:eastAsia="ar-SA"/>
        </w:rPr>
        <w:t xml:space="preserve">Lima, </w:t>
      </w:r>
      <w:r w:rsidRPr="006B69A2" w:rsidR="004C39C5">
        <w:rPr>
          <w:rFonts w:ascii="Times New Roman" w:hAnsi="Times New Roman" w:eastAsia="Arial Unicode MS" w:cs="Times New Roman"/>
          <w:sz w:val="24"/>
          <w:szCs w:val="24"/>
          <w:lang w:val="es-PE" w:eastAsia="ar-SA"/>
        </w:rPr>
        <w:t>03</w:t>
      </w:r>
      <w:r w:rsidRPr="006B69A2" w:rsidR="00570ED6">
        <w:rPr>
          <w:rFonts w:ascii="Times New Roman" w:hAnsi="Times New Roman" w:eastAsia="Arial Unicode MS" w:cs="Times New Roman"/>
          <w:sz w:val="24"/>
          <w:szCs w:val="24"/>
          <w:lang w:val="es-PE" w:eastAsia="ar-SA"/>
        </w:rPr>
        <w:t xml:space="preserve"> </w:t>
      </w:r>
      <w:r w:rsidRPr="006B69A2" w:rsidR="00707C99">
        <w:rPr>
          <w:rFonts w:ascii="Times New Roman" w:hAnsi="Times New Roman" w:eastAsia="Arial Unicode MS" w:cs="Times New Roman"/>
          <w:sz w:val="24"/>
          <w:szCs w:val="24"/>
          <w:lang w:val="es-PE" w:eastAsia="ar-SA"/>
        </w:rPr>
        <w:t>de</w:t>
      </w:r>
      <w:r w:rsidRPr="006B69A2" w:rsidR="00A02CF2">
        <w:rPr>
          <w:rFonts w:ascii="Times New Roman" w:hAnsi="Times New Roman" w:eastAsia="Arial Unicode MS" w:cs="Times New Roman"/>
          <w:sz w:val="24"/>
          <w:szCs w:val="24"/>
          <w:lang w:val="es-PE" w:eastAsia="ar-SA"/>
        </w:rPr>
        <w:t xml:space="preserve"> junio</w:t>
      </w:r>
      <w:r w:rsidRPr="006B69A2" w:rsidR="002F478E">
        <w:rPr>
          <w:rFonts w:ascii="Times New Roman" w:hAnsi="Times New Roman" w:eastAsia="Arial Unicode MS" w:cs="Times New Roman"/>
          <w:sz w:val="24"/>
          <w:szCs w:val="24"/>
          <w:lang w:val="es-PE" w:eastAsia="ar-SA"/>
        </w:rPr>
        <w:t xml:space="preserve"> </w:t>
      </w:r>
      <w:r w:rsidRPr="006B69A2" w:rsidR="00F06498">
        <w:rPr>
          <w:rFonts w:ascii="Times New Roman" w:hAnsi="Times New Roman" w:eastAsia="Arial Unicode MS" w:cs="Times New Roman"/>
          <w:sz w:val="24"/>
          <w:szCs w:val="24"/>
          <w:lang w:val="es-PE" w:eastAsia="ar-SA"/>
        </w:rPr>
        <w:t>de 202</w:t>
      </w:r>
      <w:r w:rsidRPr="006B69A2" w:rsidR="00543015">
        <w:rPr>
          <w:rFonts w:ascii="Times New Roman" w:hAnsi="Times New Roman" w:eastAsia="Arial Unicode MS" w:cs="Times New Roman"/>
          <w:sz w:val="24"/>
          <w:szCs w:val="24"/>
          <w:lang w:val="es-PE" w:eastAsia="ar-SA"/>
        </w:rPr>
        <w:t>4</w:t>
      </w:r>
      <w:r w:rsidRPr="006B69A2" w:rsidR="00707C99">
        <w:rPr>
          <w:rFonts w:ascii="Times New Roman" w:hAnsi="Times New Roman" w:eastAsia="Times New Roman" w:cs="Times New Roman"/>
          <w:sz w:val="24"/>
          <w:szCs w:val="24"/>
          <w:lang w:val="es-PE" w:eastAsia="ar-SA"/>
        </w:rPr>
        <w:t xml:space="preserve"> </w:t>
      </w:r>
    </w:p>
    <w:p w:rsidRPr="006B69A2"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6B69A2">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6B69A2"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6B69A2"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Omar Alfaro Villanueva – </w:t>
      </w:r>
      <w:proofErr w:type="gramStart"/>
      <w:r w:rsidRPr="006B69A2">
        <w:rPr>
          <w:rFonts w:ascii="Times New Roman" w:hAnsi="Times New Roman" w:cs="Times New Roman"/>
          <w:b/>
          <w:bCs/>
          <w:sz w:val="24"/>
          <w:szCs w:val="24"/>
          <w:lang w:val="es-PE"/>
        </w:rPr>
        <w:t>Presidente</w:t>
      </w:r>
      <w:proofErr w:type="gramEnd"/>
    </w:p>
    <w:p w:rsidRPr="006B69A2"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María Eugenia Valdez Fernández Baca </w:t>
      </w:r>
      <w:proofErr w:type="gramStart"/>
      <w:r w:rsidRPr="006B69A2" w:rsidR="007543CD">
        <w:rPr>
          <w:rFonts w:ascii="Times New Roman" w:hAnsi="Times New Roman" w:cs="Times New Roman"/>
          <w:b/>
          <w:bCs/>
          <w:sz w:val="24"/>
          <w:szCs w:val="24"/>
          <w:lang w:val="es-PE"/>
        </w:rPr>
        <w:t xml:space="preserve">– </w:t>
      </w:r>
      <w:r w:rsidRPr="006B69A2" w:rsidR="00950F53">
        <w:rPr>
          <w:rFonts w:ascii="Times New Roman" w:hAnsi="Times New Roman" w:cs="Times New Roman"/>
          <w:b/>
          <w:bCs/>
          <w:sz w:val="24"/>
          <w:szCs w:val="24"/>
          <w:lang w:val="es-PE"/>
        </w:rPr>
        <w:t xml:space="preserve"> Vocal</w:t>
      </w:r>
      <w:proofErr w:type="gramEnd"/>
    </w:p>
    <w:p w:rsidRPr="006B69A2"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6B69A2">
        <w:rPr>
          <w:rFonts w:ascii="Times New Roman" w:hAnsi="Times New Roman" w:cs="Times New Roman"/>
          <w:b/>
          <w:bCs/>
          <w:sz w:val="24"/>
          <w:szCs w:val="24"/>
          <w:lang w:val="es-PE"/>
        </w:rPr>
        <w:t xml:space="preserve">Rolando Eyzaguirre </w:t>
      </w:r>
      <w:proofErr w:type="spellStart"/>
      <w:r w:rsidRPr="006B69A2">
        <w:rPr>
          <w:rFonts w:ascii="Times New Roman" w:hAnsi="Times New Roman" w:cs="Times New Roman"/>
          <w:b/>
          <w:bCs/>
          <w:sz w:val="24"/>
          <w:szCs w:val="24"/>
          <w:lang w:val="es-PE"/>
        </w:rPr>
        <w:t>Maccan</w:t>
      </w:r>
      <w:proofErr w:type="spellEnd"/>
      <w:r w:rsidRPr="006B69A2">
        <w:rPr>
          <w:rFonts w:ascii="Times New Roman" w:hAnsi="Times New Roman" w:cs="Times New Roman"/>
          <w:b/>
          <w:bCs/>
          <w:sz w:val="24"/>
          <w:szCs w:val="24"/>
          <w:lang w:val="es-PE"/>
        </w:rPr>
        <w:t xml:space="preserve"> </w:t>
      </w:r>
      <w:r w:rsidRPr="006B69A2" w:rsidR="007543CD">
        <w:rPr>
          <w:rFonts w:ascii="Times New Roman" w:hAnsi="Times New Roman" w:cs="Times New Roman"/>
          <w:b/>
          <w:bCs/>
          <w:sz w:val="24"/>
          <w:szCs w:val="24"/>
          <w:lang w:val="es-PE"/>
        </w:rPr>
        <w:t>– Vocal</w:t>
      </w:r>
    </w:p>
    <w:p w:rsidRPr="006B69A2"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6B69A2">
        <w:rPr>
          <w:rFonts w:ascii="Times New Roman" w:hAnsi="Times New Roman" w:cs="Times New Roman"/>
          <w:b/>
          <w:bCs/>
          <w:sz w:val="24"/>
          <w:szCs w:val="24"/>
          <w:lang w:val="es-PE"/>
        </w:rPr>
        <w:t>Gonzalo Abad del Busto – Vocal</w:t>
      </w:r>
    </w:p>
    <w:p w:rsidRPr="00992626"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7E74" w:rsidP="00784355" w:rsidRDefault="00557E74" w14:paraId="6EE66E4A" w14:textId="77777777">
      <w:pPr>
        <w:spacing w:after="0" w:line="240" w:lineRule="auto"/>
      </w:pPr>
      <w:r>
        <w:separator/>
      </w:r>
    </w:p>
  </w:endnote>
  <w:endnote w:type="continuationSeparator" w:id="0">
    <w:p w:rsidR="00557E74" w:rsidP="00784355" w:rsidRDefault="00557E74" w14:paraId="45802E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7E74" w:rsidP="00784355" w:rsidRDefault="00557E74" w14:paraId="7D1797D4" w14:textId="77777777">
      <w:pPr>
        <w:spacing w:after="0" w:line="240" w:lineRule="auto"/>
      </w:pPr>
      <w:r>
        <w:separator/>
      </w:r>
    </w:p>
  </w:footnote>
  <w:footnote w:type="continuationSeparator" w:id="0">
    <w:p w:rsidR="00557E74" w:rsidP="00784355" w:rsidRDefault="00557E74" w14:paraId="6B0491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7"/>
  </w:num>
  <w:num w:numId="3" w16cid:durableId="333261791">
    <w:abstractNumId w:val="23"/>
  </w:num>
  <w:num w:numId="4" w16cid:durableId="1770345525">
    <w:abstractNumId w:val="22"/>
  </w:num>
  <w:num w:numId="5" w16cid:durableId="1816144979">
    <w:abstractNumId w:val="25"/>
  </w:num>
  <w:num w:numId="6" w16cid:durableId="1304313350">
    <w:abstractNumId w:val="0"/>
  </w:num>
  <w:num w:numId="7" w16cid:durableId="16682880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5"/>
  </w:num>
  <w:num w:numId="17" w16cid:durableId="17998823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2"/>
  </w:num>
  <w:num w:numId="26" w16cid:durableId="2108460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29"/>
  </w:num>
  <w:num w:numId="34" w16cid:durableId="364914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670A4CA"/>
    <w:rsid w:val="1AD4BA61"/>
    <w:rsid w:val="1D961D2A"/>
    <w:rsid w:val="28914A07"/>
    <w:rsid w:val="462FF2D1"/>
    <w:rsid w:val="46D61FBD"/>
    <w:rsid w:val="4721E624"/>
    <w:rsid w:val="49EF34CF"/>
    <w:rsid w:val="51F12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1655187-2DE9-4204-885B-70691CE1F213}"/>
</file>

<file path=customXml/itemProps3.xml><?xml version="1.0" encoding="utf-8"?>
<ds:datastoreItem xmlns:ds="http://schemas.openxmlformats.org/officeDocument/2006/customXml" ds:itemID="{6BF5118A-2F93-4B16-A8EC-FE1C5841AAB1}"/>
</file>

<file path=customXml/itemProps4.xml><?xml version="1.0" encoding="utf-8"?>
<ds:datastoreItem xmlns:ds="http://schemas.openxmlformats.org/officeDocument/2006/customXml" ds:itemID="{D99585EB-31F3-4C1A-8783-5F32F30DB4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302</cp:revision>
  <cp:lastPrinted>2024-06-11T15:06:00Z</cp:lastPrinted>
  <dcterms:created xsi:type="dcterms:W3CDTF">2023-02-14T22:37:00Z</dcterms:created>
  <dcterms:modified xsi:type="dcterms:W3CDTF">2025-12-10T19:54:28Z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