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441B9" w:rsidR="00707C99" w:rsidP="00272F4F" w:rsidRDefault="00201C0D" w14:paraId="19FE0E96" w14:textId="612CAFC4">
      <w:pPr>
        <w:spacing w:after="0" w:line="240" w:lineRule="auto"/>
        <w:jc w:val="center"/>
        <w:rPr>
          <w:rFonts w:ascii="Times New Roman" w:hAnsi="Times New Roman" w:cs="Times New Roman"/>
          <w:b/>
          <w:sz w:val="24"/>
          <w:szCs w:val="24"/>
          <w:lang w:val="es-PE" w:eastAsia="ar-SA"/>
        </w:rPr>
      </w:pPr>
      <w:r w:rsidRPr="002441B9">
        <w:rPr>
          <w:rFonts w:ascii="Times New Roman" w:hAnsi="Times New Roman" w:cs="Times New Roman"/>
          <w:b/>
          <w:sz w:val="24"/>
          <w:szCs w:val="24"/>
          <w:lang w:val="es-PE" w:eastAsia="ar-SA"/>
        </w:rPr>
        <w:t xml:space="preserve">RESOLUCIÓN DE RECURSO IMPUGNATIVO </w:t>
      </w:r>
      <w:r w:rsidRPr="002441B9" w:rsidR="00707C99">
        <w:rPr>
          <w:rFonts w:ascii="Times New Roman" w:hAnsi="Times New Roman" w:cs="Times New Roman"/>
          <w:b/>
          <w:sz w:val="24"/>
          <w:szCs w:val="24"/>
          <w:lang w:val="es-PE" w:eastAsia="ar-SA"/>
        </w:rPr>
        <w:t xml:space="preserve">N° </w:t>
      </w:r>
      <w:r w:rsidRPr="002441B9" w:rsidR="00516293">
        <w:rPr>
          <w:rFonts w:ascii="Times New Roman" w:hAnsi="Times New Roman" w:cs="Times New Roman"/>
          <w:b/>
          <w:sz w:val="24"/>
          <w:szCs w:val="24"/>
          <w:lang w:val="es-PE" w:eastAsia="ar-SA"/>
        </w:rPr>
        <w:t>0</w:t>
      </w:r>
      <w:r w:rsidRPr="002441B9" w:rsidR="006444C9">
        <w:rPr>
          <w:rFonts w:ascii="Times New Roman" w:hAnsi="Times New Roman" w:cs="Times New Roman"/>
          <w:b/>
          <w:sz w:val="24"/>
          <w:szCs w:val="24"/>
          <w:lang w:val="es-PE" w:eastAsia="ar-SA"/>
        </w:rPr>
        <w:t>2</w:t>
      </w:r>
      <w:r w:rsidRPr="002441B9" w:rsidR="00673527">
        <w:rPr>
          <w:rFonts w:ascii="Times New Roman" w:hAnsi="Times New Roman" w:cs="Times New Roman"/>
          <w:b/>
          <w:sz w:val="24"/>
          <w:szCs w:val="24"/>
          <w:lang w:val="es-PE" w:eastAsia="ar-SA"/>
        </w:rPr>
        <w:t>5</w:t>
      </w:r>
      <w:r w:rsidRPr="002441B9" w:rsidR="00C671F5">
        <w:rPr>
          <w:rFonts w:ascii="Times New Roman" w:hAnsi="Times New Roman" w:cs="Times New Roman"/>
          <w:b/>
          <w:sz w:val="24"/>
          <w:szCs w:val="24"/>
          <w:lang w:val="es-PE" w:eastAsia="ar-SA"/>
        </w:rPr>
        <w:t>/2</w:t>
      </w:r>
      <w:r w:rsidRPr="002441B9" w:rsidR="00543015">
        <w:rPr>
          <w:rFonts w:ascii="Times New Roman" w:hAnsi="Times New Roman" w:cs="Times New Roman"/>
          <w:b/>
          <w:sz w:val="24"/>
          <w:szCs w:val="24"/>
          <w:lang w:val="es-PE" w:eastAsia="ar-SA"/>
        </w:rPr>
        <w:t>4</w:t>
      </w:r>
    </w:p>
    <w:p w:rsidRPr="002441B9"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2441B9" w:rsidR="002441B9" w:rsidP="002441B9" w:rsidRDefault="002441B9" w14:paraId="75C682E8" w14:textId="689E8E23">
      <w:pPr>
        <w:suppressAutoHyphens/>
        <w:jc w:val="both"/>
        <w:outlineLvl w:val="0"/>
        <w:rPr>
          <w:rFonts w:ascii="Times New Roman" w:hAnsi="Times New Roman" w:eastAsia="Times New Roman" w:cs="Times New Roman"/>
          <w:b/>
          <w:bCs/>
          <w:sz w:val="24"/>
          <w:szCs w:val="24"/>
          <w:lang w:val="es-MX" w:eastAsia="ar-SA"/>
        </w:rPr>
      </w:pPr>
      <w:r w:rsidRPr="002441B9">
        <w:rPr>
          <w:rFonts w:ascii="Times New Roman" w:hAnsi="Times New Roman" w:eastAsia="Times New Roman" w:cs="Times New Roman"/>
          <w:b/>
          <w:bCs/>
          <w:sz w:val="24"/>
          <w:szCs w:val="24"/>
          <w:lang w:val="es-MX" w:eastAsia="ar-SA"/>
        </w:rPr>
        <w:t xml:space="preserve">Vistos:   </w:t>
      </w:r>
    </w:p>
    <w:p w:rsidRPr="002441B9" w:rsidR="002441B9" w:rsidP="002441B9" w:rsidRDefault="002441B9" w14:paraId="17C68874" w14:textId="2CC22535">
      <w:pPr>
        <w:tabs>
          <w:tab w:val="left" w:pos="708"/>
          <w:tab w:val="left" w:pos="1416"/>
          <w:tab w:val="left" w:pos="2160"/>
          <w:tab w:val="left" w:pos="2977"/>
          <w:tab w:val="left" w:pos="4248"/>
          <w:tab w:val="left" w:pos="4956"/>
          <w:tab w:val="left" w:pos="5664"/>
          <w:tab w:val="left" w:pos="6372"/>
          <w:tab w:val="left" w:pos="7125"/>
        </w:tabs>
        <w:jc w:val="both"/>
        <w:rPr>
          <w:rFonts w:ascii="Times New Roman" w:hAnsi="Times New Roman" w:eastAsia="Arial Unicode MS" w:cs="Times New Roman"/>
          <w:sz w:val="24"/>
          <w:szCs w:val="24"/>
          <w:lang w:val="es-PE"/>
        </w:rPr>
      </w:pPr>
      <w:r w:rsidRPr="5ED867A2" w:rsidR="002441B9">
        <w:rPr>
          <w:rFonts w:ascii="Times New Roman" w:hAnsi="Times New Roman" w:eastAsia="Times New Roman" w:cs="Times New Roman"/>
          <w:sz w:val="24"/>
          <w:szCs w:val="24"/>
          <w:lang w:val="es-ES" w:eastAsia="ar-SA"/>
        </w:rPr>
        <w:t xml:space="preserve">El recurso de impugnación presentado con fecha 1° de julio de 2024 por </w:t>
      </w:r>
      <w:r w:rsidRPr="5ED867A2" w:rsidR="6F61E92B">
        <w:rPr>
          <w:rFonts w:ascii="Times New Roman" w:hAnsi="Times New Roman" w:eastAsia="Times New Roman" w:cs="Times New Roman"/>
          <w:sz w:val="24"/>
          <w:szCs w:val="24"/>
          <w:lang w:val="es-ES" w:eastAsia="ar-SA"/>
        </w:rPr>
        <w:t>..............................................</w:t>
      </w:r>
      <w:r w:rsidRPr="5ED867A2" w:rsidR="002441B9">
        <w:rPr>
          <w:rFonts w:ascii="Times New Roman" w:hAnsi="Times New Roman" w:eastAsia="Times New Roman" w:cs="Times New Roman"/>
          <w:sz w:val="24"/>
          <w:szCs w:val="24"/>
          <w:lang w:val="es-ES" w:eastAsia="ar-SA"/>
        </w:rPr>
        <w:t xml:space="preserve"> respecto de la Resolución </w:t>
      </w:r>
      <w:r w:rsidRPr="5ED867A2" w:rsidR="002441B9">
        <w:rPr>
          <w:rFonts w:ascii="Times New Roman" w:hAnsi="Times New Roman" w:eastAsia="Times New Roman" w:cs="Times New Roman"/>
          <w:sz w:val="24"/>
          <w:szCs w:val="24"/>
          <w:lang w:val="es-ES" w:eastAsia="ar-SA"/>
        </w:rPr>
        <w:t>Nº</w:t>
      </w:r>
      <w:r w:rsidRPr="5ED867A2" w:rsidR="002441B9">
        <w:rPr>
          <w:rFonts w:ascii="Times New Roman" w:hAnsi="Times New Roman" w:eastAsia="Times New Roman" w:cs="Times New Roman"/>
          <w:sz w:val="24"/>
          <w:szCs w:val="24"/>
          <w:lang w:val="es-ES" w:eastAsia="ar-SA"/>
        </w:rPr>
        <w:t xml:space="preserve"> 113/24 de fecha 24 de junio de 2024, que declaró INFUNDADA </w:t>
      </w:r>
      <w:r w:rsidRPr="5ED867A2" w:rsidR="002441B9">
        <w:rPr>
          <w:rFonts w:ascii="Times New Roman" w:hAnsi="Times New Roman" w:eastAsia="Arial Unicode MS" w:cs="Times New Roman"/>
          <w:sz w:val="24"/>
          <w:szCs w:val="24"/>
          <w:lang w:val="es-PE"/>
        </w:rPr>
        <w:t>la reclamación interpuesta</w:t>
      </w:r>
      <w:bookmarkStart w:name="OLE_LINK2" w:id="0"/>
      <w:r w:rsidRPr="5ED867A2" w:rsidR="002441B9">
        <w:rPr>
          <w:rFonts w:ascii="Times New Roman" w:hAnsi="Times New Roman" w:eastAsia="Arial Unicode MS" w:cs="Times New Roman"/>
          <w:sz w:val="24"/>
          <w:szCs w:val="24"/>
          <w:lang w:val="es-PE"/>
        </w:rPr>
        <w:t xml:space="preserve"> contra </w:t>
      </w:r>
      <w:r w:rsidRPr="5ED867A2" w:rsidR="27DA83E1">
        <w:rPr>
          <w:rFonts w:ascii="Times New Roman" w:hAnsi="Times New Roman" w:eastAsia="Arial Unicode MS" w:cs="Times New Roman"/>
          <w:sz w:val="24"/>
          <w:szCs w:val="24"/>
          <w:lang w:val="es-PE"/>
        </w:rPr>
        <w:t>..............................................</w:t>
      </w:r>
      <w:r w:rsidRPr="5ED867A2" w:rsidR="002441B9">
        <w:rPr>
          <w:rFonts w:ascii="Times New Roman" w:hAnsi="Times New Roman" w:eastAsia="Arial Unicode MS" w:cs="Times New Roman"/>
          <w:sz w:val="24"/>
          <w:szCs w:val="24"/>
          <w:lang w:val="es-PE"/>
        </w:rPr>
        <w:t xml:space="preserve"> respecto del Seguro de Responsabilidad Civil (RC) Póliza </w:t>
      </w:r>
      <w:r w:rsidRPr="5ED867A2" w:rsidR="002441B9">
        <w:rPr>
          <w:rFonts w:ascii="Times New Roman" w:hAnsi="Times New Roman" w:eastAsia="Arial Unicode MS" w:cs="Times New Roman"/>
          <w:sz w:val="24"/>
          <w:szCs w:val="24"/>
          <w:lang w:val="es-PE"/>
        </w:rPr>
        <w:t>N°</w:t>
      </w:r>
      <w:r w:rsidRPr="5ED867A2" w:rsidR="002441B9">
        <w:rPr>
          <w:rFonts w:ascii="Times New Roman" w:hAnsi="Times New Roman" w:eastAsia="Arial Unicode MS" w:cs="Times New Roman"/>
          <w:sz w:val="24"/>
          <w:szCs w:val="24"/>
          <w:lang w:val="es-PE"/>
        </w:rPr>
        <w:t xml:space="preserve"> </w:t>
      </w:r>
      <w:r w:rsidRPr="5ED867A2" w:rsidR="69E0C5F8">
        <w:rPr>
          <w:rFonts w:ascii="Times New Roman" w:hAnsi="Times New Roman" w:eastAsia="Arial Unicode MS" w:cs="Times New Roman"/>
          <w:sz w:val="24"/>
          <w:szCs w:val="24"/>
          <w:lang w:val="es-PE"/>
        </w:rPr>
        <w:t>...................</w:t>
      </w:r>
      <w:r w:rsidRPr="5ED867A2" w:rsidR="002441B9">
        <w:rPr>
          <w:rFonts w:ascii="Times New Roman" w:hAnsi="Times New Roman" w:eastAsia="Arial Unicode MS" w:cs="Times New Roman"/>
          <w:sz w:val="24"/>
          <w:szCs w:val="24"/>
          <w:lang w:val="es-PE"/>
        </w:rPr>
        <w:t xml:space="preserve">. </w:t>
      </w:r>
    </w:p>
    <w:bookmarkEnd w:id="0"/>
    <w:p w:rsidRPr="002441B9" w:rsidR="002441B9" w:rsidP="002441B9" w:rsidRDefault="002441B9" w14:paraId="366D8EA0" w14:textId="77777777">
      <w:pPr>
        <w:pStyle w:val="Default"/>
        <w:jc w:val="both"/>
        <w:rPr>
          <w:rFonts w:ascii="Times New Roman" w:hAnsi="Times New Roman" w:cs="Times New Roman"/>
          <w:bCs/>
          <w:lang w:val="es-MX" w:eastAsia="ar-SA"/>
        </w:rPr>
      </w:pPr>
      <w:r w:rsidRPr="002441B9">
        <w:rPr>
          <w:rFonts w:ascii="Times New Roman" w:hAnsi="Times New Roman" w:cs="Times New Roman"/>
          <w:bCs/>
          <w:lang w:val="es-MX" w:eastAsia="ar-SA"/>
        </w:rPr>
        <w:t>Que, a través del señalado recurso el reclamante manifiesta su disconformidad con lo resuelto señalando resumidamente lo siguiente: a) la decisión no contribuye a la implementación de una cultura de prevención y uso del seguro pues genera inseguridad e incertidumbre; b) se está haciendo caso omiso a las normas de la ley del contrato de seguro, pues las restricciones a la libre actividad del asegurado deben formularse expresamente e interpretarse literalmente, siendo que las estipulaciones insertas deben interpretarse a favor del asegurado; lo cual distorsiona el objetivo del contrato; c) citan la póliza multirriesgo para diferenciarla de la póliza de responsabilidad civil; d) señalan que poseer un bien implica de acuerdo al código civil poderes inherentes sobre un bien, que en este caso no se tiene y por ello, el bien no estaba bajo su control; e) contrataron la póliza para que su cubran los daños a terceros como resultado directo de sus operaciones normales, por lo que el rechazo resulta temerario; de lo contrario debería indicarse en qué caso esta póliza cubrirá al asegurado; f) añaden que las cláusulas y practicas abusivas no deben ser consideradas y menos interpretadas a favor del asegurado.</w:t>
      </w:r>
    </w:p>
    <w:p w:rsidRPr="002441B9" w:rsidR="002441B9" w:rsidP="002441B9" w:rsidRDefault="002441B9" w14:paraId="24056AB7" w14:textId="77777777">
      <w:pPr>
        <w:pStyle w:val="Default"/>
        <w:jc w:val="both"/>
        <w:rPr>
          <w:rFonts w:ascii="Times New Roman" w:hAnsi="Times New Roman" w:cs="Times New Roman"/>
          <w:bCs/>
          <w:lang w:val="es-MX" w:eastAsia="ar-SA"/>
        </w:rPr>
      </w:pPr>
    </w:p>
    <w:p w:rsidRPr="002441B9" w:rsidR="002441B9" w:rsidP="5ED867A2" w:rsidRDefault="002441B9" w14:paraId="7EDBB91B" w14:textId="01F0E3F1">
      <w:pPr>
        <w:pStyle w:val="Default"/>
        <w:jc w:val="both"/>
        <w:rPr>
          <w:rFonts w:ascii="Times New Roman" w:hAnsi="Times New Roman" w:cs="Times New Roman"/>
          <w:lang w:val="es-MX" w:eastAsia="ar-SA"/>
        </w:rPr>
      </w:pPr>
      <w:r w:rsidRPr="5ED867A2" w:rsidR="002441B9">
        <w:rPr>
          <w:rFonts w:ascii="Times New Roman" w:hAnsi="Times New Roman" w:cs="Times New Roman"/>
          <w:lang w:val="es-MX" w:eastAsia="ar-SA"/>
        </w:rPr>
        <w:t xml:space="preserve">Que, habiéndose corrido traslado de la impugnación a la aseguradora, esta absolvió el recurso con fecha 09 de julio de 2024, señalando resumidamente lo siguiente: a) la impugnación no adjunta medio de prueba idóneo y fehaciente que acredite lo alegado por la parte reclamante y que permita cambiar el sentido de lo resuelto; b) en la impugnación se adjunta una póliza </w:t>
      </w:r>
      <w:r w:rsidRPr="5ED867A2" w:rsidR="002441B9">
        <w:rPr>
          <w:rFonts w:ascii="Times New Roman" w:hAnsi="Times New Roman" w:cs="Times New Roman"/>
          <w:lang w:val="es-MX" w:eastAsia="ar-SA"/>
        </w:rPr>
        <w:t>multiriesgos</w:t>
      </w:r>
      <w:r w:rsidRPr="5ED867A2" w:rsidR="002441B9">
        <w:rPr>
          <w:rFonts w:ascii="Times New Roman" w:hAnsi="Times New Roman" w:cs="Times New Roman"/>
          <w:lang w:val="es-MX" w:eastAsia="ar-SA"/>
        </w:rPr>
        <w:t xml:space="preserve"> que no se relaciona con la presente reclamación; c) añade que la reclamante realizó una consulta a </w:t>
      </w:r>
      <w:r w:rsidRPr="5ED867A2" w:rsidR="3B2F322F">
        <w:rPr>
          <w:rFonts w:ascii="Times New Roman" w:hAnsi="Times New Roman" w:cs="Times New Roman"/>
          <w:lang w:val="es-MX" w:eastAsia="ar-SA"/>
        </w:rPr>
        <w:t>...................</w:t>
      </w:r>
      <w:r w:rsidRPr="5ED867A2" w:rsidR="002441B9">
        <w:rPr>
          <w:rFonts w:ascii="Times New Roman" w:hAnsi="Times New Roman" w:cs="Times New Roman"/>
          <w:lang w:val="es-MX" w:eastAsia="ar-SA"/>
        </w:rPr>
        <w:t xml:space="preserve"> sobre si su producto tiene cobertura de responsabilidad civil contractual, no obstante considera que ello no es materia controvertida; d) añaden que la parte reclamante considera que existe una mala interpretación de las cláusulas pues deben interpretarse a favor del asegurado; sin embargo ello no es correcto, pues no hay una cláusula errónea o confusa; e) el motivo del rechazo fue que el personal asegurado ha realizado los trabajos debido a que el bien se encontraba bajo control y custodia del asegurado al momento de causar los daños; y al tener la posesión del bien se excluye que dicho bien sea considerado como de un tercero, careciendo de cobertura; f)  vuelve a hacer un resumen de su posición ya expresada en sus descargos; y, a partir del numeral 25 hasta el 37, recoge los argumentos y textos de la resolución impugnada (cambiando eventualmente algunas palabras y sin hacer la cita correspondiente), solicitando que el reclamo sea declarado infundado y se confirme la decisión de primera instancia.</w:t>
      </w:r>
    </w:p>
    <w:p w:rsidRPr="002441B9" w:rsidR="002441B9" w:rsidP="002441B9" w:rsidRDefault="002441B9" w14:paraId="4E593DB7" w14:textId="77777777">
      <w:pPr>
        <w:pStyle w:val="Default"/>
        <w:jc w:val="both"/>
        <w:rPr>
          <w:rFonts w:ascii="Times New Roman" w:hAnsi="Times New Roman" w:cs="Times New Roman"/>
          <w:bCs/>
          <w:lang w:val="es-MX" w:eastAsia="ar-SA"/>
        </w:rPr>
      </w:pPr>
    </w:p>
    <w:p w:rsidRPr="002441B9" w:rsidR="002441B9" w:rsidP="002441B9" w:rsidRDefault="002441B9" w14:paraId="50A16787" w14:textId="77777777">
      <w:pPr>
        <w:pStyle w:val="Default"/>
        <w:jc w:val="both"/>
        <w:rPr>
          <w:rFonts w:ascii="Times New Roman" w:hAnsi="Times New Roman" w:cs="Times New Roman"/>
          <w:bCs/>
          <w:lang w:val="es-MX" w:eastAsia="ar-SA"/>
        </w:rPr>
      </w:pPr>
      <w:r w:rsidRPr="002441B9">
        <w:rPr>
          <w:rFonts w:ascii="Times New Roman" w:hAnsi="Times New Roman" w:cs="Times New Roman"/>
          <w:bCs/>
          <w:lang w:val="es-MX" w:eastAsia="ar-SA"/>
        </w:rPr>
        <w:t>Que, el expediente se encuentra en condiciones para que este colegiado expida su pronunciamiento.</w:t>
      </w:r>
    </w:p>
    <w:p w:rsidRPr="002441B9" w:rsidR="002441B9" w:rsidP="002441B9" w:rsidRDefault="002441B9" w14:paraId="5B0D7BE9" w14:textId="77777777">
      <w:pPr>
        <w:suppressAutoHyphens/>
        <w:jc w:val="both"/>
        <w:rPr>
          <w:rFonts w:ascii="Times New Roman" w:hAnsi="Times New Roman" w:eastAsia="Times New Roman" w:cs="Times New Roman"/>
          <w:bCs/>
          <w:sz w:val="24"/>
          <w:szCs w:val="24"/>
          <w:lang w:val="es-MX" w:eastAsia="ar-SA"/>
        </w:rPr>
      </w:pPr>
    </w:p>
    <w:p w:rsidRPr="002441B9" w:rsidR="002441B9" w:rsidP="002441B9" w:rsidRDefault="002441B9" w14:paraId="2F5779A1" w14:textId="77777777">
      <w:pPr>
        <w:suppressAutoHyphens/>
        <w:jc w:val="both"/>
        <w:rPr>
          <w:rFonts w:ascii="Times New Roman" w:hAnsi="Times New Roman" w:eastAsia="Times New Roman" w:cs="Times New Roman"/>
          <w:bCs/>
          <w:sz w:val="24"/>
          <w:szCs w:val="24"/>
          <w:lang w:val="es-MX" w:eastAsia="ar-SA"/>
        </w:rPr>
      </w:pPr>
      <w:r w:rsidRPr="002441B9">
        <w:rPr>
          <w:rFonts w:ascii="Times New Roman" w:hAnsi="Times New Roman" w:eastAsia="Times New Roman" w:cs="Times New Roman"/>
          <w:b/>
          <w:bCs/>
          <w:sz w:val="24"/>
          <w:szCs w:val="24"/>
          <w:lang w:val="es-MX" w:eastAsia="ar-SA"/>
        </w:rPr>
        <w:t>Considerando:</w:t>
      </w:r>
    </w:p>
    <w:p w:rsidRPr="002441B9" w:rsidR="002441B9" w:rsidP="002441B9" w:rsidRDefault="002441B9" w14:paraId="49E1E31D" w14:textId="77777777">
      <w:pPr>
        <w:suppressAutoHyphens/>
        <w:jc w:val="both"/>
        <w:rPr>
          <w:rFonts w:ascii="Times New Roman" w:hAnsi="Times New Roman" w:eastAsia="Times New Roman" w:cs="Times New Roman"/>
          <w:sz w:val="24"/>
          <w:szCs w:val="24"/>
          <w:lang w:val="es-ES" w:eastAsia="ar-SA"/>
        </w:rPr>
      </w:pPr>
    </w:p>
    <w:p w:rsidRPr="002441B9" w:rsidR="002441B9" w:rsidP="002441B9" w:rsidRDefault="002441B9" w14:paraId="79D2B044" w14:textId="77777777">
      <w:pPr>
        <w:jc w:val="both"/>
        <w:rPr>
          <w:rFonts w:ascii="Times New Roman" w:hAnsi="Times New Roman" w:cs="Times New Roman"/>
          <w:bCs/>
          <w:sz w:val="24"/>
          <w:szCs w:val="24"/>
          <w:lang w:val="es-PE"/>
        </w:rPr>
      </w:pPr>
      <w:r w:rsidRPr="002441B9">
        <w:rPr>
          <w:rFonts w:ascii="Times New Roman" w:hAnsi="Times New Roman" w:cs="Times New Roman"/>
          <w:b/>
          <w:sz w:val="24"/>
          <w:szCs w:val="24"/>
          <w:u w:val="single"/>
          <w:lang w:val="es-PE"/>
        </w:rPr>
        <w:lastRenderedPageBreak/>
        <w:t>Primero</w:t>
      </w:r>
      <w:r w:rsidRPr="002441B9">
        <w:rPr>
          <w:rFonts w:ascii="Times New Roman" w:hAnsi="Times New Roman" w:cs="Times New Roman"/>
          <w:b/>
          <w:sz w:val="24"/>
          <w:szCs w:val="24"/>
          <w:lang w:val="es-PE"/>
        </w:rPr>
        <w:t>:</w:t>
      </w:r>
      <w:r w:rsidRPr="002441B9">
        <w:rPr>
          <w:rFonts w:ascii="Times New Roman" w:hAnsi="Times New Roman" w:cs="Times New Roman"/>
          <w:sz w:val="24"/>
          <w:szCs w:val="24"/>
          <w:lang w:val="es-PE"/>
        </w:rPr>
        <w:t xml:space="preserve"> El Reglamento de la DEFASEG </w:t>
      </w:r>
      <w:r w:rsidRPr="002441B9">
        <w:rPr>
          <w:rFonts w:ascii="Times New Roman" w:hAnsi="Times New Roman" w:eastAsia="Arial Unicode MS" w:cs="Times New Roman"/>
          <w:sz w:val="24"/>
          <w:szCs w:val="24"/>
          <w:lang w:val="es-PE"/>
        </w:rPr>
        <w:t>(</w:t>
      </w:r>
      <w:hyperlink w:history="1" r:id="rId8">
        <w:r w:rsidRPr="002441B9">
          <w:rPr>
            <w:rStyle w:val="Hipervnculo"/>
            <w:rFonts w:ascii="Times New Roman" w:hAnsi="Times New Roman" w:eastAsia="Arial Unicode MS" w:cs="Times New Roman"/>
            <w:sz w:val="24"/>
            <w:szCs w:val="24"/>
            <w:lang w:val="es-PE"/>
          </w:rPr>
          <w:t>http://www.defaseg.com.pe/reglamento</w:t>
        </w:r>
      </w:hyperlink>
      <w:r w:rsidRPr="002441B9">
        <w:rPr>
          <w:rFonts w:ascii="Times New Roman" w:hAnsi="Times New Roman" w:eastAsia="Arial Unicode MS" w:cs="Times New Roman"/>
          <w:sz w:val="24"/>
          <w:szCs w:val="24"/>
          <w:lang w:val="es-PE"/>
        </w:rPr>
        <w:t xml:space="preserve">) </w:t>
      </w:r>
      <w:r w:rsidRPr="002441B9">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w:t>
      </w:r>
      <w:r w:rsidRPr="002441B9">
        <w:rPr>
          <w:rFonts w:ascii="Times New Roman" w:hAnsi="Times New Roman" w:cs="Times New Roman"/>
          <w:bCs/>
          <w:sz w:val="24"/>
          <w:szCs w:val="24"/>
          <w:lang w:val="es-PE"/>
        </w:rPr>
        <w:t>Conforme a ello, en el caso concreto, al interponer el recurso de impugnación el reclamante ha ejercido formalmente su derecho a contradecir lo resuelto por la Defensoría.</w:t>
      </w:r>
    </w:p>
    <w:p w:rsidRPr="002441B9" w:rsidR="002441B9" w:rsidP="002441B9" w:rsidRDefault="002441B9" w14:paraId="63357756" w14:textId="77777777">
      <w:pPr>
        <w:tabs>
          <w:tab w:val="left" w:pos="0"/>
          <w:tab w:val="left" w:pos="2160"/>
        </w:tabs>
        <w:jc w:val="both"/>
        <w:rPr>
          <w:rFonts w:ascii="Times New Roman" w:hAnsi="Times New Roman" w:cs="Times New Roman"/>
          <w:sz w:val="24"/>
          <w:szCs w:val="24"/>
          <w:lang w:val="es-PE"/>
        </w:rPr>
      </w:pPr>
      <w:r w:rsidRPr="002441B9">
        <w:rPr>
          <w:rFonts w:ascii="Times New Roman" w:hAnsi="Times New Roman" w:cs="Times New Roman"/>
          <w:b/>
          <w:sz w:val="24"/>
          <w:szCs w:val="24"/>
          <w:u w:val="single"/>
          <w:lang w:val="es-PE"/>
        </w:rPr>
        <w:t>Segundo</w:t>
      </w:r>
      <w:r w:rsidRPr="002441B9">
        <w:rPr>
          <w:rFonts w:ascii="Times New Roman" w:hAnsi="Times New Roman" w:cs="Times New Roman"/>
          <w:b/>
          <w:sz w:val="24"/>
          <w:szCs w:val="24"/>
          <w:lang w:val="es-PE"/>
        </w:rPr>
        <w:t>:</w:t>
      </w:r>
      <w:r w:rsidRPr="002441B9">
        <w:rPr>
          <w:rFonts w:ascii="Times New Roman" w:hAnsi="Times New Roman" w:cs="Times New Roman"/>
          <w:sz w:val="24"/>
          <w:szCs w:val="24"/>
          <w:lang w:val="es-PE"/>
        </w:rPr>
        <w:t xml:space="preserve"> Atendiendo a los fundamentos de la impugnación interpuesta, se advierte que el reclamante insiste en sus argumentos ya analizados expresando su posición sobre lo que debe entenderse por estar en posesión de un bien; y, señalando que no se ha interpretado a favor del asegurado, y que la decisión afecta la confianza en las entidades aseguradoras y en las entidades que promueven la resolución de conflictos y protección de los derechos del asegurado. </w:t>
      </w:r>
    </w:p>
    <w:p w:rsidRPr="002441B9" w:rsidR="002441B9" w:rsidP="002441B9" w:rsidRDefault="002441B9" w14:paraId="71D06FCD" w14:textId="77777777">
      <w:pPr>
        <w:tabs>
          <w:tab w:val="left" w:pos="0"/>
          <w:tab w:val="left" w:pos="2160"/>
        </w:tabs>
        <w:jc w:val="both"/>
        <w:rPr>
          <w:rFonts w:ascii="Times New Roman" w:hAnsi="Times New Roman" w:cs="Times New Roman"/>
          <w:sz w:val="24"/>
          <w:szCs w:val="24"/>
          <w:lang w:val="es-ES"/>
        </w:rPr>
      </w:pPr>
      <w:r w:rsidRPr="002441B9">
        <w:rPr>
          <w:rFonts w:ascii="Times New Roman" w:hAnsi="Times New Roman" w:cs="Times New Roman"/>
          <w:sz w:val="24"/>
          <w:szCs w:val="24"/>
          <w:lang w:val="es-ES"/>
        </w:rPr>
        <w:t>Sobre el particular, debe tenerse presente que las resoluciones de la Defensoría son adoptadas conforme a derecho. En lo que respecta a las reglas de interpretación mencionadas por la parte reclamante, entre ellas aquella que señala que “</w:t>
      </w:r>
      <w:r w:rsidRPr="002441B9">
        <w:rPr>
          <w:rFonts w:ascii="Times New Roman" w:hAnsi="Times New Roman" w:cs="Times New Roman"/>
          <w:i/>
          <w:iCs/>
          <w:sz w:val="24"/>
          <w:szCs w:val="24"/>
          <w:lang w:val="es-ES"/>
        </w:rPr>
        <w:t>Los términos del contrato que generen ambigüedad o dudas son interpretados en el sentido y con el alcance más favorable al asegurado”</w:t>
      </w:r>
      <w:r w:rsidRPr="002441B9">
        <w:rPr>
          <w:rFonts w:ascii="Times New Roman" w:hAnsi="Times New Roman" w:cs="Times New Roman"/>
          <w:sz w:val="24"/>
          <w:szCs w:val="24"/>
          <w:lang w:val="es-ES"/>
        </w:rPr>
        <w:t xml:space="preserve">; es preciso señalar que la interpretación a favor del asegurado es solo cuando hay duda o ambigüedad; lo que en este caso, a juicio del colegiado no ocurre. Las reglas de interpretación establecen, asimismo, que la cobertura, exclusiones y en general la extensión del riesgo se interpretan literalmente, y es por ello por lo que no se puede extender la cobertura a situaciones fuera del ámbito de la cobertura contratado y/o excluidas en la póliza de seguro. </w:t>
      </w:r>
    </w:p>
    <w:p w:rsidRPr="002441B9" w:rsidR="002441B9" w:rsidP="002441B9" w:rsidRDefault="002441B9" w14:paraId="029A4F93" w14:textId="77777777">
      <w:pPr>
        <w:tabs>
          <w:tab w:val="left" w:pos="0"/>
          <w:tab w:val="left" w:pos="2160"/>
        </w:tabs>
        <w:jc w:val="both"/>
        <w:rPr>
          <w:rFonts w:ascii="Times New Roman" w:hAnsi="Times New Roman" w:cs="Times New Roman"/>
          <w:sz w:val="24"/>
          <w:szCs w:val="24"/>
          <w:lang w:val="es-ES"/>
        </w:rPr>
      </w:pPr>
      <w:r w:rsidRPr="002441B9">
        <w:rPr>
          <w:rFonts w:ascii="Times New Roman" w:hAnsi="Times New Roman" w:cs="Times New Roman"/>
          <w:sz w:val="24"/>
          <w:szCs w:val="24"/>
          <w:lang w:val="es-ES"/>
        </w:rPr>
        <w:t xml:space="preserve">Ahora bien, el reclamante sostiene que el bien siniestrado no estuvo bajo su custodia, posición que no compartimos, por las razones expuestas en la resolución impugnada, siendo que además no solo se encuentran fuera de cobertura los daños a los bienes de los clientes del asegurado que estén bajo su cargo, custodia y/o control, sino también aquellos daños causados sobre los bienes de sus clientes en los que el asegurado hubiera estado trabajando, como fue el caso. </w:t>
      </w:r>
      <w:r w:rsidRPr="002441B9">
        <w:rPr>
          <w:rFonts w:ascii="Times New Roman" w:hAnsi="Times New Roman" w:cs="Times New Roman"/>
          <w:sz w:val="24"/>
          <w:szCs w:val="24"/>
          <w:lang w:val="es-PE"/>
        </w:rPr>
        <w:t xml:space="preserve">En consecuencia, </w:t>
      </w:r>
      <w:r w:rsidRPr="002441B9">
        <w:rPr>
          <w:rFonts w:ascii="Times New Roman" w:hAnsi="Times New Roman" w:cs="Times New Roman"/>
          <w:bCs/>
          <w:sz w:val="24"/>
          <w:szCs w:val="24"/>
          <w:lang w:val="es-PE"/>
        </w:rPr>
        <w:t xml:space="preserve">el </w:t>
      </w:r>
      <w:r w:rsidRPr="002441B9">
        <w:rPr>
          <w:rFonts w:ascii="Times New Roman" w:hAnsi="Times New Roman" w:cs="Times New Roman"/>
          <w:sz w:val="24"/>
          <w:szCs w:val="24"/>
          <w:lang w:val="es-ES"/>
        </w:rPr>
        <w:t>recurso impugnativo interpuesto por el reclamante puede ser categorizado, por su contenido mismo, como una solicitud de revisión general, sustentada en el criterio del reclamante, que esta Defensoría respeta, pero no comparte</w:t>
      </w:r>
    </w:p>
    <w:p w:rsidRPr="002441B9" w:rsidR="002441B9" w:rsidP="5ED867A2" w:rsidRDefault="002441B9" w14:paraId="467123AB" w14:textId="5C3DFEF8">
      <w:pPr>
        <w:tabs>
          <w:tab w:val="left" w:pos="0"/>
          <w:tab w:val="left" w:pos="2160"/>
        </w:tabs>
        <w:ind/>
        <w:jc w:val="both"/>
        <w:rPr>
          <w:rFonts w:ascii="Times New Roman" w:hAnsi="Times New Roman" w:cs="Times New Roman"/>
          <w:sz w:val="24"/>
          <w:szCs w:val="24"/>
          <w:lang w:val="es-ES"/>
        </w:rPr>
      </w:pPr>
      <w:r w:rsidRPr="5ED867A2" w:rsidR="002441B9">
        <w:rPr>
          <w:rFonts w:ascii="Times New Roman" w:hAnsi="Times New Roman" w:cs="Times New Roman"/>
          <w:sz w:val="24"/>
          <w:szCs w:val="24"/>
          <w:lang w:val="es-ES"/>
        </w:rPr>
        <w:t>A continuación, reiteramos lo expuesto en la resolución impugnada:</w:t>
      </w:r>
    </w:p>
    <w:p w:rsidR="412F928E" w:rsidP="5ED867A2" w:rsidRDefault="412F928E" w14:paraId="5EE77776" w14:textId="47AEA335">
      <w:pPr>
        <w:tabs>
          <w:tab w:val="left" w:leader="none" w:pos="0"/>
          <w:tab w:val="left" w:leader="none" w:pos="2160"/>
        </w:tabs>
        <w:jc w:val="both"/>
        <w:rPr>
          <w:rFonts w:ascii="Times New Roman" w:hAnsi="Times New Roman" w:cs="Times New Roman"/>
          <w:sz w:val="24"/>
          <w:szCs w:val="24"/>
          <w:lang w:val="es-ES"/>
        </w:rPr>
      </w:pPr>
      <w:r w:rsidRPr="5ED867A2" w:rsidR="412F928E">
        <w:rPr>
          <w:rFonts w:ascii="Times New Roman" w:hAnsi="Times New Roman" w:cs="Times New Roman"/>
          <w:sz w:val="24"/>
          <w:szCs w:val="24"/>
          <w:lang w:val="es-ES"/>
        </w:rPr>
        <w:t>.....................................................................................................................................................</w:t>
      </w:r>
    </w:p>
    <w:p w:rsidRPr="002441B9" w:rsidR="002441B9" w:rsidP="5ED867A2" w:rsidRDefault="002441B9" w14:paraId="07A1F6C0" w14:textId="431F7252">
      <w:pPr>
        <w:pStyle w:val="Normal"/>
        <w:tabs>
          <w:tab w:val="left" w:pos="2160"/>
        </w:tabs>
        <w:ind/>
        <w:jc w:val="both"/>
        <w:rPr>
          <w:rFonts w:ascii="Times New Roman" w:hAnsi="Times New Roman" w:cs="Times New Roman"/>
          <w:sz w:val="24"/>
          <w:szCs w:val="24"/>
          <w:lang w:val="es-ES"/>
        </w:rPr>
      </w:pPr>
    </w:p>
    <w:p w:rsidRPr="002441B9" w:rsidR="002441B9" w:rsidP="002441B9" w:rsidRDefault="002441B9" w14:paraId="045D3F55" w14:textId="20693BEE">
      <w:pPr>
        <w:tabs>
          <w:tab w:val="left" w:pos="2160"/>
        </w:tabs>
        <w:jc w:val="both"/>
        <w:rPr>
          <w:rFonts w:ascii="Times New Roman" w:hAnsi="Times New Roman" w:cs="Times New Roman"/>
          <w:sz w:val="24"/>
          <w:szCs w:val="24"/>
          <w:lang w:val="es-ES"/>
        </w:rPr>
      </w:pPr>
      <w:r w:rsidRPr="002441B9">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2441B9" w:rsidR="002441B9" w:rsidP="002441B9" w:rsidRDefault="002441B9" w14:paraId="7D4D5746" w14:textId="408193CE">
      <w:pPr>
        <w:jc w:val="both"/>
        <w:rPr>
          <w:rFonts w:ascii="Times New Roman" w:hAnsi="Times New Roman" w:eastAsia="Arial Unicode MS" w:cs="Times New Roman"/>
          <w:b/>
          <w:bCs/>
          <w:sz w:val="24"/>
          <w:szCs w:val="24"/>
          <w:lang w:val="es-PE"/>
        </w:rPr>
      </w:pPr>
      <w:r w:rsidRPr="002441B9">
        <w:rPr>
          <w:rFonts w:ascii="Times New Roman" w:hAnsi="Times New Roman" w:eastAsia="Arial Unicode MS" w:cs="Times New Roman"/>
          <w:b/>
          <w:bCs/>
          <w:sz w:val="24"/>
          <w:szCs w:val="24"/>
          <w:lang w:val="es-ES"/>
        </w:rPr>
        <w:t xml:space="preserve">RESUELVE: </w:t>
      </w:r>
    </w:p>
    <w:p w:rsidRPr="002441B9" w:rsidR="002441B9" w:rsidP="002441B9" w:rsidRDefault="002441B9" w14:paraId="1B1A139D" w14:textId="45AF29A4">
      <w:pPr>
        <w:jc w:val="both"/>
        <w:rPr>
          <w:rFonts w:ascii="Times New Roman" w:hAnsi="Times New Roman" w:eastAsia="Times New Roman" w:cs="Times New Roman"/>
          <w:sz w:val="24"/>
          <w:szCs w:val="24"/>
          <w:lang w:val="es-ES" w:eastAsia="ar-SA"/>
        </w:rPr>
      </w:pPr>
      <w:r w:rsidRPr="5ED867A2" w:rsidR="002441B9">
        <w:rPr>
          <w:rFonts w:ascii="Times New Roman" w:hAnsi="Times New Roman" w:eastAsia="Arial Unicode MS" w:cs="Times New Roman"/>
          <w:sz w:val="24"/>
          <w:szCs w:val="24"/>
          <w:lang w:val="es-PE"/>
        </w:rPr>
        <w:t xml:space="preserve">Declarar </w:t>
      </w:r>
      <w:r w:rsidRPr="5ED867A2" w:rsidR="002441B9">
        <w:rPr>
          <w:rFonts w:ascii="Times New Roman" w:hAnsi="Times New Roman" w:eastAsia="Arial Unicode MS" w:cs="Times New Roman"/>
          <w:b w:val="1"/>
          <w:bCs w:val="1"/>
          <w:sz w:val="24"/>
          <w:szCs w:val="24"/>
          <w:lang w:val="es-PE"/>
        </w:rPr>
        <w:t xml:space="preserve">INFUNDADO </w:t>
      </w:r>
      <w:r w:rsidRPr="5ED867A2" w:rsidR="002441B9">
        <w:rPr>
          <w:rFonts w:ascii="Times New Roman" w:hAnsi="Times New Roman" w:eastAsia="Arial Unicode MS" w:cs="Times New Roman"/>
          <w:sz w:val="24"/>
          <w:szCs w:val="24"/>
          <w:lang w:val="es-PE"/>
        </w:rPr>
        <w:t>el recurso impugnativo</w:t>
      </w:r>
      <w:r w:rsidRPr="5ED867A2" w:rsidR="002441B9">
        <w:rPr>
          <w:rFonts w:ascii="Times New Roman" w:hAnsi="Times New Roman" w:eastAsia="Arial Unicode MS" w:cs="Times New Roman"/>
          <w:b w:val="1"/>
          <w:bCs w:val="1"/>
          <w:sz w:val="24"/>
          <w:szCs w:val="24"/>
          <w:lang w:val="es-PE"/>
        </w:rPr>
        <w:t xml:space="preserve"> </w:t>
      </w:r>
      <w:r w:rsidRPr="5ED867A2" w:rsidR="002441B9">
        <w:rPr>
          <w:rFonts w:ascii="Times New Roman" w:hAnsi="Times New Roman" w:eastAsia="Arial Unicode MS" w:cs="Times New Roman"/>
          <w:sz w:val="24"/>
          <w:szCs w:val="24"/>
          <w:lang w:val="es-PE"/>
        </w:rPr>
        <w:t>interpuesto y,</w:t>
      </w:r>
      <w:r w:rsidRPr="5ED867A2" w:rsidR="002441B9">
        <w:rPr>
          <w:rFonts w:ascii="Times New Roman" w:hAnsi="Times New Roman" w:cs="Times New Roman"/>
          <w:sz w:val="24"/>
          <w:szCs w:val="24"/>
          <w:lang w:val="es-ES"/>
        </w:rPr>
        <w:t xml:space="preserve"> por consiguiente, ratificar</w:t>
      </w:r>
      <w:r w:rsidRPr="5ED867A2" w:rsidR="002441B9">
        <w:rPr>
          <w:rFonts w:ascii="Times New Roman" w:hAnsi="Times New Roman" w:eastAsia="Times New Roman" w:cs="Times New Roman"/>
          <w:sz w:val="24"/>
          <w:szCs w:val="24"/>
          <w:lang w:val="es-ES" w:eastAsia="ar-SA"/>
        </w:rPr>
        <w:t xml:space="preserve"> la Resolución </w:t>
      </w:r>
      <w:r w:rsidRPr="5ED867A2" w:rsidR="002441B9">
        <w:rPr>
          <w:rFonts w:ascii="Times New Roman" w:hAnsi="Times New Roman" w:eastAsia="Times New Roman" w:cs="Times New Roman"/>
          <w:sz w:val="24"/>
          <w:szCs w:val="24"/>
          <w:lang w:val="es-ES" w:eastAsia="ar-SA"/>
        </w:rPr>
        <w:t>Nº</w:t>
      </w:r>
      <w:r w:rsidRPr="5ED867A2" w:rsidR="002441B9">
        <w:rPr>
          <w:rFonts w:ascii="Times New Roman" w:hAnsi="Times New Roman" w:eastAsia="Times New Roman" w:cs="Times New Roman"/>
          <w:sz w:val="24"/>
          <w:szCs w:val="24"/>
          <w:lang w:val="es-ES" w:eastAsia="ar-SA"/>
        </w:rPr>
        <w:t xml:space="preserve"> 113/24 de fecha 24 de junio de 2024 que declaró INFUNDADA la reclamación interpuesta por </w:t>
      </w:r>
      <w:r w:rsidRPr="5ED867A2" w:rsidR="2A6E7F0F">
        <w:rPr>
          <w:rFonts w:ascii="Times New Roman" w:hAnsi="Times New Roman" w:eastAsia="Times New Roman" w:cs="Times New Roman"/>
          <w:sz w:val="24"/>
          <w:szCs w:val="24"/>
          <w:lang w:val="es-ES" w:eastAsia="ar-SA"/>
        </w:rPr>
        <w:t>....................................</w:t>
      </w:r>
      <w:r w:rsidRPr="5ED867A2" w:rsidR="002441B9">
        <w:rPr>
          <w:rFonts w:ascii="Times New Roman" w:hAnsi="Times New Roman" w:eastAsia="Times New Roman" w:cs="Times New Roman"/>
          <w:sz w:val="24"/>
          <w:szCs w:val="24"/>
          <w:lang w:val="es-ES" w:eastAsia="ar-SA"/>
        </w:rPr>
        <w:t xml:space="preserve">contra </w:t>
      </w:r>
      <w:r w:rsidRPr="5ED867A2" w:rsidR="3B2F322F">
        <w:rPr>
          <w:rFonts w:ascii="Times New Roman" w:hAnsi="Times New Roman" w:eastAsia="Times New Roman" w:cs="Times New Roman"/>
          <w:sz w:val="24"/>
          <w:szCs w:val="24"/>
          <w:lang w:val="es-ES" w:eastAsia="ar-SA"/>
        </w:rPr>
        <w:t>...................</w:t>
      </w:r>
      <w:r w:rsidRPr="5ED867A2" w:rsidR="002441B9">
        <w:rPr>
          <w:rFonts w:ascii="Times New Roman" w:hAnsi="Times New Roman" w:eastAsia="Times New Roman" w:cs="Times New Roman"/>
          <w:sz w:val="24"/>
          <w:szCs w:val="24"/>
          <w:lang w:val="es-ES" w:eastAsia="ar-SA"/>
        </w:rPr>
        <w:t>, dejando a salvo el derecho del reclamante de acudir ante las instancias que estime pertinente.</w:t>
      </w:r>
    </w:p>
    <w:p w:rsidRPr="002441B9" w:rsidR="008B6A09" w:rsidP="008B6A09" w:rsidRDefault="0091528B" w14:paraId="000A434B" w14:textId="2CEEF6DE">
      <w:pPr>
        <w:jc w:val="right"/>
        <w:rPr>
          <w:rFonts w:ascii="Times New Roman" w:hAnsi="Times New Roman" w:cs="Times New Roman"/>
          <w:sz w:val="24"/>
          <w:szCs w:val="24"/>
          <w:lang w:val="es-PE"/>
        </w:rPr>
      </w:pPr>
      <w:r w:rsidRPr="002441B9">
        <w:rPr>
          <w:rFonts w:ascii="Times New Roman" w:hAnsi="Times New Roman" w:eastAsia="Arial Unicode MS" w:cs="Times New Roman"/>
          <w:sz w:val="24"/>
          <w:szCs w:val="24"/>
          <w:lang w:val="es-PE" w:eastAsia="ar-SA"/>
        </w:rPr>
        <w:t xml:space="preserve">Lima, </w:t>
      </w:r>
      <w:r w:rsidRPr="002441B9" w:rsidR="00303FA8">
        <w:rPr>
          <w:rFonts w:ascii="Times New Roman" w:hAnsi="Times New Roman" w:eastAsia="Arial Unicode MS" w:cs="Times New Roman"/>
          <w:sz w:val="24"/>
          <w:szCs w:val="24"/>
          <w:lang w:val="es-PE" w:eastAsia="ar-SA"/>
        </w:rPr>
        <w:t>1</w:t>
      </w:r>
      <w:r w:rsidR="00993409">
        <w:rPr>
          <w:rFonts w:ascii="Times New Roman" w:hAnsi="Times New Roman" w:eastAsia="Arial Unicode MS" w:cs="Times New Roman"/>
          <w:sz w:val="24"/>
          <w:szCs w:val="24"/>
          <w:lang w:val="es-PE" w:eastAsia="ar-SA"/>
        </w:rPr>
        <w:t>2</w:t>
      </w:r>
      <w:r w:rsidRPr="002441B9" w:rsidR="0013444B">
        <w:rPr>
          <w:rFonts w:ascii="Times New Roman" w:hAnsi="Times New Roman" w:eastAsia="Arial Unicode MS" w:cs="Times New Roman"/>
          <w:sz w:val="24"/>
          <w:szCs w:val="24"/>
          <w:lang w:val="es-PE" w:eastAsia="ar-SA"/>
        </w:rPr>
        <w:t xml:space="preserve"> </w:t>
      </w:r>
      <w:r w:rsidRPr="002441B9" w:rsidR="00707C99">
        <w:rPr>
          <w:rFonts w:ascii="Times New Roman" w:hAnsi="Times New Roman" w:eastAsia="Arial Unicode MS" w:cs="Times New Roman"/>
          <w:sz w:val="24"/>
          <w:szCs w:val="24"/>
          <w:lang w:val="es-PE" w:eastAsia="ar-SA"/>
        </w:rPr>
        <w:t>de</w:t>
      </w:r>
      <w:r w:rsidRPr="002441B9" w:rsidR="00A02CF2">
        <w:rPr>
          <w:rFonts w:ascii="Times New Roman" w:hAnsi="Times New Roman" w:eastAsia="Arial Unicode MS" w:cs="Times New Roman"/>
          <w:sz w:val="24"/>
          <w:szCs w:val="24"/>
          <w:lang w:val="es-PE" w:eastAsia="ar-SA"/>
        </w:rPr>
        <w:t xml:space="preserve"> j</w:t>
      </w:r>
      <w:r w:rsidRPr="002441B9" w:rsidR="0013444B">
        <w:rPr>
          <w:rFonts w:ascii="Times New Roman" w:hAnsi="Times New Roman" w:eastAsia="Arial Unicode MS" w:cs="Times New Roman"/>
          <w:sz w:val="24"/>
          <w:szCs w:val="24"/>
          <w:lang w:val="es-PE" w:eastAsia="ar-SA"/>
        </w:rPr>
        <w:t>ul</w:t>
      </w:r>
      <w:r w:rsidRPr="002441B9" w:rsidR="00A02CF2">
        <w:rPr>
          <w:rFonts w:ascii="Times New Roman" w:hAnsi="Times New Roman" w:eastAsia="Arial Unicode MS" w:cs="Times New Roman"/>
          <w:sz w:val="24"/>
          <w:szCs w:val="24"/>
          <w:lang w:val="es-PE" w:eastAsia="ar-SA"/>
        </w:rPr>
        <w:t>io</w:t>
      </w:r>
      <w:r w:rsidRPr="002441B9" w:rsidR="002F478E">
        <w:rPr>
          <w:rFonts w:ascii="Times New Roman" w:hAnsi="Times New Roman" w:eastAsia="Arial Unicode MS" w:cs="Times New Roman"/>
          <w:sz w:val="24"/>
          <w:szCs w:val="24"/>
          <w:lang w:val="es-PE" w:eastAsia="ar-SA"/>
        </w:rPr>
        <w:t xml:space="preserve"> </w:t>
      </w:r>
      <w:r w:rsidRPr="002441B9" w:rsidR="00F06498">
        <w:rPr>
          <w:rFonts w:ascii="Times New Roman" w:hAnsi="Times New Roman" w:eastAsia="Arial Unicode MS" w:cs="Times New Roman"/>
          <w:sz w:val="24"/>
          <w:szCs w:val="24"/>
          <w:lang w:val="es-PE" w:eastAsia="ar-SA"/>
        </w:rPr>
        <w:t>de 202</w:t>
      </w:r>
      <w:r w:rsidRPr="002441B9" w:rsidR="00543015">
        <w:rPr>
          <w:rFonts w:ascii="Times New Roman" w:hAnsi="Times New Roman" w:eastAsia="Arial Unicode MS" w:cs="Times New Roman"/>
          <w:sz w:val="24"/>
          <w:szCs w:val="24"/>
          <w:lang w:val="es-PE" w:eastAsia="ar-SA"/>
        </w:rPr>
        <w:t>4</w:t>
      </w:r>
      <w:r w:rsidRPr="002441B9" w:rsidR="00707C99">
        <w:rPr>
          <w:rFonts w:ascii="Times New Roman" w:hAnsi="Times New Roman" w:eastAsia="Times New Roman" w:cs="Times New Roman"/>
          <w:sz w:val="24"/>
          <w:szCs w:val="24"/>
          <w:lang w:val="es-PE" w:eastAsia="ar-SA"/>
        </w:rPr>
        <w:t xml:space="preserve"> </w:t>
      </w:r>
    </w:p>
    <w:p w:rsidRPr="002441B9"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441B9">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441B9"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441B9"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2441B9">
        <w:rPr>
          <w:rFonts w:ascii="Times New Roman" w:hAnsi="Times New Roman" w:cs="Times New Roman"/>
          <w:b/>
          <w:bCs/>
          <w:sz w:val="24"/>
          <w:szCs w:val="24"/>
          <w:lang w:val="es-PE"/>
        </w:rPr>
        <w:t>Omar Alfaro Villanueva – Presidente</w:t>
      </w:r>
    </w:p>
    <w:p w:rsidRPr="002441B9"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2441B9">
        <w:rPr>
          <w:rFonts w:ascii="Times New Roman" w:hAnsi="Times New Roman" w:cs="Times New Roman"/>
          <w:b/>
          <w:bCs/>
          <w:sz w:val="24"/>
          <w:szCs w:val="24"/>
          <w:lang w:val="es-PE"/>
        </w:rPr>
        <w:t xml:space="preserve">María Eugenia Valdez Fernández Baca </w:t>
      </w:r>
      <w:r w:rsidRPr="002441B9" w:rsidR="007543CD">
        <w:rPr>
          <w:rFonts w:ascii="Times New Roman" w:hAnsi="Times New Roman" w:cs="Times New Roman"/>
          <w:b/>
          <w:bCs/>
          <w:sz w:val="24"/>
          <w:szCs w:val="24"/>
          <w:lang w:val="es-PE"/>
        </w:rPr>
        <w:t xml:space="preserve">– </w:t>
      </w:r>
      <w:r w:rsidRPr="002441B9" w:rsidR="00950F53">
        <w:rPr>
          <w:rFonts w:ascii="Times New Roman" w:hAnsi="Times New Roman" w:cs="Times New Roman"/>
          <w:b/>
          <w:bCs/>
          <w:sz w:val="24"/>
          <w:szCs w:val="24"/>
          <w:lang w:val="es-PE"/>
        </w:rPr>
        <w:t xml:space="preserve"> Vocal</w:t>
      </w:r>
    </w:p>
    <w:p w:rsidRPr="002441B9"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2441B9">
        <w:rPr>
          <w:rFonts w:ascii="Times New Roman" w:hAnsi="Times New Roman" w:cs="Times New Roman"/>
          <w:b/>
          <w:bCs/>
          <w:sz w:val="24"/>
          <w:szCs w:val="24"/>
          <w:lang w:val="es-PE"/>
        </w:rPr>
        <w:t xml:space="preserve">Rolando Eyzaguirre Maccan </w:t>
      </w:r>
      <w:r w:rsidRPr="002441B9" w:rsidR="007543CD">
        <w:rPr>
          <w:rFonts w:ascii="Times New Roman" w:hAnsi="Times New Roman" w:cs="Times New Roman"/>
          <w:b/>
          <w:bCs/>
          <w:sz w:val="24"/>
          <w:szCs w:val="24"/>
          <w:lang w:val="es-PE"/>
        </w:rPr>
        <w:t>– Vocal</w:t>
      </w:r>
    </w:p>
    <w:p w:rsidRPr="002441B9"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2441B9">
        <w:rPr>
          <w:rFonts w:ascii="Times New Roman" w:hAnsi="Times New Roman" w:cs="Times New Roman"/>
          <w:b/>
          <w:bCs/>
          <w:sz w:val="24"/>
          <w:szCs w:val="24"/>
          <w:lang w:val="es-PE"/>
        </w:rPr>
        <w:t>Gonzalo Abad del Busto – Vocal</w:t>
      </w:r>
    </w:p>
    <w:p w:rsidRPr="002441B9"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BD3802"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BD3802" w:rsidR="00556526" w:rsidP="00B17E56" w:rsidRDefault="00556526" w14:paraId="5D853B0D" w14:textId="088DF411">
      <w:pPr>
        <w:jc w:val="both"/>
        <w:rPr>
          <w:rFonts w:ascii="Times New Roman" w:hAnsi="Times New Roman" w:cs="Times New Roman"/>
          <w:b/>
          <w:bCs/>
          <w:i/>
          <w:iCs/>
          <w:sz w:val="24"/>
          <w:szCs w:val="24"/>
          <w:lang w:val="es-ES_tradnl"/>
        </w:rPr>
      </w:pPr>
    </w:p>
    <w:p w:rsidRPr="00BD380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11"/>
      <w:footerReference w:type="default" r:id="rId12"/>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C3F97" w:rsidP="00784355" w:rsidRDefault="00AC3F97" w14:paraId="5CDB5969" w14:textId="77777777">
      <w:pPr>
        <w:spacing w:after="0" w:line="240" w:lineRule="auto"/>
      </w:pPr>
      <w:r>
        <w:separator/>
      </w:r>
    </w:p>
  </w:endnote>
  <w:endnote w:type="continuationSeparator" w:id="0">
    <w:p w:rsidR="00AC3F97" w:rsidP="00784355" w:rsidRDefault="00AC3F97" w14:paraId="75B153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C3F97" w:rsidP="00784355" w:rsidRDefault="00AC3F97" w14:paraId="46587994" w14:textId="77777777">
      <w:pPr>
        <w:spacing w:after="0" w:line="240" w:lineRule="auto"/>
      </w:pPr>
      <w:r>
        <w:separator/>
      </w:r>
    </w:p>
  </w:footnote>
  <w:footnote w:type="continuationSeparator" w:id="0">
    <w:p w:rsidR="00AC3F97" w:rsidP="00784355" w:rsidRDefault="00AC3F97" w14:paraId="7EF5897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9"/>
  </w:num>
  <w:num w:numId="3" w16cid:durableId="333261791">
    <w:abstractNumId w:val="25"/>
  </w:num>
  <w:num w:numId="4" w16cid:durableId="1770345525">
    <w:abstractNumId w:val="24"/>
  </w:num>
  <w:num w:numId="5" w16cid:durableId="1816144979">
    <w:abstractNumId w:val="27"/>
  </w:num>
  <w:num w:numId="6" w16cid:durableId="1304313350">
    <w:abstractNumId w:val="0"/>
  </w:num>
  <w:num w:numId="7" w16cid:durableId="1668288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7"/>
  </w:num>
  <w:num w:numId="17" w16cid:durableId="17998823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3"/>
  </w:num>
  <w:num w:numId="26" w16cid:durableId="2108460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31"/>
  </w:num>
  <w:num w:numId="34" w16cid:durableId="3649146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7F9"/>
    <w:rsid w:val="002F09CA"/>
    <w:rsid w:val="002F35F0"/>
    <w:rsid w:val="002F478E"/>
    <w:rsid w:val="00300DDA"/>
    <w:rsid w:val="00303FA8"/>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3802"/>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65EA103"/>
    <w:rsid w:val="27DA83E1"/>
    <w:rsid w:val="2A6E7F0F"/>
    <w:rsid w:val="3B2F322F"/>
    <w:rsid w:val="412F928E"/>
    <w:rsid w:val="5ED867A2"/>
    <w:rsid w:val="696D28CE"/>
    <w:rsid w:val="69E0C5F8"/>
    <w:rsid w:val="6F61E92B"/>
    <w:rsid w:val="7CD64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55D65E1-1C71-48FB-B26B-6EDC173E6FB0}"/>
</file>

<file path=customXml/itemProps3.xml><?xml version="1.0" encoding="utf-8"?>
<ds:datastoreItem xmlns:ds="http://schemas.openxmlformats.org/officeDocument/2006/customXml" ds:itemID="{CB23CCD7-43DA-4268-9432-F1E78CC8712B}"/>
</file>

<file path=customXml/itemProps4.xml><?xml version="1.0" encoding="utf-8"?>
<ds:datastoreItem xmlns:ds="http://schemas.openxmlformats.org/officeDocument/2006/customXml" ds:itemID="{F24FFFDA-7C1A-4595-81F9-4DD882D94B7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324</cp:revision>
  <cp:lastPrinted>2024-07-15T19:17:00Z</cp:lastPrinted>
  <dcterms:created xsi:type="dcterms:W3CDTF">2023-02-14T22:37:00Z</dcterms:created>
  <dcterms:modified xsi:type="dcterms:W3CDTF">2025-12-10T20:18:25Z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