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671B0A" w:rsidRDefault="00671B0A">
      <w:pPr>
        <w:spacing w:before="19" w:line="220" w:lineRule="exact"/>
        <w:rPr>
          <w:sz w:val="22"/>
          <w:szCs w:val="22"/>
        </w:rPr>
      </w:pPr>
    </w:p>
    <w:p w14:paraId="4B7D7B42" w14:textId="2EBBBC91" w:rsidR="578F46F2" w:rsidRDefault="578F46F2" w:rsidP="17DA1DF9">
      <w:pPr>
        <w:jc w:val="center"/>
        <w:rPr>
          <w:color w:val="000000" w:themeColor="text1"/>
          <w:sz w:val="22"/>
          <w:szCs w:val="22"/>
        </w:rPr>
      </w:pPr>
      <w:r w:rsidRPr="17DA1DF9">
        <w:rPr>
          <w:b/>
          <w:bCs/>
          <w:color w:val="000000" w:themeColor="text1"/>
          <w:sz w:val="22"/>
          <w:szCs w:val="22"/>
          <w:lang w:val="es-PE"/>
        </w:rPr>
        <w:t>RESOLUCIÓN DE RECURSO IMPUGNATIVO N° 026/24</w:t>
      </w:r>
    </w:p>
    <w:p w14:paraId="1566815F" w14:textId="5B55590A" w:rsidR="17DA1DF9" w:rsidRDefault="17DA1DF9" w:rsidP="17DA1DF9">
      <w:pPr>
        <w:jc w:val="both"/>
        <w:rPr>
          <w:color w:val="000000" w:themeColor="text1"/>
          <w:sz w:val="22"/>
          <w:szCs w:val="22"/>
        </w:rPr>
      </w:pPr>
    </w:p>
    <w:p w14:paraId="77374C5F" w14:textId="21AA761A" w:rsidR="578F46F2" w:rsidRDefault="578F46F2" w:rsidP="17DA1DF9">
      <w:pPr>
        <w:jc w:val="both"/>
        <w:rPr>
          <w:color w:val="000000" w:themeColor="text1"/>
          <w:sz w:val="22"/>
          <w:szCs w:val="22"/>
        </w:rPr>
      </w:pPr>
      <w:r w:rsidRPr="17DA1DF9">
        <w:rPr>
          <w:b/>
          <w:bCs/>
          <w:color w:val="000000" w:themeColor="text1"/>
          <w:sz w:val="22"/>
          <w:szCs w:val="22"/>
          <w:lang w:val="es-PE"/>
        </w:rPr>
        <w:t xml:space="preserve">Vistos: </w:t>
      </w:r>
    </w:p>
    <w:p w14:paraId="6D6C6565" w14:textId="361A9C62" w:rsidR="17DA1DF9" w:rsidRDefault="17DA1DF9" w:rsidP="17DA1DF9">
      <w:pPr>
        <w:jc w:val="both"/>
        <w:rPr>
          <w:color w:val="000000" w:themeColor="text1"/>
          <w:sz w:val="22"/>
          <w:szCs w:val="22"/>
        </w:rPr>
      </w:pPr>
    </w:p>
    <w:p w14:paraId="6082B3F5" w14:textId="10639799" w:rsidR="578F46F2" w:rsidRDefault="578F46F2" w:rsidP="17DA1DF9">
      <w:pPr>
        <w:jc w:val="both"/>
        <w:rPr>
          <w:color w:val="000000" w:themeColor="text1"/>
          <w:sz w:val="22"/>
          <w:szCs w:val="22"/>
        </w:rPr>
      </w:pPr>
      <w:r w:rsidRPr="17DA1DF9">
        <w:rPr>
          <w:color w:val="000000" w:themeColor="text1"/>
          <w:sz w:val="22"/>
          <w:szCs w:val="22"/>
          <w:lang w:val="es-PE"/>
        </w:rPr>
        <w:t xml:space="preserve">El Recurso Impugnativo presentado por </w:t>
      </w:r>
      <w:r w:rsidRPr="17DA1DF9">
        <w:rPr>
          <w:b/>
          <w:bCs/>
          <w:color w:val="000000" w:themeColor="text1"/>
          <w:sz w:val="22"/>
          <w:szCs w:val="22"/>
          <w:lang w:val="es-PE"/>
        </w:rPr>
        <w:t>.......................................................</w:t>
      </w:r>
      <w:r w:rsidRPr="17DA1DF9">
        <w:rPr>
          <w:color w:val="000000" w:themeColor="text1"/>
          <w:sz w:val="22"/>
          <w:szCs w:val="22"/>
          <w:lang w:val="es-PE"/>
        </w:rPr>
        <w:t xml:space="preserve">, respecto de la Resolución N° 079/24 emitida por esta Defensoría del Asegurado que declaró </w:t>
      </w:r>
      <w:r w:rsidRPr="17DA1DF9">
        <w:rPr>
          <w:b/>
          <w:bCs/>
          <w:color w:val="000000" w:themeColor="text1"/>
          <w:sz w:val="22"/>
          <w:szCs w:val="22"/>
          <w:lang w:val="es-PE"/>
        </w:rPr>
        <w:t>INFUNDADA</w:t>
      </w:r>
      <w:r w:rsidRPr="17DA1DF9">
        <w:rPr>
          <w:color w:val="000000" w:themeColor="text1"/>
          <w:sz w:val="22"/>
          <w:szCs w:val="22"/>
          <w:lang w:val="es-PE"/>
        </w:rPr>
        <w:t xml:space="preserve"> la reclamación interpuesta, sobre otorgamiento de cobertura al siniestro ocurrido a la maquina asegurada. </w:t>
      </w:r>
    </w:p>
    <w:p w14:paraId="21BE745B" w14:textId="70063F46" w:rsidR="578F46F2" w:rsidRDefault="578F46F2" w:rsidP="17DA1DF9">
      <w:pPr>
        <w:jc w:val="both"/>
        <w:rPr>
          <w:color w:val="000000" w:themeColor="text1"/>
          <w:sz w:val="22"/>
          <w:szCs w:val="22"/>
          <w:lang w:val="es-PE"/>
        </w:rPr>
      </w:pPr>
      <w:r w:rsidRPr="17DA1DF9">
        <w:rPr>
          <w:color w:val="000000" w:themeColor="text1"/>
          <w:sz w:val="22"/>
          <w:szCs w:val="22"/>
          <w:lang w:val="es-PE"/>
        </w:rPr>
        <w:t xml:space="preserve">Que el señalado Recurso Impugnativo se fundamenta resumidamente en lo siguiente: </w:t>
      </w:r>
    </w:p>
    <w:p w14:paraId="383E2115" w14:textId="77777777" w:rsidR="00910DA1" w:rsidRDefault="00910DA1" w:rsidP="17DA1DF9">
      <w:pPr>
        <w:jc w:val="both"/>
        <w:rPr>
          <w:color w:val="000000" w:themeColor="text1"/>
          <w:sz w:val="22"/>
          <w:szCs w:val="22"/>
        </w:rPr>
      </w:pPr>
    </w:p>
    <w:p w14:paraId="354BED69" w14:textId="4116D801" w:rsidR="578F46F2" w:rsidRDefault="578F46F2" w:rsidP="17DA1DF9">
      <w:pPr>
        <w:pStyle w:val="Prrafodelista"/>
        <w:numPr>
          <w:ilvl w:val="0"/>
          <w:numId w:val="1"/>
        </w:numPr>
        <w:spacing w:after="200"/>
        <w:jc w:val="both"/>
        <w:rPr>
          <w:color w:val="000000" w:themeColor="text1"/>
          <w:sz w:val="22"/>
          <w:szCs w:val="22"/>
        </w:rPr>
      </w:pPr>
      <w:r w:rsidRPr="17DA1DF9">
        <w:rPr>
          <w:color w:val="000000" w:themeColor="text1"/>
          <w:sz w:val="22"/>
          <w:szCs w:val="22"/>
          <w:lang w:val="es-PE"/>
        </w:rPr>
        <w:t>Que, el asegurado espera que la DEFASEG no declare Infundada este Recurso solo en base a las manifestaciones vertidas por el señor ......................................................., una persona que no tiene absolutamente nada que ver como Contratante, Asegurado o Beneficiario de la póliza contratada.</w:t>
      </w:r>
    </w:p>
    <w:p w14:paraId="2336A91A" w14:textId="21400261" w:rsidR="578F46F2" w:rsidRDefault="578F46F2" w:rsidP="17DA1DF9">
      <w:pPr>
        <w:pStyle w:val="Prrafodelista"/>
        <w:numPr>
          <w:ilvl w:val="0"/>
          <w:numId w:val="1"/>
        </w:numPr>
        <w:spacing w:after="200"/>
        <w:jc w:val="both"/>
        <w:rPr>
          <w:color w:val="000000" w:themeColor="text1"/>
          <w:sz w:val="22"/>
          <w:szCs w:val="22"/>
        </w:rPr>
      </w:pPr>
      <w:r w:rsidRPr="17DA1DF9">
        <w:rPr>
          <w:color w:val="000000" w:themeColor="text1"/>
          <w:sz w:val="22"/>
          <w:szCs w:val="22"/>
          <w:lang w:val="es-PE"/>
        </w:rPr>
        <w:t>Que, de la misma forma se espera que tampoco se tome en consideración lo expuesto por la aseguradora en base al incumplimiento de las garantías, por la no entrega oportuna de los Certificados de Antecedentes Policiales y Certificado Domiciliario del trabajador señor ....................................................... (guardián).</w:t>
      </w:r>
    </w:p>
    <w:p w14:paraId="36FB8B78" w14:textId="676BA1B7" w:rsidR="578F46F2" w:rsidRDefault="578F46F2" w:rsidP="17DA1DF9">
      <w:pPr>
        <w:pStyle w:val="Prrafodelista"/>
        <w:numPr>
          <w:ilvl w:val="0"/>
          <w:numId w:val="1"/>
        </w:numPr>
        <w:spacing w:after="200"/>
        <w:jc w:val="both"/>
        <w:rPr>
          <w:color w:val="000000" w:themeColor="text1"/>
          <w:sz w:val="22"/>
          <w:szCs w:val="22"/>
        </w:rPr>
      </w:pPr>
      <w:r w:rsidRPr="17DA1DF9">
        <w:rPr>
          <w:color w:val="000000" w:themeColor="text1"/>
          <w:sz w:val="22"/>
          <w:szCs w:val="22"/>
          <w:lang w:val="es-PE"/>
        </w:rPr>
        <w:t>Que, la Ley 29946 Ley de Contrato de Seguro en su Artículo IV, Cláusula Decimoprimera dice claramente:</w:t>
      </w:r>
    </w:p>
    <w:p w14:paraId="64F2AE26" w14:textId="15561047" w:rsidR="578F46F2" w:rsidRDefault="578F46F2" w:rsidP="004F209A">
      <w:pPr>
        <w:ind w:left="720"/>
        <w:jc w:val="both"/>
        <w:rPr>
          <w:color w:val="000000" w:themeColor="text1"/>
          <w:sz w:val="22"/>
          <w:szCs w:val="22"/>
        </w:rPr>
      </w:pPr>
      <w:r w:rsidRPr="17DA1DF9">
        <w:rPr>
          <w:color w:val="000000" w:themeColor="text1"/>
          <w:sz w:val="22"/>
          <w:szCs w:val="22"/>
          <w:lang w:val="es-PE"/>
        </w:rPr>
        <w:t>“(…)</w:t>
      </w:r>
    </w:p>
    <w:p w14:paraId="5EA78BF9" w14:textId="092D7188" w:rsidR="578F46F2" w:rsidRDefault="578F46F2" w:rsidP="004F209A">
      <w:pPr>
        <w:ind w:left="720"/>
        <w:jc w:val="both"/>
        <w:rPr>
          <w:color w:val="000000" w:themeColor="text1"/>
          <w:sz w:val="22"/>
          <w:szCs w:val="22"/>
        </w:rPr>
      </w:pPr>
      <w:r w:rsidRPr="17DA1DF9">
        <w:rPr>
          <w:color w:val="000000" w:themeColor="text1"/>
          <w:sz w:val="22"/>
          <w:szCs w:val="22"/>
          <w:lang w:val="es-PE"/>
        </w:rPr>
        <w:t>Artículo IV. En la interpretación del contrato de seguro se aplican las reglas siguientes:</w:t>
      </w:r>
    </w:p>
    <w:p w14:paraId="483ECA3F" w14:textId="5CDBEE08" w:rsidR="578F46F2" w:rsidRDefault="578F46F2" w:rsidP="004F209A">
      <w:pPr>
        <w:ind w:left="720"/>
        <w:jc w:val="both"/>
        <w:rPr>
          <w:color w:val="000000" w:themeColor="text1"/>
          <w:sz w:val="22"/>
          <w:szCs w:val="22"/>
        </w:rPr>
      </w:pPr>
      <w:r w:rsidRPr="17DA1DF9">
        <w:rPr>
          <w:color w:val="000000" w:themeColor="text1"/>
          <w:sz w:val="22"/>
          <w:szCs w:val="22"/>
          <w:lang w:val="es-PE"/>
        </w:rPr>
        <w:t>(…)</w:t>
      </w:r>
    </w:p>
    <w:p w14:paraId="196FFC22" w14:textId="015DC6B5" w:rsidR="578F46F2" w:rsidRDefault="578F46F2" w:rsidP="004F209A">
      <w:pPr>
        <w:ind w:left="720"/>
        <w:jc w:val="both"/>
        <w:rPr>
          <w:color w:val="000000" w:themeColor="text1"/>
          <w:sz w:val="22"/>
          <w:szCs w:val="22"/>
          <w:lang w:val="es-PE"/>
        </w:rPr>
      </w:pPr>
      <w:r w:rsidRPr="17DA1DF9">
        <w:rPr>
          <w:color w:val="000000" w:themeColor="text1"/>
          <w:sz w:val="22"/>
          <w:szCs w:val="22"/>
          <w:lang w:val="es-PE"/>
        </w:rPr>
        <w:t>“Decimoprimera: Para determinar la observancia de Cláusulas de Garantía, Prescripciones de Seguridad o medidas de prevención, debe tenerse en cuenta mas el cumplimiento sustancial de las mismas y su eficacia efectiva que su cumplimiento literal. No se debe sancionar al asegurado por incumplimiento de garantías o medidas cuya observancia no hubiera evitado el siniestro”.</w:t>
      </w:r>
    </w:p>
    <w:p w14:paraId="42D2D2A4" w14:textId="77777777" w:rsidR="004F209A" w:rsidRDefault="004F209A" w:rsidP="17DA1DF9">
      <w:pPr>
        <w:jc w:val="both"/>
        <w:rPr>
          <w:color w:val="000000" w:themeColor="text1"/>
          <w:sz w:val="22"/>
          <w:szCs w:val="22"/>
        </w:rPr>
      </w:pPr>
    </w:p>
    <w:p w14:paraId="7B62BB7F" w14:textId="4904120C" w:rsidR="578F46F2" w:rsidRDefault="578F46F2" w:rsidP="17DA1DF9">
      <w:pPr>
        <w:pStyle w:val="Prrafodelista"/>
        <w:numPr>
          <w:ilvl w:val="0"/>
          <w:numId w:val="1"/>
        </w:numPr>
        <w:spacing w:after="200"/>
        <w:jc w:val="both"/>
        <w:rPr>
          <w:color w:val="000000" w:themeColor="text1"/>
          <w:sz w:val="22"/>
          <w:szCs w:val="22"/>
        </w:rPr>
      </w:pPr>
      <w:r w:rsidRPr="17DA1DF9">
        <w:rPr>
          <w:color w:val="000000" w:themeColor="text1"/>
          <w:sz w:val="22"/>
          <w:szCs w:val="22"/>
          <w:lang w:val="es-PE"/>
        </w:rPr>
        <w:t>Que, además, el señor ....................................................... es un tercero no afectado que contrató a la asegurada para efectuar trabajos de mantenimiento rutinario de vías de acceso privado, limpieza de calles y acondicionamiento de terreno, por lo que, en el presente caso, los únicos afectados por la NO INDEMNIZACION de la pérdida sufrida, es la ........................................................</w:t>
      </w:r>
    </w:p>
    <w:p w14:paraId="24820BDB" w14:textId="153C5FA8" w:rsidR="578F46F2" w:rsidRDefault="578F46F2" w:rsidP="17DA1DF9">
      <w:pPr>
        <w:pStyle w:val="Prrafodelista"/>
        <w:numPr>
          <w:ilvl w:val="0"/>
          <w:numId w:val="1"/>
        </w:numPr>
        <w:spacing w:after="200"/>
        <w:jc w:val="both"/>
        <w:rPr>
          <w:color w:val="000000" w:themeColor="text1"/>
          <w:sz w:val="22"/>
          <w:szCs w:val="22"/>
        </w:rPr>
      </w:pPr>
      <w:r w:rsidRPr="17DA1DF9">
        <w:rPr>
          <w:color w:val="000000" w:themeColor="text1"/>
          <w:sz w:val="22"/>
          <w:szCs w:val="22"/>
          <w:lang w:val="es-PE"/>
        </w:rPr>
        <w:t>Que, así mismo, de los párrafos anteriores, el asegurado se pregunta, porque la Defensoría no ha tomado en consideración información importante que obra en su poder, tales como: acta de denuncia verbal, constancia de registro, videos proporcionados, pruebas suficientes efectuadas por autoridades competentes, donde claramente se aprecia el abuso de la aseguradora ante el asegurado.</w:t>
      </w:r>
    </w:p>
    <w:p w14:paraId="0612F0E9" w14:textId="4E6CA47B" w:rsidR="578F46F2" w:rsidRDefault="578F46F2" w:rsidP="17DA1DF9">
      <w:pPr>
        <w:pStyle w:val="Prrafodelista"/>
        <w:numPr>
          <w:ilvl w:val="0"/>
          <w:numId w:val="1"/>
        </w:numPr>
        <w:spacing w:after="200"/>
        <w:jc w:val="both"/>
        <w:rPr>
          <w:color w:val="000000" w:themeColor="text1"/>
          <w:sz w:val="22"/>
          <w:szCs w:val="22"/>
        </w:rPr>
      </w:pPr>
      <w:r w:rsidRPr="17DA1DF9">
        <w:rPr>
          <w:color w:val="000000" w:themeColor="text1"/>
          <w:sz w:val="22"/>
          <w:szCs w:val="22"/>
          <w:lang w:val="es-PE"/>
        </w:rPr>
        <w:t>Que, adicionalmente, se reitera que en la póliza expedida no existe ningún párrafo que indique que el asegurado se encuentre obligado y/o debe presentar contratos de trabajo, u otros documentos que sean consignados para determinar lugares específicos como zonas de operación y/o para saber si estuvo realizando la maquinaria trabajos para las cuales fueron fabricadas, cuando sus labores se efectúan para cualquiera que requiera de sus servicios sin un contrato formal.</w:t>
      </w:r>
    </w:p>
    <w:p w14:paraId="07BCC859" w14:textId="56B05565" w:rsidR="578F46F2" w:rsidRDefault="578F46F2" w:rsidP="17DA1DF9">
      <w:pPr>
        <w:jc w:val="both"/>
        <w:rPr>
          <w:color w:val="000000" w:themeColor="text1"/>
          <w:sz w:val="22"/>
          <w:szCs w:val="22"/>
        </w:rPr>
      </w:pPr>
      <w:r w:rsidRPr="17DA1DF9">
        <w:rPr>
          <w:color w:val="000000" w:themeColor="text1"/>
          <w:sz w:val="22"/>
          <w:szCs w:val="22"/>
          <w:lang w:val="es-PE"/>
        </w:rPr>
        <w:t xml:space="preserve">Que, habiéndose corrido traslado a ............................... del referido Recurso impugnatorio, la compañía no ha presentado contestación al mencionado Recurso. </w:t>
      </w:r>
    </w:p>
    <w:p w14:paraId="44C0ADD2" w14:textId="41115437" w:rsidR="578F46F2" w:rsidRDefault="578F46F2" w:rsidP="17DA1DF9">
      <w:pPr>
        <w:jc w:val="both"/>
        <w:rPr>
          <w:color w:val="000000" w:themeColor="text1"/>
          <w:sz w:val="22"/>
          <w:szCs w:val="22"/>
          <w:lang w:val="es-PE"/>
        </w:rPr>
      </w:pPr>
      <w:r w:rsidRPr="17DA1DF9">
        <w:rPr>
          <w:color w:val="000000" w:themeColor="text1"/>
          <w:sz w:val="22"/>
          <w:szCs w:val="22"/>
          <w:lang w:val="es-PE"/>
        </w:rPr>
        <w:t>Que, atendiendo a lo expuesto, esta Defensoría resuelve finalmente lo siguiente:</w:t>
      </w:r>
    </w:p>
    <w:p w14:paraId="7418CE58" w14:textId="77777777" w:rsidR="00910DA1" w:rsidRDefault="00910DA1" w:rsidP="17DA1DF9">
      <w:pPr>
        <w:jc w:val="both"/>
        <w:rPr>
          <w:color w:val="000000" w:themeColor="text1"/>
          <w:sz w:val="22"/>
          <w:szCs w:val="22"/>
        </w:rPr>
      </w:pPr>
    </w:p>
    <w:p w14:paraId="27C3EE1F" w14:textId="605D3BB6" w:rsidR="578F46F2" w:rsidRDefault="578F46F2" w:rsidP="17DA1DF9">
      <w:pPr>
        <w:jc w:val="both"/>
        <w:rPr>
          <w:color w:val="000000" w:themeColor="text1"/>
          <w:sz w:val="22"/>
          <w:szCs w:val="22"/>
        </w:rPr>
      </w:pPr>
      <w:r w:rsidRPr="17DA1DF9">
        <w:rPr>
          <w:b/>
          <w:bCs/>
          <w:color w:val="000000" w:themeColor="text1"/>
          <w:sz w:val="22"/>
          <w:szCs w:val="22"/>
          <w:lang w:val="es-PE"/>
        </w:rPr>
        <w:t>PRIMERO:</w:t>
      </w:r>
      <w:r w:rsidRPr="17DA1DF9">
        <w:rPr>
          <w:color w:val="000000" w:themeColor="text1"/>
          <w:sz w:val="22"/>
          <w:szCs w:val="22"/>
          <w:lang w:val="es-PE"/>
        </w:rPr>
        <w:t xml:space="preserve"> Que el artículo 10 (Procedimiento) del Reglamento de la DEFASEG (</w:t>
      </w:r>
      <w:hyperlink r:id="rId7">
        <w:r w:rsidRPr="17DA1DF9">
          <w:rPr>
            <w:rStyle w:val="Hipervnculo"/>
            <w:sz w:val="22"/>
            <w:szCs w:val="22"/>
            <w:lang w:val="es-PE"/>
          </w:rPr>
          <w:t>http://www.defaseg.com.pe/reglamento</w:t>
        </w:r>
      </w:hyperlink>
      <w:r w:rsidRPr="17DA1DF9">
        <w:rPr>
          <w:color w:val="000000" w:themeColor="text1"/>
          <w:sz w:val="22"/>
          <w:szCs w:val="22"/>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17DA1DF9">
        <w:rPr>
          <w:b/>
          <w:bCs/>
          <w:color w:val="000000" w:themeColor="text1"/>
          <w:sz w:val="22"/>
          <w:szCs w:val="22"/>
          <w:lang w:val="es-PE"/>
        </w:rPr>
        <w:t>.......................................................</w:t>
      </w:r>
      <w:r w:rsidRPr="17DA1DF9">
        <w:rPr>
          <w:color w:val="000000" w:themeColor="text1"/>
          <w:sz w:val="22"/>
          <w:szCs w:val="22"/>
          <w:lang w:val="es-PE"/>
        </w:rPr>
        <w:t>, al interponer el Recurso Impugnativo, ha ejercido formalmente su derecho a contradecir lo resuelto por la Defensoría, aunque se espera razonablemente que sustente objetivamente la razón de su desacuerdo, el vicio o error en que se habría incurrido y que permitiría fundamentar que lo resuelto no se ajusta a derecho ni a los correspondientes actuados.</w:t>
      </w:r>
    </w:p>
    <w:p w14:paraId="30E0E163" w14:textId="3B32A4BF" w:rsidR="578F46F2" w:rsidRDefault="578F46F2" w:rsidP="17DA1DF9">
      <w:pPr>
        <w:jc w:val="both"/>
        <w:rPr>
          <w:color w:val="000000" w:themeColor="text1"/>
          <w:sz w:val="22"/>
          <w:szCs w:val="22"/>
          <w:lang w:val="es-PE"/>
        </w:rPr>
      </w:pPr>
      <w:r w:rsidRPr="17DA1DF9">
        <w:rPr>
          <w:b/>
          <w:bCs/>
          <w:color w:val="000000" w:themeColor="text1"/>
          <w:sz w:val="22"/>
          <w:szCs w:val="22"/>
          <w:lang w:val="es-PE"/>
        </w:rPr>
        <w:lastRenderedPageBreak/>
        <w:t>SEGUNDO:</w:t>
      </w:r>
      <w:r w:rsidRPr="17DA1DF9">
        <w:rPr>
          <w:color w:val="000000" w:themeColor="text1"/>
          <w:sz w:val="22"/>
          <w:szCs w:val="22"/>
          <w:lang w:val="es-PE"/>
        </w:rPr>
        <w:t xml:space="preserve"> Que, de la lectura del Recurso Impugnativo interpuesto se aprecia que el reclamante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reclamante que este colegiado no comparte, pero sin aportar argumento o medio probatorio alguno que permita objetivamente a este colegiado apreciar que habría incurrido efectivamente en un error o vicio al momento de resolver.</w:t>
      </w:r>
    </w:p>
    <w:p w14:paraId="7D63D90A" w14:textId="77777777" w:rsidR="00910DA1" w:rsidRDefault="00910DA1" w:rsidP="17DA1DF9">
      <w:pPr>
        <w:jc w:val="both"/>
        <w:rPr>
          <w:color w:val="000000" w:themeColor="text1"/>
          <w:sz w:val="22"/>
          <w:szCs w:val="22"/>
        </w:rPr>
      </w:pPr>
    </w:p>
    <w:p w14:paraId="3D2B9538" w14:textId="606DD322" w:rsidR="578F46F2" w:rsidRDefault="578F46F2" w:rsidP="17DA1DF9">
      <w:pPr>
        <w:jc w:val="both"/>
        <w:rPr>
          <w:color w:val="000000" w:themeColor="text1"/>
          <w:sz w:val="22"/>
          <w:szCs w:val="22"/>
          <w:lang w:val="es-PE"/>
        </w:rPr>
      </w:pPr>
      <w:r w:rsidRPr="17DA1DF9">
        <w:rPr>
          <w:color w:val="000000" w:themeColor="text1"/>
          <w:sz w:val="22"/>
          <w:szCs w:val="22"/>
          <w:lang w:val="es-PE"/>
        </w:rPr>
        <w:t xml:space="preserve">Que, sin perjuicio de lo anterior, esta Defensoría considera oportuno mencionar nuevamente que los motivos expresados por la Defensoría en el Considerando Noveno de la Resolución </w:t>
      </w:r>
      <w:proofErr w:type="gramStart"/>
      <w:r w:rsidRPr="17DA1DF9">
        <w:rPr>
          <w:color w:val="000000" w:themeColor="text1"/>
          <w:sz w:val="22"/>
          <w:szCs w:val="22"/>
          <w:lang w:val="es-PE"/>
        </w:rPr>
        <w:t>recurrida,</w:t>
      </w:r>
      <w:proofErr w:type="gramEnd"/>
      <w:r w:rsidRPr="17DA1DF9">
        <w:rPr>
          <w:color w:val="000000" w:themeColor="text1"/>
          <w:sz w:val="22"/>
          <w:szCs w:val="22"/>
          <w:lang w:val="es-PE"/>
        </w:rPr>
        <w:t xml:space="preserve"> no han sido desmentidos por el asegurado con pruebas documentales.</w:t>
      </w:r>
    </w:p>
    <w:p w14:paraId="27ABEA14" w14:textId="77777777" w:rsidR="00910DA1" w:rsidRDefault="00910DA1" w:rsidP="17DA1DF9">
      <w:pPr>
        <w:jc w:val="both"/>
        <w:rPr>
          <w:color w:val="000000" w:themeColor="text1"/>
          <w:sz w:val="22"/>
          <w:szCs w:val="22"/>
        </w:rPr>
      </w:pPr>
    </w:p>
    <w:p w14:paraId="007DFE2C" w14:textId="4C3DE34C" w:rsidR="578F46F2" w:rsidRDefault="578F46F2" w:rsidP="17DA1DF9">
      <w:pPr>
        <w:jc w:val="both"/>
        <w:rPr>
          <w:color w:val="000000" w:themeColor="text1"/>
          <w:sz w:val="22"/>
          <w:szCs w:val="22"/>
        </w:rPr>
      </w:pPr>
      <w:r w:rsidRPr="17DA1DF9">
        <w:rPr>
          <w:color w:val="000000" w:themeColor="text1"/>
          <w:sz w:val="22"/>
          <w:szCs w:val="22"/>
          <w:lang w:val="es-PE"/>
        </w:rPr>
        <w:t>Que, en atención a las consideraciones precedentes, este colegiado no aprecia mérito ni razón objetiva para revocar la resolución recurrida y, por lo tanto</w:t>
      </w:r>
    </w:p>
    <w:p w14:paraId="7A367581" w14:textId="3A22BBA6" w:rsidR="17DA1DF9" w:rsidRDefault="17DA1DF9" w:rsidP="17DA1DF9">
      <w:pPr>
        <w:jc w:val="both"/>
        <w:rPr>
          <w:color w:val="000000" w:themeColor="text1"/>
          <w:sz w:val="22"/>
          <w:szCs w:val="22"/>
        </w:rPr>
      </w:pPr>
    </w:p>
    <w:p w14:paraId="7D9DC06A" w14:textId="637742E2" w:rsidR="578F46F2" w:rsidRDefault="578F46F2" w:rsidP="17DA1DF9">
      <w:pPr>
        <w:jc w:val="both"/>
        <w:rPr>
          <w:b/>
          <w:bCs/>
          <w:color w:val="000000" w:themeColor="text1"/>
          <w:sz w:val="22"/>
          <w:szCs w:val="22"/>
        </w:rPr>
      </w:pPr>
      <w:r w:rsidRPr="17DA1DF9">
        <w:rPr>
          <w:b/>
          <w:bCs/>
          <w:color w:val="000000" w:themeColor="text1"/>
          <w:sz w:val="22"/>
          <w:szCs w:val="22"/>
        </w:rPr>
        <w:t xml:space="preserve">RESUELVE: </w:t>
      </w:r>
    </w:p>
    <w:p w14:paraId="6DDD197C" w14:textId="77777777" w:rsidR="00910DA1" w:rsidRDefault="00910DA1" w:rsidP="17DA1DF9">
      <w:pPr>
        <w:jc w:val="both"/>
        <w:rPr>
          <w:color w:val="000000" w:themeColor="text1"/>
          <w:sz w:val="22"/>
          <w:szCs w:val="22"/>
        </w:rPr>
      </w:pPr>
    </w:p>
    <w:p w14:paraId="5E3FE9E2" w14:textId="65D9DA43" w:rsidR="578F46F2" w:rsidRDefault="578F46F2" w:rsidP="17DA1DF9">
      <w:pPr>
        <w:jc w:val="both"/>
        <w:rPr>
          <w:color w:val="000000" w:themeColor="text1"/>
          <w:sz w:val="22"/>
          <w:szCs w:val="22"/>
          <w:lang w:val="es-PE"/>
        </w:rPr>
      </w:pPr>
      <w:r w:rsidRPr="17DA1DF9">
        <w:rPr>
          <w:color w:val="000000" w:themeColor="text1"/>
          <w:sz w:val="22"/>
          <w:szCs w:val="22"/>
          <w:lang w:val="es-PE"/>
        </w:rPr>
        <w:t xml:space="preserve">Declarar </w:t>
      </w:r>
      <w:r w:rsidRPr="17DA1DF9">
        <w:rPr>
          <w:b/>
          <w:bCs/>
          <w:color w:val="000000" w:themeColor="text1"/>
          <w:sz w:val="22"/>
          <w:szCs w:val="22"/>
          <w:lang w:val="es-PE"/>
        </w:rPr>
        <w:t>INFUNDADO</w:t>
      </w:r>
      <w:r w:rsidRPr="17DA1DF9">
        <w:rPr>
          <w:color w:val="000000" w:themeColor="text1"/>
          <w:sz w:val="22"/>
          <w:szCs w:val="22"/>
          <w:lang w:val="es-PE"/>
        </w:rPr>
        <w:t xml:space="preserve"> el Recurso Impugnativo interpuesto y, por consiguiente, ratificar la Resolución N° 079/24 que declaró</w:t>
      </w:r>
      <w:r w:rsidRPr="17DA1DF9">
        <w:rPr>
          <w:b/>
          <w:bCs/>
          <w:color w:val="000000" w:themeColor="text1"/>
          <w:sz w:val="22"/>
          <w:szCs w:val="22"/>
          <w:lang w:val="es-PE"/>
        </w:rPr>
        <w:t xml:space="preserve"> INFUNDADA </w:t>
      </w:r>
      <w:r w:rsidRPr="17DA1DF9">
        <w:rPr>
          <w:color w:val="000000" w:themeColor="text1"/>
          <w:sz w:val="22"/>
          <w:szCs w:val="22"/>
          <w:lang w:val="es-PE"/>
        </w:rPr>
        <w:t>la reclamación interpuesta</w:t>
      </w:r>
      <w:r w:rsidRPr="17DA1DF9">
        <w:rPr>
          <w:b/>
          <w:bCs/>
          <w:color w:val="000000" w:themeColor="text1"/>
          <w:sz w:val="22"/>
          <w:szCs w:val="22"/>
          <w:lang w:val="es-PE"/>
        </w:rPr>
        <w:t xml:space="preserve"> </w:t>
      </w:r>
      <w:r w:rsidRPr="17DA1DF9">
        <w:rPr>
          <w:color w:val="000000" w:themeColor="text1"/>
          <w:sz w:val="22"/>
          <w:szCs w:val="22"/>
          <w:lang w:val="es-PE"/>
        </w:rPr>
        <w:t>contra</w:t>
      </w:r>
      <w:r w:rsidRPr="17DA1DF9">
        <w:rPr>
          <w:b/>
          <w:bCs/>
          <w:color w:val="000000" w:themeColor="text1"/>
          <w:sz w:val="22"/>
          <w:szCs w:val="22"/>
          <w:lang w:val="es-PE"/>
        </w:rPr>
        <w:t xml:space="preserve"> ................................ </w:t>
      </w:r>
      <w:r w:rsidRPr="17DA1DF9">
        <w:rPr>
          <w:color w:val="000000" w:themeColor="text1"/>
          <w:sz w:val="22"/>
          <w:szCs w:val="22"/>
          <w:lang w:val="es-PE"/>
        </w:rPr>
        <w:t>Sin embargo, dado que las resoluciones emitidas por esta DEFENSORIA no son vinculantes para el asegurado, queda a salvo el derecho del reclamante de acudir a otras instancias que considere pertinente.</w:t>
      </w:r>
    </w:p>
    <w:p w14:paraId="471D94A4" w14:textId="77777777" w:rsidR="00910DA1" w:rsidRDefault="00910DA1" w:rsidP="17DA1DF9">
      <w:pPr>
        <w:jc w:val="both"/>
        <w:rPr>
          <w:color w:val="000000" w:themeColor="text1"/>
          <w:sz w:val="22"/>
          <w:szCs w:val="22"/>
        </w:rPr>
      </w:pPr>
    </w:p>
    <w:p w14:paraId="13C92611" w14:textId="35DC37FD" w:rsidR="578F46F2" w:rsidRDefault="578F46F2" w:rsidP="17DA1DF9">
      <w:pPr>
        <w:jc w:val="right"/>
        <w:rPr>
          <w:color w:val="000000" w:themeColor="text1"/>
          <w:sz w:val="22"/>
          <w:szCs w:val="22"/>
        </w:rPr>
      </w:pPr>
      <w:r w:rsidRPr="17DA1DF9">
        <w:rPr>
          <w:color w:val="000000" w:themeColor="text1"/>
          <w:sz w:val="22"/>
          <w:szCs w:val="22"/>
          <w:lang w:val="es-PE"/>
        </w:rPr>
        <w:t xml:space="preserve">Lima, 22 de julio de 2024 </w:t>
      </w:r>
    </w:p>
    <w:p w14:paraId="1BAC4607" w14:textId="0D1CE29F" w:rsidR="578F46F2" w:rsidRDefault="578F46F2" w:rsidP="17DA1DF9">
      <w:pPr>
        <w:jc w:val="both"/>
        <w:rPr>
          <w:color w:val="000000" w:themeColor="text1"/>
          <w:sz w:val="22"/>
          <w:szCs w:val="22"/>
        </w:rPr>
      </w:pPr>
      <w:r w:rsidRPr="17DA1DF9">
        <w:rPr>
          <w:b/>
          <w:bCs/>
          <w:i/>
          <w:iCs/>
          <w:color w:val="000000" w:themeColor="text1"/>
          <w:sz w:val="22"/>
          <w:szCs w:val="22"/>
          <w:lang w:val="es-PE"/>
        </w:rPr>
        <w:t>La Secretaría Técnica certifica que la presente resolución cuenta con el voto de los vocales cuyos nombres figuran en el presente documento.</w:t>
      </w:r>
    </w:p>
    <w:p w14:paraId="716442BA" w14:textId="48A64DD7" w:rsidR="17DA1DF9" w:rsidRDefault="17DA1DF9" w:rsidP="17DA1DF9">
      <w:pPr>
        <w:spacing w:line="360" w:lineRule="auto"/>
        <w:jc w:val="both"/>
        <w:rPr>
          <w:color w:val="000000" w:themeColor="text1"/>
          <w:sz w:val="22"/>
          <w:szCs w:val="22"/>
        </w:rPr>
      </w:pPr>
    </w:p>
    <w:p w14:paraId="47BE8DD0" w14:textId="26E421C8" w:rsidR="578F46F2" w:rsidRDefault="578F46F2" w:rsidP="17DA1DF9">
      <w:pPr>
        <w:spacing w:line="360" w:lineRule="auto"/>
        <w:jc w:val="center"/>
        <w:rPr>
          <w:color w:val="000000" w:themeColor="text1"/>
          <w:sz w:val="22"/>
          <w:szCs w:val="22"/>
        </w:rPr>
      </w:pPr>
      <w:r w:rsidRPr="17DA1DF9">
        <w:rPr>
          <w:b/>
          <w:bCs/>
          <w:color w:val="000000" w:themeColor="text1"/>
          <w:sz w:val="22"/>
          <w:szCs w:val="22"/>
          <w:lang w:val="es-PE"/>
        </w:rPr>
        <w:t xml:space="preserve">Omar Alfaro Villanueva – </w:t>
      </w:r>
      <w:proofErr w:type="gramStart"/>
      <w:r w:rsidRPr="17DA1DF9">
        <w:rPr>
          <w:b/>
          <w:bCs/>
          <w:color w:val="000000" w:themeColor="text1"/>
          <w:sz w:val="22"/>
          <w:szCs w:val="22"/>
          <w:lang w:val="es-PE"/>
        </w:rPr>
        <w:t>Presidente</w:t>
      </w:r>
      <w:proofErr w:type="gramEnd"/>
    </w:p>
    <w:p w14:paraId="419B6E29" w14:textId="23CBD95B" w:rsidR="578F46F2" w:rsidRDefault="578F46F2" w:rsidP="17DA1DF9">
      <w:pPr>
        <w:spacing w:line="360" w:lineRule="auto"/>
        <w:jc w:val="center"/>
        <w:rPr>
          <w:color w:val="000000" w:themeColor="text1"/>
          <w:sz w:val="22"/>
          <w:szCs w:val="22"/>
        </w:rPr>
      </w:pPr>
      <w:r w:rsidRPr="17DA1DF9">
        <w:rPr>
          <w:b/>
          <w:bCs/>
          <w:color w:val="000000" w:themeColor="text1"/>
          <w:sz w:val="22"/>
          <w:szCs w:val="22"/>
          <w:lang w:val="es-PE"/>
        </w:rPr>
        <w:t xml:space="preserve">María Eugenia Valdez Fernández Baca </w:t>
      </w:r>
      <w:proofErr w:type="gramStart"/>
      <w:r w:rsidRPr="17DA1DF9">
        <w:rPr>
          <w:b/>
          <w:bCs/>
          <w:color w:val="000000" w:themeColor="text1"/>
          <w:sz w:val="22"/>
          <w:szCs w:val="22"/>
          <w:lang w:val="es-PE"/>
        </w:rPr>
        <w:t>–  Vocal</w:t>
      </w:r>
      <w:proofErr w:type="gramEnd"/>
    </w:p>
    <w:p w14:paraId="0F93E11D" w14:textId="72C953AA" w:rsidR="578F46F2" w:rsidRDefault="578F46F2" w:rsidP="17DA1DF9">
      <w:pPr>
        <w:spacing w:line="360" w:lineRule="auto"/>
        <w:jc w:val="center"/>
        <w:rPr>
          <w:color w:val="000000" w:themeColor="text1"/>
          <w:sz w:val="22"/>
          <w:szCs w:val="22"/>
        </w:rPr>
      </w:pPr>
      <w:r w:rsidRPr="17DA1DF9">
        <w:rPr>
          <w:b/>
          <w:bCs/>
          <w:color w:val="000000" w:themeColor="text1"/>
          <w:sz w:val="22"/>
          <w:szCs w:val="22"/>
          <w:lang w:val="es-PE"/>
        </w:rPr>
        <w:t>Rolando Eyzaguirre Maccan – Vocal</w:t>
      </w:r>
    </w:p>
    <w:p w14:paraId="279A49BB" w14:textId="04291932" w:rsidR="578F46F2" w:rsidRDefault="578F46F2" w:rsidP="17DA1DF9">
      <w:pPr>
        <w:spacing w:line="360" w:lineRule="auto"/>
        <w:jc w:val="center"/>
        <w:rPr>
          <w:color w:val="000000" w:themeColor="text1"/>
          <w:sz w:val="22"/>
          <w:szCs w:val="22"/>
        </w:rPr>
      </w:pPr>
      <w:r w:rsidRPr="17DA1DF9">
        <w:rPr>
          <w:b/>
          <w:bCs/>
          <w:color w:val="000000" w:themeColor="text1"/>
          <w:sz w:val="22"/>
          <w:szCs w:val="22"/>
          <w:lang w:val="es-PE"/>
        </w:rPr>
        <w:t>Gonzalo Abad del Busto – Vocal</w:t>
      </w:r>
    </w:p>
    <w:p w14:paraId="0840D3FB" w14:textId="4045B2DC" w:rsidR="17DA1DF9" w:rsidRDefault="17DA1DF9" w:rsidP="17DA1DF9">
      <w:pPr>
        <w:spacing w:line="360" w:lineRule="auto"/>
        <w:jc w:val="center"/>
        <w:rPr>
          <w:color w:val="000000" w:themeColor="text1"/>
          <w:sz w:val="24"/>
          <w:szCs w:val="24"/>
        </w:rPr>
      </w:pPr>
    </w:p>
    <w:p w14:paraId="2E468D86" w14:textId="62C5832B" w:rsidR="17DA1DF9" w:rsidRDefault="17DA1DF9" w:rsidP="17DA1DF9">
      <w:pPr>
        <w:rPr>
          <w:sz w:val="24"/>
          <w:szCs w:val="24"/>
        </w:rPr>
        <w:sectPr w:rsidR="17DA1DF9">
          <w:headerReference w:type="default" r:id="rId8"/>
          <w:footerReference w:type="default" r:id="rId9"/>
          <w:pgSz w:w="11920" w:h="16840"/>
          <w:pgMar w:top="1820" w:right="1300" w:bottom="280" w:left="1320" w:header="720" w:footer="969" w:gutter="0"/>
          <w:pgNumType w:start="1"/>
          <w:cols w:space="720"/>
        </w:sectPr>
      </w:pPr>
    </w:p>
    <w:p w14:paraId="517B2E1D" w14:textId="77777777" w:rsidR="00671B0A" w:rsidRDefault="00671B0A" w:rsidP="17DA1DF9">
      <w:pPr>
        <w:spacing w:before="19" w:line="220" w:lineRule="exact"/>
        <w:rPr>
          <w:sz w:val="22"/>
          <w:szCs w:val="22"/>
        </w:rPr>
        <w:sectPr w:rsidR="00671B0A">
          <w:pgSz w:w="11920" w:h="16840"/>
          <w:pgMar w:top="1820" w:right="1300" w:bottom="280" w:left="1320" w:header="720" w:footer="969" w:gutter="0"/>
          <w:cols w:space="720"/>
        </w:sectPr>
      </w:pPr>
    </w:p>
    <w:p w14:paraId="3BA11975" w14:textId="77777777" w:rsidR="00671B0A" w:rsidRDefault="00671B0A" w:rsidP="17DA1DF9">
      <w:pPr>
        <w:spacing w:before="5" w:line="100" w:lineRule="exact"/>
        <w:rPr>
          <w:sz w:val="11"/>
          <w:szCs w:val="11"/>
        </w:rPr>
      </w:pPr>
    </w:p>
    <w:sectPr w:rsidR="00671B0A">
      <w:pgSz w:w="11920" w:h="16840"/>
      <w:pgMar w:top="1820" w:right="1300" w:bottom="280" w:left="1320" w:header="720" w:footer="9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549C4" w14:textId="77777777" w:rsidR="00B9049D" w:rsidRDefault="00B9049D">
      <w:r>
        <w:separator/>
      </w:r>
    </w:p>
  </w:endnote>
  <w:endnote w:type="continuationSeparator" w:id="0">
    <w:p w14:paraId="66AC5A44" w14:textId="77777777" w:rsidR="00B9049D" w:rsidRDefault="00B90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87C7" w14:textId="77777777" w:rsidR="00671B0A" w:rsidRDefault="00B9049D">
    <w:pPr>
      <w:spacing w:line="200" w:lineRule="exact"/>
    </w:pPr>
    <w:r>
      <w:pict w14:anchorId="066E488C">
        <v:shapetype id="_x0000_t202" coordsize="21600,21600" o:spt="202" path="m,l,21600r21600,l21600,xe">
          <v:stroke joinstyle="miter"/>
          <v:path gradientshapeok="t" o:connecttype="rect"/>
        </v:shapetype>
        <v:shape id="_x0000_s1025" type="#_x0000_t202" style="position:absolute;margin-left:474.75pt;margin-top:782.35pt;width:50.9pt;height:11pt;z-index:-251658240;mso-position-horizontal-relative:page;mso-position-vertical-relative:page" filled="f" stroked="f">
          <v:textbox inset="0,0,0,0">
            <w:txbxContent>
              <w:p w14:paraId="04F5851D" w14:textId="77777777" w:rsidR="00671B0A" w:rsidRDefault="00B9049D">
                <w:pPr>
                  <w:spacing w:line="200" w:lineRule="exact"/>
                  <w:ind w:left="20" w:right="-27"/>
                  <w:rPr>
                    <w:sz w:val="18"/>
                    <w:szCs w:val="18"/>
                  </w:rPr>
                </w:pPr>
                <w:r>
                  <w:rPr>
                    <w:sz w:val="18"/>
                    <w:szCs w:val="18"/>
                  </w:rPr>
                  <w:t>Pá</w:t>
                </w:r>
                <w:r>
                  <w:rPr>
                    <w:spacing w:val="2"/>
                    <w:sz w:val="18"/>
                    <w:szCs w:val="18"/>
                  </w:rPr>
                  <w:t>gi</w:t>
                </w:r>
                <w:r>
                  <w:rPr>
                    <w:spacing w:val="-2"/>
                    <w:sz w:val="18"/>
                    <w:szCs w:val="18"/>
                  </w:rPr>
                  <w:t>n</w:t>
                </w:r>
                <w:r>
                  <w:rPr>
                    <w:sz w:val="18"/>
                    <w:szCs w:val="18"/>
                  </w:rPr>
                  <w:t xml:space="preserve">a </w:t>
                </w:r>
                <w:r>
                  <w:fldChar w:fldCharType="begin"/>
                </w:r>
                <w:r>
                  <w:rPr>
                    <w:b/>
                    <w:sz w:val="18"/>
                    <w:szCs w:val="18"/>
                  </w:rPr>
                  <w:instrText xml:space="preserve"> PAGE </w:instrText>
                </w:r>
                <w:r>
                  <w:fldChar w:fldCharType="separate"/>
                </w:r>
                <w:r>
                  <w:t>1</w:t>
                </w:r>
                <w:r>
                  <w:fldChar w:fldCharType="end"/>
                </w:r>
                <w:r>
                  <w:rPr>
                    <w:b/>
                    <w:spacing w:val="1"/>
                    <w:sz w:val="18"/>
                    <w:szCs w:val="18"/>
                  </w:rPr>
                  <w:t xml:space="preserve"> </w:t>
                </w:r>
                <w:r>
                  <w:rPr>
                    <w:spacing w:val="2"/>
                    <w:sz w:val="18"/>
                    <w:szCs w:val="18"/>
                  </w:rPr>
                  <w:t>d</w:t>
                </w:r>
                <w:r>
                  <w:rPr>
                    <w:sz w:val="18"/>
                    <w:szCs w:val="18"/>
                  </w:rPr>
                  <w:t xml:space="preserve">e </w:t>
                </w:r>
                <w:r>
                  <w:rPr>
                    <w:b/>
                    <w:sz w:val="18"/>
                    <w:szCs w:val="18"/>
                  </w:rPr>
                  <w:t>3</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67E8D" w14:textId="77777777" w:rsidR="00B9049D" w:rsidRDefault="00B9049D">
      <w:r>
        <w:separator/>
      </w:r>
    </w:p>
  </w:footnote>
  <w:footnote w:type="continuationSeparator" w:id="0">
    <w:p w14:paraId="3DFA77A9" w14:textId="77777777" w:rsidR="00B9049D" w:rsidRDefault="00B90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D779" w14:textId="77777777" w:rsidR="00671B0A" w:rsidRDefault="00B9049D">
    <w:pPr>
      <w:spacing w:line="200" w:lineRule="exact"/>
    </w:pPr>
    <w:r>
      <w:pict w14:anchorId="6A52F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1pt;margin-top:36pt;width:164.9pt;height:55.85pt;z-index:-251659264;mso-position-horizontal-relative:page;mso-position-vertical-relative:page">
          <v:imagedata r:id="rId1" o:title=""/>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708CE"/>
    <w:multiLevelType w:val="multilevel"/>
    <w:tmpl w:val="FBB4C652"/>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6B234956"/>
    <w:multiLevelType w:val="hybridMultilevel"/>
    <w:tmpl w:val="F600FC88"/>
    <w:lvl w:ilvl="0" w:tplc="AA7602DE">
      <w:start w:val="1"/>
      <w:numFmt w:val="decimal"/>
      <w:lvlText w:val="%1)"/>
      <w:lvlJc w:val="left"/>
      <w:pPr>
        <w:ind w:left="720" w:hanging="360"/>
      </w:pPr>
      <w:rPr>
        <w:rFonts w:ascii="Times New Roman" w:hAnsi="Times New Roman" w:hint="default"/>
      </w:rPr>
    </w:lvl>
    <w:lvl w:ilvl="1" w:tplc="444EB796">
      <w:start w:val="1"/>
      <w:numFmt w:val="lowerLetter"/>
      <w:lvlText w:val="%2."/>
      <w:lvlJc w:val="left"/>
      <w:pPr>
        <w:ind w:left="1440" w:hanging="360"/>
      </w:pPr>
    </w:lvl>
    <w:lvl w:ilvl="2" w:tplc="81EEF92C">
      <w:start w:val="1"/>
      <w:numFmt w:val="lowerRoman"/>
      <w:lvlText w:val="%3."/>
      <w:lvlJc w:val="right"/>
      <w:pPr>
        <w:ind w:left="2160" w:hanging="180"/>
      </w:pPr>
    </w:lvl>
    <w:lvl w:ilvl="3" w:tplc="8EA6E19E">
      <w:start w:val="1"/>
      <w:numFmt w:val="decimal"/>
      <w:lvlText w:val="%4."/>
      <w:lvlJc w:val="left"/>
      <w:pPr>
        <w:ind w:left="2880" w:hanging="360"/>
      </w:pPr>
    </w:lvl>
    <w:lvl w:ilvl="4" w:tplc="2D9C111A">
      <w:start w:val="1"/>
      <w:numFmt w:val="lowerLetter"/>
      <w:lvlText w:val="%5."/>
      <w:lvlJc w:val="left"/>
      <w:pPr>
        <w:ind w:left="3600" w:hanging="360"/>
      </w:pPr>
    </w:lvl>
    <w:lvl w:ilvl="5" w:tplc="6062EA90">
      <w:start w:val="1"/>
      <w:numFmt w:val="lowerRoman"/>
      <w:lvlText w:val="%6."/>
      <w:lvlJc w:val="right"/>
      <w:pPr>
        <w:ind w:left="4320" w:hanging="180"/>
      </w:pPr>
    </w:lvl>
    <w:lvl w:ilvl="6" w:tplc="5DEE10A0">
      <w:start w:val="1"/>
      <w:numFmt w:val="decimal"/>
      <w:lvlText w:val="%7."/>
      <w:lvlJc w:val="left"/>
      <w:pPr>
        <w:ind w:left="5040" w:hanging="360"/>
      </w:pPr>
    </w:lvl>
    <w:lvl w:ilvl="7" w:tplc="3C1C7C0A">
      <w:start w:val="1"/>
      <w:numFmt w:val="lowerLetter"/>
      <w:lvlText w:val="%8."/>
      <w:lvlJc w:val="left"/>
      <w:pPr>
        <w:ind w:left="5760" w:hanging="360"/>
      </w:pPr>
    </w:lvl>
    <w:lvl w:ilvl="8" w:tplc="046C1C0E">
      <w:start w:val="1"/>
      <w:numFmt w:val="lowerRoman"/>
      <w:lvlText w:val="%9."/>
      <w:lvlJc w:val="right"/>
      <w:pPr>
        <w:ind w:left="6480" w:hanging="180"/>
      </w:pPr>
    </w:lvl>
  </w:abstractNum>
  <w:num w:numId="1" w16cid:durableId="1318463452">
    <w:abstractNumId w:val="1"/>
  </w:num>
  <w:num w:numId="2" w16cid:durableId="1566380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5CF1FAE"/>
    <w:rsid w:val="004F209A"/>
    <w:rsid w:val="00671B0A"/>
    <w:rsid w:val="006945FA"/>
    <w:rsid w:val="00910DA1"/>
    <w:rsid w:val="00B9049D"/>
    <w:rsid w:val="00D169C4"/>
    <w:rsid w:val="05CF1FAE"/>
    <w:rsid w:val="17DA1DF9"/>
    <w:rsid w:val="56D14875"/>
    <w:rsid w:val="578F46F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8F79E"/>
  <w15:docId w15:val="{70A33D71-A1F8-4E1A-8369-56ACF1002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Ttulo1">
    <w:name w:val="heading 1"/>
    <w:basedOn w:val="Normal"/>
    <w:next w:val="Normal"/>
    <w:link w:val="Ttulo1Car"/>
    <w:uiPriority w:val="9"/>
    <w:qFormat/>
    <w:rsid w:val="001B3490"/>
    <w:pPr>
      <w:keepNext/>
      <w:numPr>
        <w:numId w:val="2"/>
      </w:numPr>
      <w:spacing w:before="240" w:after="6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2"/>
      </w:numPr>
      <w:spacing w:before="240" w:after="6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2"/>
      </w:numPr>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2"/>
      </w:numPr>
      <w:spacing w:before="240" w:after="6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2"/>
      </w:numPr>
      <w:spacing w:before="240" w:after="6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B3490"/>
    <w:pPr>
      <w:numPr>
        <w:ilvl w:val="5"/>
        <w:numId w:val="2"/>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2"/>
      </w:numPr>
      <w:spacing w:before="240" w:after="6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B3490"/>
    <w:pPr>
      <w:numPr>
        <w:ilvl w:val="7"/>
        <w:numId w:val="2"/>
      </w:numPr>
      <w:spacing w:before="240" w:after="6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2"/>
      </w:numPr>
      <w:spacing w:before="240" w:after="6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3490"/>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semiHidden/>
    <w:rsid w:val="001B3490"/>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1B3490"/>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1B3490"/>
    <w:rPr>
      <w:rFonts w:asciiTheme="minorHAnsi" w:eastAsiaTheme="minorEastAsia" w:hAnsiTheme="minorHAnsi" w:cstheme="minorBidi"/>
      <w:b/>
      <w:bCs/>
      <w:sz w:val="28"/>
      <w:szCs w:val="28"/>
    </w:rPr>
  </w:style>
  <w:style w:type="character" w:customStyle="1" w:styleId="Ttulo5Car">
    <w:name w:val="Título 5 Car"/>
    <w:basedOn w:val="Fuentedeprrafopredeter"/>
    <w:link w:val="Ttulo5"/>
    <w:uiPriority w:val="9"/>
    <w:semiHidden/>
    <w:rsid w:val="001B3490"/>
    <w:rPr>
      <w:rFonts w:asciiTheme="minorHAnsi" w:eastAsiaTheme="minorEastAsia" w:hAnsiTheme="minorHAnsi" w:cstheme="minorBidi"/>
      <w:b/>
      <w:bCs/>
      <w:i/>
      <w:iCs/>
      <w:sz w:val="26"/>
      <w:szCs w:val="26"/>
    </w:rPr>
  </w:style>
  <w:style w:type="character" w:customStyle="1" w:styleId="Ttulo6Car">
    <w:name w:val="Título 6 Car"/>
    <w:basedOn w:val="Fuentedeprrafopredeter"/>
    <w:link w:val="Ttulo6"/>
    <w:rsid w:val="001B3490"/>
    <w:rPr>
      <w:b/>
      <w:bCs/>
      <w:sz w:val="22"/>
      <w:szCs w:val="22"/>
    </w:rPr>
  </w:style>
  <w:style w:type="character" w:customStyle="1" w:styleId="Ttulo7Car">
    <w:name w:val="Título 7 Car"/>
    <w:basedOn w:val="Fuentedeprrafopredeter"/>
    <w:link w:val="Ttulo7"/>
    <w:uiPriority w:val="9"/>
    <w:semiHidden/>
    <w:rsid w:val="001B3490"/>
    <w:rPr>
      <w:rFonts w:asciiTheme="minorHAnsi" w:eastAsiaTheme="minorEastAsia" w:hAnsiTheme="minorHAnsi" w:cstheme="minorBidi"/>
      <w:sz w:val="24"/>
      <w:szCs w:val="24"/>
    </w:rPr>
  </w:style>
  <w:style w:type="character" w:customStyle="1" w:styleId="Ttulo8Car">
    <w:name w:val="Título 8 Car"/>
    <w:basedOn w:val="Fuentedeprrafopredeter"/>
    <w:link w:val="Ttulo8"/>
    <w:uiPriority w:val="9"/>
    <w:semiHidden/>
    <w:rsid w:val="001B3490"/>
    <w:rPr>
      <w:rFonts w:asciiTheme="minorHAnsi" w:eastAsiaTheme="minorEastAsia" w:hAnsiTheme="minorHAnsi" w:cstheme="minorBidi"/>
      <w:i/>
      <w:iCs/>
      <w:sz w:val="24"/>
      <w:szCs w:val="24"/>
    </w:rPr>
  </w:style>
  <w:style w:type="character" w:customStyle="1" w:styleId="Ttulo9Car">
    <w:name w:val="Título 9 Car"/>
    <w:basedOn w:val="Fuentedeprrafopredeter"/>
    <w:link w:val="Ttulo9"/>
    <w:uiPriority w:val="9"/>
    <w:semiHidden/>
    <w:rsid w:val="001B3490"/>
    <w:rPr>
      <w:rFonts w:asciiTheme="majorHAnsi" w:eastAsiaTheme="majorEastAsia" w:hAnsiTheme="majorHAnsi" w:cstheme="majorBidi"/>
      <w:sz w:val="22"/>
      <w:szCs w:val="22"/>
    </w:rPr>
  </w:style>
  <w:style w:type="paragraph" w:styleId="Prrafodelista">
    <w:name w:val="List Paragraph"/>
    <w:basedOn w:val="Normal"/>
    <w:uiPriority w:val="34"/>
    <w:qFormat/>
    <w:rsid w:val="17DA1DF9"/>
    <w:pPr>
      <w:ind w:left="720"/>
      <w:contextualSpacing/>
    </w:pPr>
  </w:style>
  <w:style w:type="character" w:styleId="Hipervnculo">
    <w:name w:val="Hyperlink"/>
    <w:basedOn w:val="Fuentedeprrafopredeter"/>
    <w:uiPriority w:val="99"/>
    <w:unhideWhenUsed/>
    <w:rsid w:val="17DA1D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BACC78-6A00-4333-883E-FFDD43421E70}"/>
</file>

<file path=customXml/itemProps2.xml><?xml version="1.0" encoding="utf-8"?>
<ds:datastoreItem xmlns:ds="http://schemas.openxmlformats.org/officeDocument/2006/customXml" ds:itemID="{BC521E45-AAD4-43FE-928D-874447BBE5E6}"/>
</file>

<file path=customXml/itemProps3.xml><?xml version="1.0" encoding="utf-8"?>
<ds:datastoreItem xmlns:ds="http://schemas.openxmlformats.org/officeDocument/2006/customXml" ds:itemID="{1D443249-6FB1-46D3-A599-746036080803}"/>
</file>

<file path=docProps/app.xml><?xml version="1.0" encoding="utf-8"?>
<Properties xmlns="http://schemas.openxmlformats.org/officeDocument/2006/extended-properties" xmlns:vt="http://schemas.openxmlformats.org/officeDocument/2006/docPropsVTypes">
  <Template>Normal</Template>
  <TotalTime>1</TotalTime>
  <Pages>4</Pages>
  <Words>931</Words>
  <Characters>5124</Characters>
  <Application>Microsoft Office Word</Application>
  <DocSecurity>0</DocSecurity>
  <Lines>42</Lines>
  <Paragraphs>12</Paragraphs>
  <ScaleCrop>false</ScaleCrop>
  <Company/>
  <LinksUpToDate>false</LinksUpToDate>
  <CharactersWithSpaces>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Alicia Martín</cp:lastModifiedBy>
  <cp:revision>3</cp:revision>
  <dcterms:created xsi:type="dcterms:W3CDTF">2026-09-02T20:28:00Z</dcterms:created>
  <dcterms:modified xsi:type="dcterms:W3CDTF">2026-09-02T20:29:00Z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