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E6DEF" w:rsidR="00FE1289" w:rsidP="00E56987" w:rsidRDefault="00201C0D" w14:paraId="3D582288" w14:textId="4A5F3C78">
      <w:pPr>
        <w:spacing w:after="0" w:line="240" w:lineRule="auto"/>
        <w:jc w:val="center"/>
        <w:rPr>
          <w:rFonts w:ascii="Times New Roman" w:hAnsi="Times New Roman" w:cs="Times New Roman"/>
          <w:b/>
          <w:sz w:val="24"/>
          <w:szCs w:val="24"/>
          <w:lang w:val="es-PE" w:eastAsia="ar-SA"/>
        </w:rPr>
      </w:pPr>
      <w:r w:rsidRPr="00BE6DEF">
        <w:rPr>
          <w:rFonts w:ascii="Times New Roman" w:hAnsi="Times New Roman" w:cs="Times New Roman"/>
          <w:b/>
          <w:sz w:val="24"/>
          <w:szCs w:val="24"/>
          <w:lang w:val="es-PE" w:eastAsia="ar-SA"/>
        </w:rPr>
        <w:t xml:space="preserve">RESOLUCIÓN DE RECURSO IMPUGNATIVO </w:t>
      </w:r>
      <w:proofErr w:type="spellStart"/>
      <w:r w:rsidRPr="00BE6DEF" w:rsidR="00707C99">
        <w:rPr>
          <w:rFonts w:ascii="Times New Roman" w:hAnsi="Times New Roman" w:cs="Times New Roman"/>
          <w:b/>
          <w:sz w:val="24"/>
          <w:szCs w:val="24"/>
          <w:lang w:val="es-PE" w:eastAsia="ar-SA"/>
        </w:rPr>
        <w:t>N°</w:t>
      </w:r>
      <w:proofErr w:type="spellEnd"/>
      <w:r w:rsidRPr="00BE6DEF" w:rsidR="00707C99">
        <w:rPr>
          <w:rFonts w:ascii="Times New Roman" w:hAnsi="Times New Roman" w:cs="Times New Roman"/>
          <w:b/>
          <w:sz w:val="24"/>
          <w:szCs w:val="24"/>
          <w:lang w:val="es-PE" w:eastAsia="ar-SA"/>
        </w:rPr>
        <w:t xml:space="preserve"> </w:t>
      </w:r>
      <w:r w:rsidRPr="00BE6DEF" w:rsidR="00516293">
        <w:rPr>
          <w:rFonts w:ascii="Times New Roman" w:hAnsi="Times New Roman" w:cs="Times New Roman"/>
          <w:b/>
          <w:sz w:val="24"/>
          <w:szCs w:val="24"/>
          <w:lang w:val="es-PE" w:eastAsia="ar-SA"/>
        </w:rPr>
        <w:t>0</w:t>
      </w:r>
      <w:r w:rsidRPr="00BE6DEF" w:rsidR="004045DC">
        <w:rPr>
          <w:rFonts w:ascii="Times New Roman" w:hAnsi="Times New Roman" w:cs="Times New Roman"/>
          <w:b/>
          <w:sz w:val="24"/>
          <w:szCs w:val="24"/>
          <w:lang w:val="es-PE" w:eastAsia="ar-SA"/>
        </w:rPr>
        <w:t>3</w:t>
      </w:r>
      <w:r w:rsidR="006266F4">
        <w:rPr>
          <w:rFonts w:ascii="Times New Roman" w:hAnsi="Times New Roman" w:cs="Times New Roman"/>
          <w:b/>
          <w:sz w:val="24"/>
          <w:szCs w:val="24"/>
          <w:lang w:val="es-PE" w:eastAsia="ar-SA"/>
        </w:rPr>
        <w:t>5</w:t>
      </w:r>
      <w:r w:rsidRPr="00BE6DEF" w:rsidR="00C671F5">
        <w:rPr>
          <w:rFonts w:ascii="Times New Roman" w:hAnsi="Times New Roman" w:cs="Times New Roman"/>
          <w:b/>
          <w:sz w:val="24"/>
          <w:szCs w:val="24"/>
          <w:lang w:val="es-PE" w:eastAsia="ar-SA"/>
        </w:rPr>
        <w:t>/2</w:t>
      </w:r>
      <w:r w:rsidRPr="00BE6DEF" w:rsidR="00543015">
        <w:rPr>
          <w:rFonts w:ascii="Times New Roman" w:hAnsi="Times New Roman" w:cs="Times New Roman"/>
          <w:b/>
          <w:sz w:val="24"/>
          <w:szCs w:val="24"/>
          <w:lang w:val="es-PE" w:eastAsia="ar-SA"/>
        </w:rPr>
        <w:t>4</w:t>
      </w:r>
    </w:p>
    <w:p w:rsidRPr="00BE6DEF" w:rsidR="00E56987" w:rsidP="00E56987" w:rsidRDefault="00E56987" w14:paraId="0E3BB290" w14:textId="77777777">
      <w:pPr>
        <w:spacing w:after="0" w:line="240" w:lineRule="auto"/>
        <w:jc w:val="center"/>
        <w:rPr>
          <w:rFonts w:ascii="Times New Roman" w:hAnsi="Times New Roman" w:cs="Times New Roman"/>
          <w:b/>
          <w:sz w:val="24"/>
          <w:szCs w:val="24"/>
          <w:lang w:val="es-PE" w:eastAsia="ar-SA"/>
        </w:rPr>
      </w:pPr>
    </w:p>
    <w:p w:rsidRPr="00A84003" w:rsidR="00A84003" w:rsidP="00A84003" w:rsidRDefault="00A84003" w14:paraId="74C2D17F" w14:textId="77777777">
      <w:pPr>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
          <w:bCs/>
          <w:sz w:val="24"/>
          <w:szCs w:val="24"/>
          <w:lang w:val="es-PE" w:eastAsia="ar-SA"/>
        </w:rPr>
        <w:t xml:space="preserve">Vistos: </w:t>
      </w:r>
    </w:p>
    <w:p w:rsidRPr="00A84003" w:rsidR="00A84003" w:rsidP="4C3F3272" w:rsidRDefault="00A84003" w14:paraId="25725053" w14:textId="5A69D72F">
      <w:pPr>
        <w:jc w:val="both"/>
        <w:rPr>
          <w:rFonts w:ascii="Times New Roman" w:hAnsi="Times New Roman" w:eastAsia="Arial Unicode MS" w:cs="Times New Roman"/>
          <w:sz w:val="24"/>
          <w:szCs w:val="24"/>
          <w:lang w:val="es-PE" w:eastAsia="ar-SA"/>
        </w:rPr>
      </w:pPr>
      <w:r w:rsidRPr="4C3F3272" w:rsidR="00A84003">
        <w:rPr>
          <w:rFonts w:ascii="Times New Roman" w:hAnsi="Times New Roman" w:eastAsia="Arial Unicode MS" w:cs="Times New Roman"/>
          <w:sz w:val="24"/>
          <w:szCs w:val="24"/>
          <w:lang w:val="es-PE" w:eastAsia="ar-SA"/>
        </w:rPr>
        <w:t>El recurso de impugnación presentado el 18 de mayo de 2024 por doña</w:t>
      </w:r>
      <w:r w:rsidRPr="4C3F3272" w:rsidR="00A84003">
        <w:rPr>
          <w:rFonts w:ascii="Times New Roman" w:hAnsi="Times New Roman" w:eastAsia="Arial Unicode MS" w:cs="Times New Roman"/>
          <w:b w:val="1"/>
          <w:bCs w:val="1"/>
          <w:sz w:val="24"/>
          <w:szCs w:val="24"/>
          <w:lang w:val="es-PE" w:eastAsia="ar-SA"/>
        </w:rPr>
        <w:t xml:space="preserve"> </w:t>
      </w:r>
      <w:r w:rsidRPr="4C3F3272" w:rsidR="3942AFFA">
        <w:rPr>
          <w:rFonts w:ascii="Times New Roman" w:hAnsi="Times New Roman" w:eastAsia="Arial Unicode MS" w:cs="Times New Roman"/>
          <w:b w:val="1"/>
          <w:bCs w:val="1"/>
          <w:sz w:val="24"/>
          <w:szCs w:val="24"/>
          <w:lang w:val="es-PE" w:eastAsia="ar-SA"/>
        </w:rPr>
        <w:t>......................................................</w:t>
      </w:r>
      <w:r w:rsidRPr="4C3F3272" w:rsidR="00A84003">
        <w:rPr>
          <w:rFonts w:ascii="Times New Roman" w:hAnsi="Times New Roman" w:eastAsia="Arial Unicode MS" w:cs="Times New Roman"/>
          <w:b w:val="1"/>
          <w:bCs w:val="1"/>
          <w:sz w:val="24"/>
          <w:szCs w:val="24"/>
          <w:lang w:val="es-PE" w:eastAsia="ar-SA"/>
        </w:rPr>
        <w:t xml:space="preserve"> </w:t>
      </w:r>
      <w:r w:rsidRPr="4C3F3272" w:rsidR="00A84003">
        <w:rPr>
          <w:rFonts w:ascii="Times New Roman" w:hAnsi="Times New Roman" w:eastAsia="Arial Unicode MS" w:cs="Times New Roman"/>
          <w:sz w:val="24"/>
          <w:szCs w:val="24"/>
          <w:lang w:val="es-PE" w:eastAsia="ar-SA"/>
        </w:rPr>
        <w:t xml:space="preserve">(en adelante, la reclamante) respecto de la Resolución Nro. 074/24 (en adelante, la Resolución), notificada el 29 de abril de 2024, emitida por esta Defensoría del Asegurado (DEFASEG), que declaró </w:t>
      </w:r>
      <w:r w:rsidRPr="4C3F3272" w:rsidR="00A84003">
        <w:rPr>
          <w:rFonts w:ascii="Times New Roman" w:hAnsi="Times New Roman" w:eastAsia="Arial Unicode MS" w:cs="Times New Roman"/>
          <w:b w:val="1"/>
          <w:bCs w:val="1"/>
          <w:sz w:val="24"/>
          <w:szCs w:val="24"/>
          <w:lang w:val="es-PE" w:eastAsia="ar-SA"/>
        </w:rPr>
        <w:t>FUNDADA EN PARTE</w:t>
      </w:r>
      <w:r w:rsidRPr="4C3F3272" w:rsidR="00A84003">
        <w:rPr>
          <w:rFonts w:ascii="Times New Roman" w:hAnsi="Times New Roman" w:eastAsia="Arial Unicode MS" w:cs="Times New Roman"/>
          <w:sz w:val="24"/>
          <w:szCs w:val="24"/>
          <w:lang w:val="es-PE" w:eastAsia="ar-SA"/>
        </w:rPr>
        <w:t xml:space="preserve"> la reclamación interpuesta por la reclamante en contra de </w:t>
      </w:r>
      <w:r w:rsidRPr="4C3F3272" w:rsidR="762CA11C">
        <w:rPr>
          <w:rFonts w:ascii="Times New Roman" w:hAnsi="Times New Roman" w:eastAsia="Arial Unicode MS" w:cs="Times New Roman"/>
          <w:b w:val="1"/>
          <w:bCs w:val="1"/>
          <w:sz w:val="24"/>
          <w:szCs w:val="24"/>
          <w:lang w:val="es-PE" w:eastAsia="ar-SA"/>
        </w:rPr>
        <w:t>......................................................</w:t>
      </w:r>
      <w:r w:rsidRPr="4C3F3272" w:rsidR="00A84003">
        <w:rPr>
          <w:rFonts w:ascii="Times New Roman" w:hAnsi="Times New Roman" w:eastAsia="Arial Unicode MS" w:cs="Times New Roman"/>
          <w:b w:val="1"/>
          <w:bCs w:val="1"/>
          <w:sz w:val="24"/>
          <w:szCs w:val="24"/>
          <w:lang w:val="es-PE" w:eastAsia="ar-SA"/>
        </w:rPr>
        <w:t xml:space="preserve"> </w:t>
      </w:r>
      <w:r w:rsidRPr="4C3F3272" w:rsidR="00A84003">
        <w:rPr>
          <w:rFonts w:ascii="Times New Roman" w:hAnsi="Times New Roman" w:eastAsia="Arial Unicode MS" w:cs="Times New Roman"/>
          <w:sz w:val="24"/>
          <w:szCs w:val="24"/>
          <w:lang w:val="es-PE" w:eastAsia="ar-SA"/>
        </w:rPr>
        <w:t xml:space="preserve">(en adelante, la aseguradora), a fin de que se apruebe su solicitud de cobertura por concepto del Seguro Hogar / </w:t>
      </w:r>
      <w:r w:rsidRPr="4C3F3272" w:rsidR="00A84003">
        <w:rPr>
          <w:rFonts w:ascii="Times New Roman" w:hAnsi="Times New Roman" w:eastAsia="Arial Unicode MS" w:cs="Times New Roman"/>
          <w:sz w:val="24"/>
          <w:szCs w:val="24"/>
          <w:lang w:val="es-PE" w:eastAsia="ar-SA"/>
        </w:rPr>
        <w:t>N°</w:t>
      </w:r>
      <w:r w:rsidRPr="4C3F3272" w:rsidR="00A84003">
        <w:rPr>
          <w:rFonts w:ascii="Times New Roman" w:hAnsi="Times New Roman" w:eastAsia="Arial Unicode MS" w:cs="Times New Roman"/>
          <w:sz w:val="24"/>
          <w:szCs w:val="24"/>
          <w:lang w:val="es-PE" w:eastAsia="ar-SA"/>
        </w:rPr>
        <w:t xml:space="preserve"> </w:t>
      </w:r>
      <w:r w:rsidRPr="4C3F3272" w:rsidR="12C69CB6">
        <w:rPr>
          <w:rFonts w:ascii="Times New Roman" w:hAnsi="Times New Roman" w:eastAsia="Arial Unicode MS" w:cs="Times New Roman"/>
          <w:sz w:val="24"/>
          <w:szCs w:val="24"/>
          <w:lang w:val="es-PE" w:eastAsia="ar-SA"/>
        </w:rPr>
        <w:t>...........................</w:t>
      </w:r>
      <w:r w:rsidRPr="4C3F3272" w:rsidR="00A84003">
        <w:rPr>
          <w:rFonts w:ascii="Times New Roman" w:hAnsi="Times New Roman" w:eastAsia="Arial Unicode MS" w:cs="Times New Roman"/>
          <w:sz w:val="24"/>
          <w:szCs w:val="24"/>
          <w:lang w:val="es-PE" w:eastAsia="ar-SA"/>
        </w:rPr>
        <w:t xml:space="preserve"> (en adelante, la póliza).</w:t>
      </w:r>
    </w:p>
    <w:p w:rsidRPr="00A84003" w:rsidR="00A84003" w:rsidP="4C3F3272" w:rsidRDefault="00A84003" w14:paraId="2DF84EBE" w14:textId="50AB93F7">
      <w:pPr>
        <w:jc w:val="both"/>
        <w:rPr>
          <w:rFonts w:ascii="Times New Roman" w:hAnsi="Times New Roman" w:eastAsia="Arial Unicode MS" w:cs="Times New Roman"/>
          <w:sz w:val="24"/>
          <w:szCs w:val="24"/>
          <w:lang w:val="es-PE" w:eastAsia="ar-SA"/>
        </w:rPr>
      </w:pPr>
      <w:r w:rsidRPr="4C3F3272" w:rsidR="00A84003">
        <w:rPr>
          <w:rFonts w:ascii="Times New Roman" w:hAnsi="Times New Roman" w:eastAsia="Arial Unicode MS" w:cs="Times New Roman"/>
          <w:sz w:val="24"/>
          <w:szCs w:val="24"/>
          <w:lang w:val="es-PE" w:eastAsia="ar-SA"/>
        </w:rPr>
        <w:t xml:space="preserve">Que el señalado Recurso Impugnativo se fundamenta resumidamente en lo siguiente: 1) presentó su rechazo expreso a la </w:t>
      </w:r>
      <w:r w:rsidRPr="4C3F3272" w:rsidR="00A84003">
        <w:rPr>
          <w:rFonts w:ascii="Times New Roman" w:hAnsi="Times New Roman" w:eastAsia="Arial Unicode MS" w:cs="Times New Roman"/>
          <w:sz w:val="24"/>
          <w:szCs w:val="24"/>
          <w:lang w:val="es-PE" w:eastAsia="ar-SA"/>
        </w:rPr>
        <w:t>pre liquidación</w:t>
      </w:r>
      <w:r w:rsidRPr="4C3F3272" w:rsidR="00A84003">
        <w:rPr>
          <w:rFonts w:ascii="Times New Roman" w:hAnsi="Times New Roman" w:eastAsia="Arial Unicode MS" w:cs="Times New Roman"/>
          <w:sz w:val="24"/>
          <w:szCs w:val="24"/>
          <w:lang w:val="es-PE" w:eastAsia="ar-SA"/>
        </w:rPr>
        <w:t xml:space="preserve"> del 17 de octubre del 2023, mediante correo electrónico de fecha 18 de octubre del 2023, dirigido a la ajustadora </w:t>
      </w:r>
      <w:r w:rsidRPr="4C3F3272" w:rsidR="3A22EF75">
        <w:rPr>
          <w:rFonts w:ascii="Times New Roman" w:hAnsi="Times New Roman" w:eastAsia="Arial Unicode MS" w:cs="Times New Roman"/>
          <w:sz w:val="24"/>
          <w:szCs w:val="24"/>
          <w:lang w:val="es-PE" w:eastAsia="ar-SA"/>
        </w:rPr>
        <w:t>...........................</w:t>
      </w:r>
      <w:r w:rsidRPr="4C3F3272" w:rsidR="00A84003">
        <w:rPr>
          <w:rFonts w:ascii="Times New Roman" w:hAnsi="Times New Roman" w:eastAsia="Arial Unicode MS" w:cs="Times New Roman"/>
          <w:sz w:val="24"/>
          <w:szCs w:val="24"/>
          <w:lang w:val="es-PE" w:eastAsia="ar-SA"/>
        </w:rPr>
        <w:t xml:space="preserve">, </w:t>
      </w:r>
      <w:r w:rsidRPr="4C3F3272" w:rsidR="00A84003">
        <w:rPr>
          <w:rFonts w:ascii="Times New Roman" w:hAnsi="Times New Roman" w:eastAsia="Arial Unicode MS" w:cs="Times New Roman"/>
          <w:sz w:val="24"/>
          <w:szCs w:val="24"/>
          <w:lang w:val="es-PE" w:eastAsia="ar-SA"/>
        </w:rPr>
        <w:t>al  ajustador</w:t>
      </w:r>
      <w:r w:rsidRPr="4C3F3272" w:rsidR="00A84003">
        <w:rPr>
          <w:rFonts w:ascii="Times New Roman" w:hAnsi="Times New Roman" w:eastAsia="Arial Unicode MS" w:cs="Times New Roman"/>
          <w:sz w:val="24"/>
          <w:szCs w:val="24"/>
          <w:lang w:val="es-PE" w:eastAsia="ar-SA"/>
        </w:rPr>
        <w:t xml:space="preserve"> </w:t>
      </w:r>
      <w:r w:rsidRPr="4C3F3272" w:rsidR="714507ED">
        <w:rPr>
          <w:rFonts w:ascii="Times New Roman" w:hAnsi="Times New Roman" w:eastAsia="Arial Unicode MS" w:cs="Times New Roman"/>
          <w:sz w:val="24"/>
          <w:szCs w:val="24"/>
          <w:lang w:val="es-PE" w:eastAsia="ar-SA"/>
        </w:rPr>
        <w:t>...........................</w:t>
      </w:r>
      <w:r w:rsidRPr="4C3F3272" w:rsidR="00A84003">
        <w:rPr>
          <w:rFonts w:ascii="Times New Roman" w:hAnsi="Times New Roman" w:eastAsia="Arial Unicode MS" w:cs="Times New Roman"/>
          <w:sz w:val="24"/>
          <w:szCs w:val="24"/>
          <w:lang w:val="es-PE" w:eastAsia="ar-SA"/>
        </w:rPr>
        <w:t xml:space="preserve"> ambos de RTS Grupo, a </w:t>
      </w:r>
      <w:r w:rsidRPr="4C3F3272" w:rsidR="63080572">
        <w:rPr>
          <w:rFonts w:ascii="Times New Roman" w:hAnsi="Times New Roman" w:eastAsia="Arial Unicode MS" w:cs="Times New Roman"/>
          <w:sz w:val="24"/>
          <w:szCs w:val="24"/>
          <w:lang w:val="es-PE" w:eastAsia="ar-SA"/>
        </w:rPr>
        <w:t>...........................</w:t>
      </w:r>
      <w:r w:rsidRPr="4C3F3272" w:rsidR="00A84003">
        <w:rPr>
          <w:rFonts w:ascii="Times New Roman" w:hAnsi="Times New Roman" w:eastAsia="Arial Unicode MS" w:cs="Times New Roman"/>
          <w:sz w:val="24"/>
          <w:szCs w:val="24"/>
          <w:lang w:val="es-PE" w:eastAsia="ar-SA"/>
        </w:rPr>
        <w:t xml:space="preserve"> y </w:t>
      </w:r>
      <w:r w:rsidRPr="4C3F3272" w:rsidR="346CC1F3">
        <w:rPr>
          <w:rFonts w:ascii="Times New Roman" w:hAnsi="Times New Roman" w:eastAsia="Arial Unicode MS" w:cs="Times New Roman"/>
          <w:sz w:val="24"/>
          <w:szCs w:val="24"/>
          <w:lang w:val="es-PE" w:eastAsia="ar-SA"/>
        </w:rPr>
        <w:t>.....................................</w:t>
      </w:r>
      <w:r w:rsidRPr="4C3F3272" w:rsidR="00A84003">
        <w:rPr>
          <w:rFonts w:ascii="Times New Roman" w:hAnsi="Times New Roman" w:eastAsia="Arial Unicode MS" w:cs="Times New Roman"/>
          <w:sz w:val="24"/>
          <w:szCs w:val="24"/>
          <w:lang w:val="es-PE" w:eastAsia="ar-SA"/>
        </w:rPr>
        <w:t xml:space="preserve"> ambas de </w:t>
      </w:r>
      <w:r w:rsidRPr="4C3F3272" w:rsidR="464AA4D2">
        <w:rPr>
          <w:rFonts w:ascii="Times New Roman" w:hAnsi="Times New Roman" w:eastAsia="Arial Unicode MS" w:cs="Times New Roman"/>
          <w:sz w:val="24"/>
          <w:szCs w:val="24"/>
          <w:lang w:val="es-PE" w:eastAsia="ar-SA"/>
        </w:rPr>
        <w:t>.....................................</w:t>
      </w:r>
      <w:r w:rsidRPr="4C3F3272" w:rsidR="00A84003">
        <w:rPr>
          <w:rFonts w:ascii="Times New Roman" w:hAnsi="Times New Roman" w:eastAsia="Arial Unicode MS" w:cs="Times New Roman"/>
          <w:sz w:val="24"/>
          <w:szCs w:val="24"/>
          <w:lang w:val="es-PE" w:eastAsia="ar-SA"/>
        </w:rPr>
        <w:t xml:space="preserve"> y, finalmente, a la DEFENSORIA DEL ASEGURADO a través de la </w:t>
      </w:r>
      <w:r w:rsidRPr="4C3F3272" w:rsidR="30650933">
        <w:rPr>
          <w:rFonts w:ascii="Times New Roman" w:hAnsi="Times New Roman" w:eastAsia="Arial Unicode MS" w:cs="Times New Roman"/>
          <w:sz w:val="24"/>
          <w:szCs w:val="24"/>
          <w:lang w:val="es-PE" w:eastAsia="ar-SA"/>
        </w:rPr>
        <w:t>.....................................</w:t>
      </w:r>
      <w:r w:rsidRPr="4C3F3272" w:rsidR="00A84003">
        <w:rPr>
          <w:rFonts w:ascii="Times New Roman" w:hAnsi="Times New Roman" w:eastAsia="Arial Unicode MS" w:cs="Times New Roman"/>
          <w:sz w:val="24"/>
          <w:szCs w:val="24"/>
          <w:lang w:val="es-PE" w:eastAsia="ar-SA"/>
        </w:rPr>
        <w:t xml:space="preserve">, a su correo </w:t>
      </w:r>
      <w:hyperlink r:id="Rcda34a92507940bb">
        <w:r w:rsidRPr="4C3F3272" w:rsidR="62CDB427">
          <w:rPr>
            <w:rStyle w:val="Hipervnculo"/>
            <w:rFonts w:ascii="Times New Roman" w:hAnsi="Times New Roman" w:eastAsia="Arial Unicode MS" w:cs="Times New Roman"/>
            <w:sz w:val="24"/>
            <w:szCs w:val="24"/>
            <w:lang w:val="es-PE" w:eastAsia="ar-SA"/>
          </w:rPr>
          <w:t>.....................................</w:t>
        </w:r>
      </w:hyperlink>
      <w:r w:rsidRPr="4C3F3272" w:rsidR="00A84003">
        <w:rPr>
          <w:rFonts w:ascii="Times New Roman" w:hAnsi="Times New Roman" w:eastAsia="Arial Unicode MS" w:cs="Times New Roman"/>
          <w:sz w:val="24"/>
          <w:szCs w:val="24"/>
          <w:lang w:val="es-PE" w:eastAsia="ar-SA"/>
        </w:rPr>
        <w:t>, este correo fue recibido por cada una de estas personas como señaláramos el día 18 de octubre del 2023 a las 12.54 GMT -5; 2) el segundo, octavo y noveno considerandos de la Resolución resultan contradichos por el rechazo al que refiere el numeral previo;</w:t>
      </w:r>
    </w:p>
    <w:p w:rsidR="00A84003" w:rsidP="00A84003" w:rsidRDefault="00A84003" w14:paraId="2CF25491" w14:textId="77777777">
      <w:pPr>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Cs/>
          <w:sz w:val="24"/>
          <w:szCs w:val="24"/>
          <w:lang w:val="es-PE" w:eastAsia="ar-SA"/>
        </w:rPr>
        <w:t>Que, habiéndose corrido traslado al asegurado del referido Recurso impugnatorio, mediante comunicación del 16 de mayo de 2024, presentó su escrito de absolución, manifestando, principalmente, lo siguiente: 1) luego de concluir que la cobertura del siniestro reclamado era procedente, para liquidar el siniestro se tuvo en cuenta las sumas aseguradas establecidas por la póliza contratada, así como los respectivos deducibles; 2) respecto a las sumas aseguradas, para la cobertura general de “robo de contenido” la suma asegurada era del 100%, esto es, el monto de USD$ 40,000.00 consignado en las condiciones particulares de la póliza; 3) para las otras coberturas específicas de robo, para el caso del robo de joyería y platería dentro de la vivienda se establece una suma asegurada equivalente al 10% de la suma asegurada del contenido, esto es, el 10% de USD$ 40,000.00, lo que nos da un monto de USD$ 4,000.00. Finalmente, para el caso del robo de dinero en efectivo dentro de la vivienda la suma asegurada es de USD$ 1,000.00 por evento; 4) los ajustadores designados, al momento de liquidar el siniestro, establecieron una indemnización del 100% de lo reclamado por la reclamante para los bienes de las categorías de electrónicos, relojes, documentos personales y cambio de chapas; pues, para estos puntos, la suma asegurada era de USD$ 40,000.00. Igualmente, para el caso del dinero en efectivo, en la medida que el monto reclamado no superaba la suma asegurada de USD$ 1,000.00, los ajustadores también aprobaron el 100%; 5) la suma indemnizable resultó por un total de USD$ 13,071.28, a la cual, aplicándole el 10% como deducible correspondiente, arrojó un monto definitivo de USD$ 11,764.15 (once mil setecientos sesenta y cuatro con 15/100 dólares), esto en estricta aplicación de lo dispuesto en la póliza contratada;</w:t>
      </w:r>
    </w:p>
    <w:p w:rsidRPr="00A84003" w:rsidR="00A84003" w:rsidP="00A84003" w:rsidRDefault="00A84003" w14:paraId="5E69B65E" w14:textId="484F801B">
      <w:pPr>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Cs/>
          <w:sz w:val="24"/>
          <w:szCs w:val="24"/>
          <w:lang w:val="es-PE" w:eastAsia="ar-SA"/>
        </w:rPr>
        <w:t>Que, atendiendo a lo expuesto, esta Defensoría resuelve finalmente lo siguiente:</w:t>
      </w:r>
    </w:p>
    <w:p w:rsidRPr="00A84003" w:rsidR="00A84003" w:rsidP="00A84003" w:rsidRDefault="00A84003" w14:paraId="188615A2" w14:textId="77777777">
      <w:pPr>
        <w:jc w:val="both"/>
        <w:rPr>
          <w:rFonts w:ascii="Times New Roman" w:hAnsi="Times New Roman" w:eastAsia="Arial Unicode MS" w:cs="Times New Roman"/>
          <w:b/>
          <w:bCs/>
          <w:sz w:val="24"/>
          <w:szCs w:val="24"/>
          <w:lang w:val="es-PE" w:eastAsia="ar-SA"/>
        </w:rPr>
      </w:pPr>
    </w:p>
    <w:p w:rsidRPr="00A84003" w:rsidR="00A84003" w:rsidP="00A84003" w:rsidRDefault="00A84003" w14:paraId="6AF8A763" w14:textId="77777777">
      <w:pPr>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
          <w:bCs/>
          <w:sz w:val="24"/>
          <w:szCs w:val="24"/>
          <w:lang w:val="es-PE" w:eastAsia="ar-SA"/>
        </w:rPr>
        <w:lastRenderedPageBreak/>
        <w:t>PRIMERO:</w:t>
      </w:r>
      <w:r w:rsidRPr="00A84003">
        <w:rPr>
          <w:rFonts w:ascii="Times New Roman" w:hAnsi="Times New Roman" w:eastAsia="Arial Unicode MS" w:cs="Times New Roman"/>
          <w:bCs/>
          <w:sz w:val="24"/>
          <w:szCs w:val="24"/>
          <w:lang w:val="es-PE" w:eastAsia="ar-SA"/>
        </w:rPr>
        <w:t xml:space="preserve"> Que el artículo 10 (Procedimiento) del Reglamento de la DEFASEG (</w:t>
      </w:r>
      <w:hyperlink w:history="1" r:id="rId9">
        <w:r w:rsidRPr="00A84003">
          <w:rPr>
            <w:rStyle w:val="Hipervnculo"/>
            <w:rFonts w:ascii="Times New Roman" w:hAnsi="Times New Roman" w:eastAsia="Arial Unicode MS" w:cs="Times New Roman"/>
            <w:bCs/>
            <w:sz w:val="24"/>
            <w:szCs w:val="24"/>
            <w:lang w:val="es-PE" w:eastAsia="ar-SA"/>
          </w:rPr>
          <w:t>http://www.defaseg.com.pe/reglamento</w:t>
        </w:r>
      </w:hyperlink>
      <w:r w:rsidRPr="00A84003">
        <w:rPr>
          <w:rFonts w:ascii="Times New Roman" w:hAnsi="Times New Roman" w:eastAsia="Arial Unicode MS" w:cs="Times New Roman"/>
          <w:bCs/>
          <w:sz w:val="24"/>
          <w:szCs w:val="24"/>
          <w:lang w:val="es-PE" w:eastAsia="ar-SA"/>
        </w:rPr>
        <w:t>) establece que cualquiera de las partes que no se encuentre de acuerdo con la decisión adoptada por el colegiado sobre la materia reclamada, podrá impugnarla, interponiendo el correspondiente Recurso Impugnativo. Conforme a ello, en el caso concreto, la asegurada, al interponer el Recurso Impugnativo, ha ejercido formalmente su derecho a contradecir lo resuelto por la Defensoría, el que deberá sustentar -razonablemente- la razón de su desacuerdo, destacando el vicio o error en que se habría incurrido y que permitiría fundamentar que lo resuelto no se ajusta a derecho ni a los correspondientes actuados.</w:t>
      </w:r>
    </w:p>
    <w:p w:rsidRPr="00A84003" w:rsidR="00A84003" w:rsidP="00A84003" w:rsidRDefault="00A84003" w14:paraId="3FA81E4D" w14:textId="77777777">
      <w:pPr>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
          <w:bCs/>
          <w:sz w:val="24"/>
          <w:szCs w:val="24"/>
          <w:lang w:val="es-PE" w:eastAsia="ar-SA"/>
        </w:rPr>
        <w:t>SEGUNDO:</w:t>
      </w:r>
      <w:r w:rsidRPr="00A84003">
        <w:rPr>
          <w:rFonts w:ascii="Times New Roman" w:hAnsi="Times New Roman" w:eastAsia="Arial Unicode MS" w:cs="Times New Roman"/>
          <w:bCs/>
          <w:sz w:val="24"/>
          <w:szCs w:val="24"/>
          <w:lang w:val="es-PE" w:eastAsia="ar-SA"/>
        </w:rPr>
        <w:t xml:space="preserve"> Que, de la lectura del Recurso Impugnativo se aprecia que la reclamante impugna lo resuelto por la DEFASEG manifestando su disconformidad. A juicio de este colegiado, el recurso impugnativo interpuesto puede ser categorizado, por su contenido mismo, como una solicitud de revisión general, sustentado en el respetable criterio de la reclamante que este colegiado no comparte definitivamente, pero sin aportar argumento o medio probatorio alguno que permita objetivamente a este colegiado apreciar que habría incurrido efectivamente en un error o vicio al momento de resolver, por lo que la DEFASEG reitera lo analizado y concluido en su oportunidad. </w:t>
      </w:r>
    </w:p>
    <w:p w:rsidRPr="00A84003" w:rsidR="00A84003" w:rsidP="00A84003" w:rsidRDefault="00A84003" w14:paraId="09B7C694" w14:textId="77777777">
      <w:pPr>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
          <w:bCs/>
          <w:sz w:val="24"/>
          <w:szCs w:val="24"/>
          <w:lang w:val="es-PE" w:eastAsia="ar-SA"/>
        </w:rPr>
        <w:t>TERCERO:</w:t>
      </w:r>
      <w:r w:rsidRPr="00A84003">
        <w:rPr>
          <w:rFonts w:ascii="Times New Roman" w:hAnsi="Times New Roman" w:eastAsia="Arial Unicode MS" w:cs="Times New Roman"/>
          <w:bCs/>
          <w:sz w:val="24"/>
          <w:szCs w:val="24"/>
          <w:lang w:val="es-PE" w:eastAsia="ar-SA"/>
        </w:rPr>
        <w:t xml:space="preserve"> Que, en particular nos remitimos a lo manifestado en los considerandos SÉTIMO y OCTAVO de la Resolución Impugnada, puesto que, según se aprecia, los ajustadores comunicaron su liquidación el 17 de octubre de 2023 (en adelante, la liquidación), tal como acredita la reclamante; no obstante, de los actuados no se aprecia que alguna de las partes haya objetado o rechazado dicha última liquidación.</w:t>
      </w:r>
    </w:p>
    <w:p w:rsidRPr="00A84003" w:rsidR="00A84003" w:rsidP="00A84003" w:rsidRDefault="00A84003" w14:paraId="2DA023B0" w14:textId="77777777">
      <w:pPr>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Cs/>
          <w:sz w:val="24"/>
          <w:szCs w:val="24"/>
          <w:lang w:val="es-PE" w:eastAsia="ar-SA"/>
        </w:rPr>
        <w:t>Sobre el particular, consideramos pertinente recordar lo señalado por el Código Procesal Civil:</w:t>
      </w:r>
    </w:p>
    <w:p w:rsidRPr="00A84003" w:rsidR="00A84003" w:rsidP="00797237" w:rsidRDefault="00A84003" w14:paraId="712899DB" w14:textId="77777777">
      <w:pPr>
        <w:ind w:left="1440"/>
        <w:jc w:val="both"/>
        <w:rPr>
          <w:rFonts w:ascii="Times New Roman" w:hAnsi="Times New Roman" w:eastAsia="Arial Unicode MS" w:cs="Times New Roman"/>
          <w:b/>
          <w:bCs/>
          <w:sz w:val="24"/>
          <w:szCs w:val="24"/>
          <w:lang w:val="es-PE" w:eastAsia="ar-SA"/>
        </w:rPr>
      </w:pPr>
      <w:r w:rsidRPr="00A84003">
        <w:rPr>
          <w:rFonts w:ascii="Times New Roman" w:hAnsi="Times New Roman" w:eastAsia="Arial Unicode MS" w:cs="Times New Roman"/>
          <w:b/>
          <w:bCs/>
          <w:sz w:val="24"/>
          <w:szCs w:val="24"/>
          <w:lang w:val="es-PE" w:eastAsia="ar-SA"/>
        </w:rPr>
        <w:t>Carga de la prueba. -</w:t>
      </w:r>
    </w:p>
    <w:p w:rsidRPr="00A84003" w:rsidR="00A84003" w:rsidP="00797237" w:rsidRDefault="00A84003" w14:paraId="3DA3523B" w14:textId="77777777">
      <w:pPr>
        <w:ind w:left="1440"/>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Cs/>
          <w:sz w:val="24"/>
          <w:szCs w:val="24"/>
          <w:lang w:val="es-PE" w:eastAsia="ar-SA"/>
        </w:rPr>
        <w:t xml:space="preserve">Artículo 196.- Salvo disposición legal diferente, </w:t>
      </w:r>
      <w:r w:rsidRPr="00A84003">
        <w:rPr>
          <w:rFonts w:ascii="Times New Roman" w:hAnsi="Times New Roman" w:eastAsia="Arial Unicode MS" w:cs="Times New Roman"/>
          <w:b/>
          <w:bCs/>
          <w:sz w:val="24"/>
          <w:szCs w:val="24"/>
          <w:lang w:val="es-PE" w:eastAsia="ar-SA"/>
        </w:rPr>
        <w:t>la carga de probar corresponde a quien afirma hechos que configuran su pretensión</w:t>
      </w:r>
      <w:r w:rsidRPr="00A84003">
        <w:rPr>
          <w:rFonts w:ascii="Times New Roman" w:hAnsi="Times New Roman" w:eastAsia="Arial Unicode MS" w:cs="Times New Roman"/>
          <w:bCs/>
          <w:sz w:val="24"/>
          <w:szCs w:val="24"/>
          <w:lang w:val="es-PE" w:eastAsia="ar-SA"/>
        </w:rPr>
        <w:t>, o a quien los contradice alegando nuevos hechos.</w:t>
      </w:r>
    </w:p>
    <w:p w:rsidRPr="00A84003" w:rsidR="00A84003" w:rsidP="00861BDD" w:rsidRDefault="00A84003" w14:paraId="5120BCCF" w14:textId="560B7D93">
      <w:pPr>
        <w:ind w:left="1440"/>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Cs/>
          <w:sz w:val="24"/>
          <w:szCs w:val="24"/>
          <w:lang w:val="es-PE" w:eastAsia="ar-SA"/>
        </w:rPr>
        <w:t>[resaltado en negritas de nuestra autoría]</w:t>
      </w:r>
    </w:p>
    <w:p w:rsidRPr="00A84003" w:rsidR="00A84003" w:rsidP="00A84003" w:rsidRDefault="00A84003" w14:paraId="1E1975FF" w14:textId="1591C639">
      <w:pPr>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Cs/>
          <w:sz w:val="24"/>
          <w:szCs w:val="24"/>
          <w:lang w:val="es-PE" w:eastAsia="ar-SA"/>
        </w:rPr>
        <w:t>En el mismo sentido se ha pronunciado -en repetidas ocasiones- el Tribunal Constitucional cuando señaló lo siguiente:</w:t>
      </w:r>
    </w:p>
    <w:p w:rsidRPr="00A84003" w:rsidR="00A84003" w:rsidP="0049039A" w:rsidRDefault="00A84003" w14:paraId="51D086AF" w14:textId="77777777">
      <w:pPr>
        <w:ind w:left="1440"/>
        <w:jc w:val="both"/>
        <w:rPr>
          <w:rFonts w:ascii="Times New Roman" w:hAnsi="Times New Roman" w:eastAsia="Arial Unicode MS" w:cs="Times New Roman"/>
          <w:bCs/>
          <w:sz w:val="24"/>
          <w:szCs w:val="24"/>
          <w:lang w:val="es-MX" w:eastAsia="ar-SA"/>
        </w:rPr>
      </w:pPr>
      <w:r w:rsidRPr="00A84003">
        <w:rPr>
          <w:rFonts w:ascii="Times New Roman" w:hAnsi="Times New Roman" w:eastAsia="Arial Unicode MS" w:cs="Times New Roman"/>
          <w:bCs/>
          <w:sz w:val="24"/>
          <w:szCs w:val="24"/>
          <w:lang w:val="es-MX" w:eastAsia="ar-SA"/>
        </w:rPr>
        <w:t xml:space="preserve">“5.   Una de las reglas que regulan la materia procesal es que quien alega un hecho debe probarlo, salvo disposición contraria de la ley (art. 196° del Código Procesal Civil). La legislación que regula el proceso de amparo, por cierto, no tiene una cláusula específica que estipule a quien corresponde la carga de la prueba. Por el contrario, en el artículo 33 de la Ley </w:t>
      </w:r>
      <w:proofErr w:type="spellStart"/>
      <w:r w:rsidRPr="00A84003">
        <w:rPr>
          <w:rFonts w:ascii="Times New Roman" w:hAnsi="Times New Roman" w:eastAsia="Arial Unicode MS" w:cs="Times New Roman"/>
          <w:bCs/>
          <w:sz w:val="24"/>
          <w:szCs w:val="24"/>
          <w:lang w:val="es-MX" w:eastAsia="ar-SA"/>
        </w:rPr>
        <w:t>N.°</w:t>
      </w:r>
      <w:proofErr w:type="spellEnd"/>
      <w:r w:rsidRPr="00A84003">
        <w:rPr>
          <w:rFonts w:ascii="Times New Roman" w:hAnsi="Times New Roman" w:eastAsia="Arial Unicode MS" w:cs="Times New Roman"/>
          <w:bCs/>
          <w:sz w:val="24"/>
          <w:szCs w:val="24"/>
          <w:lang w:val="es-MX" w:eastAsia="ar-SA"/>
        </w:rPr>
        <w:t xml:space="preserve"> 25398 se establece que “En todo lo que no esté previsto en la Ley y en la presente, rigen supletoriamente las disposiciones de los Códigos de Procedimientos Civiles y Penales”.”</w:t>
      </w:r>
    </w:p>
    <w:p w:rsidRPr="00A84003" w:rsidR="00A84003" w:rsidP="0049039A" w:rsidRDefault="00A84003" w14:paraId="47CBD99D" w14:textId="77777777">
      <w:pPr>
        <w:ind w:left="1440"/>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Cs/>
          <w:sz w:val="24"/>
          <w:szCs w:val="24"/>
          <w:lang w:val="es-MX" w:eastAsia="ar-SA"/>
        </w:rPr>
        <w:t xml:space="preserve">[STC </w:t>
      </w:r>
      <w:proofErr w:type="spellStart"/>
      <w:r w:rsidRPr="00A84003">
        <w:rPr>
          <w:rFonts w:ascii="Times New Roman" w:hAnsi="Times New Roman" w:eastAsia="Arial Unicode MS" w:cs="Times New Roman"/>
          <w:bCs/>
          <w:sz w:val="24"/>
          <w:szCs w:val="24"/>
          <w:lang w:val="es-MX" w:eastAsia="ar-SA"/>
        </w:rPr>
        <w:t>N°</w:t>
      </w:r>
      <w:proofErr w:type="spellEnd"/>
      <w:r w:rsidRPr="00A84003">
        <w:rPr>
          <w:rFonts w:ascii="Times New Roman" w:hAnsi="Times New Roman" w:eastAsia="Arial Unicode MS" w:cs="Times New Roman"/>
          <w:bCs/>
          <w:sz w:val="24"/>
          <w:szCs w:val="24"/>
          <w:lang w:val="es-MX" w:eastAsia="ar-SA"/>
        </w:rPr>
        <w:t xml:space="preserve"> 0052-2004-AA/TC]</w:t>
      </w:r>
    </w:p>
    <w:p w:rsidRPr="00A84003" w:rsidR="00A84003" w:rsidP="00A84003" w:rsidRDefault="00A84003" w14:paraId="72684768" w14:textId="77777777">
      <w:pPr>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Cs/>
          <w:sz w:val="24"/>
          <w:szCs w:val="24"/>
          <w:lang w:val="es-MX" w:eastAsia="ar-SA"/>
        </w:rPr>
        <w:t> </w:t>
      </w:r>
      <w:r w:rsidRPr="00A84003">
        <w:rPr>
          <w:rFonts w:ascii="Times New Roman" w:hAnsi="Times New Roman" w:eastAsia="Arial Unicode MS" w:cs="Times New Roman"/>
          <w:bCs/>
          <w:sz w:val="24"/>
          <w:szCs w:val="24"/>
          <w:lang w:val="es-PE" w:eastAsia="ar-SA"/>
        </w:rPr>
        <w:t>De la misma forma, el Tribunal Constitucional agrega lo siguiente:</w:t>
      </w:r>
    </w:p>
    <w:p w:rsidRPr="00A84003" w:rsidR="00A84003" w:rsidP="00861BDD" w:rsidRDefault="00A84003" w14:paraId="258845C9" w14:textId="77777777">
      <w:pPr>
        <w:ind w:left="1440"/>
        <w:jc w:val="both"/>
        <w:rPr>
          <w:rFonts w:ascii="Times New Roman" w:hAnsi="Times New Roman" w:eastAsia="Arial Unicode MS" w:cs="Times New Roman"/>
          <w:bCs/>
          <w:sz w:val="24"/>
          <w:szCs w:val="24"/>
          <w:lang w:val="es-MX" w:eastAsia="ar-SA"/>
        </w:rPr>
      </w:pPr>
      <w:r w:rsidRPr="00A84003">
        <w:rPr>
          <w:rFonts w:ascii="Times New Roman" w:hAnsi="Times New Roman" w:eastAsia="Arial Unicode MS" w:cs="Times New Roman"/>
          <w:bCs/>
          <w:sz w:val="24"/>
          <w:szCs w:val="24"/>
          <w:lang w:val="es-MX" w:eastAsia="ar-SA"/>
        </w:rPr>
        <w:lastRenderedPageBreak/>
        <w:t>“11.    Este Colegiado considera, que la distribución de la carga de la prueba comporta que la demandada demuestre que se ha configurado la causal de nulidad que le sirve de argumento para sostener su postura en esta litis. Tal 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p>
    <w:p w:rsidRPr="00A84003" w:rsidR="00A84003" w:rsidP="00861BDD" w:rsidRDefault="00A84003" w14:paraId="67AE986C" w14:textId="366EDE78">
      <w:pPr>
        <w:ind w:left="1440"/>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Cs/>
          <w:sz w:val="24"/>
          <w:szCs w:val="24"/>
          <w:lang w:val="es-MX" w:eastAsia="ar-SA"/>
        </w:rPr>
        <w:t xml:space="preserve">[STC </w:t>
      </w:r>
      <w:proofErr w:type="spellStart"/>
      <w:r w:rsidRPr="00A84003">
        <w:rPr>
          <w:rFonts w:ascii="Times New Roman" w:hAnsi="Times New Roman" w:eastAsia="Arial Unicode MS" w:cs="Times New Roman"/>
          <w:bCs/>
          <w:sz w:val="24"/>
          <w:szCs w:val="24"/>
          <w:lang w:val="es-MX" w:eastAsia="ar-SA"/>
        </w:rPr>
        <w:t>N°</w:t>
      </w:r>
      <w:proofErr w:type="spellEnd"/>
      <w:r w:rsidRPr="00A84003">
        <w:rPr>
          <w:rFonts w:ascii="Times New Roman" w:hAnsi="Times New Roman" w:eastAsia="Arial Unicode MS" w:cs="Times New Roman"/>
          <w:bCs/>
          <w:sz w:val="24"/>
          <w:szCs w:val="24"/>
          <w:lang w:val="es-MX" w:eastAsia="ar-SA"/>
        </w:rPr>
        <w:t xml:space="preserve"> 03763-2011-PA/TC]</w:t>
      </w:r>
    </w:p>
    <w:p w:rsidRPr="00A84003" w:rsidR="00A84003" w:rsidP="00A84003" w:rsidRDefault="00A84003" w14:paraId="301A4712" w14:textId="77777777">
      <w:pPr>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Cs/>
          <w:sz w:val="24"/>
          <w:szCs w:val="24"/>
          <w:lang w:val="es-PE" w:eastAsia="ar-SA"/>
        </w:rPr>
        <w:t>De este modo, dada la aplicación supletoria de las reglas del código procesal civil al presente caso, debemos acordar que la carga de la prueba recaerá en quien alega los hechos. Argumentar lo contrario implicaría una vulneración flagrante del derecho al debido procedimiento.</w:t>
      </w:r>
    </w:p>
    <w:p w:rsidRPr="00A84003" w:rsidR="00A84003" w:rsidP="4C3F3272" w:rsidRDefault="00A84003" w14:paraId="7C184199" w14:textId="3CE32178">
      <w:pPr>
        <w:jc w:val="both"/>
        <w:rPr>
          <w:rFonts w:ascii="Times New Roman" w:hAnsi="Times New Roman" w:eastAsia="Arial Unicode MS" w:cs="Times New Roman"/>
          <w:sz w:val="24"/>
          <w:szCs w:val="24"/>
          <w:lang w:val="es-PE" w:eastAsia="ar-SA"/>
        </w:rPr>
      </w:pPr>
      <w:r w:rsidRPr="4C3F3272" w:rsidR="00A84003">
        <w:rPr>
          <w:rFonts w:ascii="Times New Roman" w:hAnsi="Times New Roman" w:eastAsia="Arial Unicode MS" w:cs="Times New Roman"/>
          <w:sz w:val="24"/>
          <w:szCs w:val="24"/>
          <w:lang w:val="es-PE" w:eastAsia="ar-SA"/>
        </w:rPr>
        <w:t>En el presente caso, la reclamante afirma haber rechazado, de forma expresa, la liquidación. De hecho, con ocasión de su Recurso Impugnativo, afirma haber remitido un correo electrónico el 18 de octubre de 2023; no obstante, este no ha sido adjuntado ni se aprecia del expediente. Así pues, debemos precisar que mediante escrito de fecha 18 de diciembre de 2023, la reclamante afirma lo siguiente:</w:t>
      </w:r>
    </w:p>
    <w:p w:rsidR="093D5606" w:rsidP="4C3F3272" w:rsidRDefault="093D5606" w14:paraId="6CBDFCFD" w14:textId="190E0ED5">
      <w:pPr>
        <w:jc w:val="both"/>
        <w:rPr>
          <w:rFonts w:ascii="Times New Roman" w:hAnsi="Times New Roman" w:eastAsia="Arial Unicode MS" w:cs="Times New Roman"/>
          <w:sz w:val="24"/>
          <w:szCs w:val="24"/>
          <w:lang w:val="es-PE" w:eastAsia="ar-SA"/>
        </w:rPr>
      </w:pPr>
      <w:r w:rsidRPr="4C3F3272" w:rsidR="093D5606">
        <w:rPr>
          <w:rFonts w:ascii="Times New Roman" w:hAnsi="Times New Roman" w:eastAsia="Arial Unicode MS" w:cs="Times New Roman"/>
          <w:sz w:val="24"/>
          <w:szCs w:val="24"/>
          <w:lang w:val="es-PE" w:eastAsia="ar-SA"/>
        </w:rPr>
        <w:t>.................................................................................................................................................</w:t>
      </w:r>
    </w:p>
    <w:p w:rsidRPr="00A84003" w:rsidR="00A84003" w:rsidP="4C3F3272" w:rsidRDefault="00A84003" w14:paraId="7636220D" w14:textId="54416E1C">
      <w:pPr>
        <w:jc w:val="both"/>
        <w:rPr>
          <w:rFonts w:ascii="Times New Roman" w:hAnsi="Times New Roman" w:eastAsia="Arial Unicode MS" w:cs="Times New Roman"/>
          <w:sz w:val="24"/>
          <w:szCs w:val="24"/>
          <w:lang w:val="es-PE" w:eastAsia="ar-SA"/>
        </w:rPr>
      </w:pPr>
      <w:r w:rsidRPr="4C3F3272" w:rsidR="00A84003">
        <w:rPr>
          <w:rFonts w:ascii="Times New Roman" w:hAnsi="Times New Roman" w:eastAsia="Arial Unicode MS" w:cs="Times New Roman"/>
          <w:sz w:val="24"/>
          <w:szCs w:val="24"/>
          <w:lang w:val="es-PE" w:eastAsia="ar-SA"/>
        </w:rPr>
        <w:t>En ese sentido, se afirma que la liquidación habría sido rechazada, siendo que, según la cita textual, se adjuntaría dicho correo; no obstante, lo único que se aprecia como adjunto es lo siguiente:</w:t>
      </w:r>
    </w:p>
    <w:p w:rsidR="50B80944" w:rsidP="4C3F3272" w:rsidRDefault="50B80944" w14:paraId="6E859F61" w14:textId="2A39F46E">
      <w:pPr>
        <w:jc w:val="both"/>
        <w:rPr>
          <w:rFonts w:ascii="Times New Roman" w:hAnsi="Times New Roman" w:eastAsia="Arial Unicode MS" w:cs="Times New Roman"/>
          <w:sz w:val="24"/>
          <w:szCs w:val="24"/>
          <w:lang w:val="es-PE" w:eastAsia="ar-SA"/>
        </w:rPr>
      </w:pPr>
      <w:r w:rsidRPr="4C3F3272" w:rsidR="50B80944">
        <w:rPr>
          <w:rFonts w:ascii="Times New Roman" w:hAnsi="Times New Roman" w:eastAsia="Arial Unicode MS" w:cs="Times New Roman"/>
          <w:sz w:val="24"/>
          <w:szCs w:val="24"/>
          <w:lang w:val="es-PE" w:eastAsia="ar-SA"/>
        </w:rPr>
        <w:t>.....................................................................................................................................................</w:t>
      </w:r>
    </w:p>
    <w:p w:rsidRPr="00A84003" w:rsidR="00A84003" w:rsidP="00A84003" w:rsidRDefault="00A84003" w14:paraId="15C53600" w14:textId="77777777">
      <w:pPr>
        <w:jc w:val="both"/>
        <w:rPr>
          <w:rFonts w:ascii="Times New Roman" w:hAnsi="Times New Roman" w:eastAsia="Arial Unicode MS" w:cs="Times New Roman"/>
          <w:bCs/>
          <w:sz w:val="24"/>
          <w:szCs w:val="24"/>
          <w:lang w:val="es-PE" w:eastAsia="ar-SA"/>
        </w:rPr>
      </w:pPr>
    </w:p>
    <w:p w:rsidRPr="00A84003" w:rsidR="00A84003" w:rsidP="4C3F3272" w:rsidRDefault="00A84003" w14:paraId="49B5596B" w14:textId="18B1A95F">
      <w:pPr>
        <w:jc w:val="both"/>
        <w:rPr>
          <w:rFonts w:ascii="Times New Roman" w:hAnsi="Times New Roman" w:eastAsia="Arial Unicode MS" w:cs="Times New Roman"/>
          <w:sz w:val="24"/>
          <w:szCs w:val="24"/>
          <w:lang w:val="es-PE" w:eastAsia="ar-SA"/>
        </w:rPr>
      </w:pPr>
      <w:r w:rsidRPr="4C3F3272" w:rsidR="00A84003">
        <w:rPr>
          <w:rFonts w:ascii="Times New Roman" w:hAnsi="Times New Roman" w:eastAsia="Arial Unicode MS" w:cs="Times New Roman"/>
          <w:sz w:val="24"/>
          <w:szCs w:val="24"/>
          <w:lang w:val="es-PE" w:eastAsia="ar-SA"/>
        </w:rPr>
        <w:t xml:space="preserve">Conforme se puede apreciar del texto del correo, no existe rechazo alguno, puesto que es un correo que </w:t>
      </w:r>
      <w:r w:rsidRPr="4C3F3272" w:rsidR="3A22EF75">
        <w:rPr>
          <w:rFonts w:ascii="Times New Roman" w:hAnsi="Times New Roman" w:eastAsia="Arial Unicode MS" w:cs="Times New Roman"/>
          <w:sz w:val="24"/>
          <w:szCs w:val="24"/>
          <w:lang w:val="es-PE" w:eastAsia="ar-SA"/>
        </w:rPr>
        <w:t>...........................</w:t>
      </w:r>
      <w:r w:rsidRPr="4C3F3272" w:rsidR="00A84003">
        <w:rPr>
          <w:rFonts w:ascii="Times New Roman" w:hAnsi="Times New Roman" w:eastAsia="Arial Unicode MS" w:cs="Times New Roman"/>
          <w:sz w:val="24"/>
          <w:szCs w:val="24"/>
          <w:lang w:val="es-PE" w:eastAsia="ar-SA"/>
        </w:rPr>
        <w:t xml:space="preserve"> habría remitido al señor </w:t>
      </w:r>
      <w:r w:rsidRPr="4C3F3272" w:rsidR="34702ACA">
        <w:rPr>
          <w:rFonts w:ascii="Times New Roman" w:hAnsi="Times New Roman" w:eastAsia="Arial Unicode MS" w:cs="Times New Roman"/>
          <w:sz w:val="24"/>
          <w:szCs w:val="24"/>
          <w:lang w:val="es-PE" w:eastAsia="ar-SA"/>
        </w:rPr>
        <w:t>.....................................</w:t>
      </w:r>
      <w:r w:rsidRPr="4C3F3272" w:rsidR="00A84003">
        <w:rPr>
          <w:rFonts w:ascii="Times New Roman" w:hAnsi="Times New Roman" w:eastAsia="Arial Unicode MS" w:cs="Times New Roman"/>
          <w:sz w:val="24"/>
          <w:szCs w:val="24"/>
          <w:lang w:val="es-PE" w:eastAsia="ar-SA"/>
        </w:rPr>
        <w:t>. Así pues, de una revisión de los adjuntos de dicho escrito, solo es posible apreciar el detalle de la liquidación a la que hace referencia el correo citado. Del mismo modo, de una revisión del reclamo y del expediente en su totalidad, tampoco se aprecia que se haya presentado el correo electrónico dirigido a la empresa ajustadora al que hace referencia la reclamante.</w:t>
      </w:r>
    </w:p>
    <w:p w:rsidRPr="00A84003" w:rsidR="00A84003" w:rsidP="00A84003" w:rsidRDefault="00A84003" w14:paraId="67867012" w14:textId="77777777">
      <w:pPr>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Cs/>
          <w:sz w:val="24"/>
          <w:szCs w:val="24"/>
          <w:lang w:val="es-PE" w:eastAsia="ar-SA"/>
        </w:rPr>
        <w:t xml:space="preserve">Asimismo, debemos precisar que el procedimiento al que refiere el artículo 10° del Reglamento para la Gestión y pago de Siniestros, aprobado mediante Resolución SBS </w:t>
      </w:r>
      <w:r w:rsidRPr="00A84003">
        <w:rPr>
          <w:rFonts w:ascii="Times New Roman" w:hAnsi="Times New Roman" w:eastAsia="Arial Unicode MS" w:cs="Times New Roman"/>
          <w:bCs/>
          <w:sz w:val="24"/>
          <w:szCs w:val="24"/>
          <w:lang w:val="es-PE" w:eastAsia="ar-SA"/>
        </w:rPr>
        <w:br/>
      </w:r>
      <w:proofErr w:type="spellStart"/>
      <w:r w:rsidRPr="00A84003">
        <w:rPr>
          <w:rFonts w:ascii="Times New Roman" w:hAnsi="Times New Roman" w:eastAsia="Arial Unicode MS" w:cs="Times New Roman"/>
          <w:bCs/>
          <w:sz w:val="24"/>
          <w:szCs w:val="24"/>
          <w:lang w:val="es-PE" w:eastAsia="ar-SA"/>
        </w:rPr>
        <w:t>N°</w:t>
      </w:r>
      <w:proofErr w:type="spellEnd"/>
      <w:r w:rsidRPr="00A84003">
        <w:rPr>
          <w:rFonts w:ascii="Times New Roman" w:hAnsi="Times New Roman" w:eastAsia="Arial Unicode MS" w:cs="Times New Roman"/>
          <w:bCs/>
          <w:sz w:val="24"/>
          <w:szCs w:val="24"/>
          <w:lang w:val="es-PE" w:eastAsia="ar-SA"/>
        </w:rPr>
        <w:t xml:space="preserve"> 3202-2013</w:t>
      </w:r>
      <w:r w:rsidRPr="00A84003">
        <w:rPr>
          <w:rFonts w:ascii="Times New Roman" w:hAnsi="Times New Roman" w:eastAsia="Arial Unicode MS" w:cs="Times New Roman"/>
          <w:bCs/>
          <w:sz w:val="24"/>
          <w:szCs w:val="24"/>
          <w:vertAlign w:val="superscript"/>
          <w:lang w:val="es-PE" w:eastAsia="ar-SA"/>
        </w:rPr>
        <w:footnoteReference w:id="1"/>
      </w:r>
      <w:r w:rsidRPr="00A84003">
        <w:rPr>
          <w:rFonts w:ascii="Times New Roman" w:hAnsi="Times New Roman" w:eastAsia="Arial Unicode MS" w:cs="Times New Roman"/>
          <w:bCs/>
          <w:sz w:val="24"/>
          <w:szCs w:val="24"/>
          <w:lang w:val="es-PE" w:eastAsia="ar-SA"/>
        </w:rPr>
        <w:t>, implica que cualquier comunicación (rechazo, por ejemplo) debe dirigirse a las partes obligadas por la relación contractual de seguros. En ese sentido, cualquier comunicación que la reclamante haya dirigido a un tercero respecto de la relación obligacional que fluye de la póliza, como lo es -por ejemplo- DEFASEG</w:t>
      </w:r>
      <w:r w:rsidRPr="00A84003">
        <w:rPr>
          <w:rFonts w:ascii="Times New Roman" w:hAnsi="Times New Roman" w:eastAsia="Arial Unicode MS" w:cs="Times New Roman"/>
          <w:bCs/>
          <w:sz w:val="24"/>
          <w:szCs w:val="24"/>
          <w:vertAlign w:val="superscript"/>
          <w:lang w:val="es-PE" w:eastAsia="ar-SA"/>
        </w:rPr>
        <w:footnoteReference w:id="2"/>
      </w:r>
      <w:r w:rsidRPr="00A84003">
        <w:rPr>
          <w:rFonts w:ascii="Times New Roman" w:hAnsi="Times New Roman" w:eastAsia="Arial Unicode MS" w:cs="Times New Roman"/>
          <w:bCs/>
          <w:sz w:val="24"/>
          <w:szCs w:val="24"/>
          <w:lang w:val="es-PE" w:eastAsia="ar-SA"/>
        </w:rPr>
        <w:t>, no podrá surtir efectos legales ni podrá vincular a la aseguradora o, en su caso, a la empresa ajustadora.</w:t>
      </w:r>
    </w:p>
    <w:p w:rsidRPr="00A84003" w:rsidR="00A84003" w:rsidP="00A84003" w:rsidRDefault="00A84003" w14:paraId="2B86587A" w14:textId="77777777">
      <w:pPr>
        <w:jc w:val="both"/>
        <w:rPr>
          <w:rFonts w:ascii="Times New Roman" w:hAnsi="Times New Roman" w:eastAsia="Arial Unicode MS" w:cs="Times New Roman"/>
          <w:bCs/>
          <w:sz w:val="24"/>
          <w:szCs w:val="24"/>
          <w:lang w:val="es-PE" w:eastAsia="ar-SA"/>
        </w:rPr>
      </w:pPr>
    </w:p>
    <w:p w:rsidRPr="00A84003" w:rsidR="00A84003" w:rsidP="00A84003" w:rsidRDefault="00A84003" w14:paraId="5BFD1669" w14:textId="77777777">
      <w:pPr>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Cs/>
          <w:sz w:val="24"/>
          <w:szCs w:val="24"/>
          <w:lang w:val="es-PE" w:eastAsia="ar-SA"/>
        </w:rPr>
        <w:t xml:space="preserve">Finalmente, respecto del monto indemnizable al que hace referencia la reclamante en su Recurso Impugnativo, nos remitimos a lo señalado con ocasión del considerando NOVENO </w:t>
      </w:r>
      <w:r w:rsidRPr="00A84003">
        <w:rPr>
          <w:rFonts w:ascii="Times New Roman" w:hAnsi="Times New Roman" w:eastAsia="Arial Unicode MS" w:cs="Times New Roman"/>
          <w:bCs/>
          <w:i/>
          <w:iCs/>
          <w:sz w:val="24"/>
          <w:szCs w:val="24"/>
          <w:lang w:val="es-PE" w:eastAsia="ar-SA"/>
        </w:rPr>
        <w:t xml:space="preserve">in fine </w:t>
      </w:r>
      <w:r w:rsidRPr="00A84003">
        <w:rPr>
          <w:rFonts w:ascii="Times New Roman" w:hAnsi="Times New Roman" w:eastAsia="Arial Unicode MS" w:cs="Times New Roman"/>
          <w:bCs/>
          <w:sz w:val="24"/>
          <w:szCs w:val="24"/>
          <w:lang w:val="es-PE" w:eastAsia="ar-SA"/>
        </w:rPr>
        <w:t>de la Resolución.</w:t>
      </w:r>
    </w:p>
    <w:p w:rsidRPr="00A84003" w:rsidR="00A84003" w:rsidP="00A84003" w:rsidRDefault="00A84003" w14:paraId="33B4AD88" w14:textId="77777777">
      <w:pPr>
        <w:jc w:val="both"/>
        <w:rPr>
          <w:rFonts w:ascii="Times New Roman" w:hAnsi="Times New Roman" w:eastAsia="Arial Unicode MS" w:cs="Times New Roman"/>
          <w:bCs/>
          <w:sz w:val="24"/>
          <w:szCs w:val="24"/>
          <w:lang w:val="es-PE" w:eastAsia="ar-SA"/>
        </w:rPr>
      </w:pPr>
      <w:r w:rsidRPr="00A84003">
        <w:rPr>
          <w:rFonts w:ascii="Times New Roman" w:hAnsi="Times New Roman" w:eastAsia="Arial Unicode MS" w:cs="Times New Roman"/>
          <w:bCs/>
          <w:sz w:val="24"/>
          <w:szCs w:val="24"/>
          <w:lang w:val="es-PE" w:eastAsia="ar-SA"/>
        </w:rPr>
        <w:t>Que, en atención a las consideraciones precedentes, este Colegiado no aprecia mérito ni razón objetiva para revocar la resolución recurrida y, por lo tanto;</w:t>
      </w:r>
    </w:p>
    <w:p w:rsidRPr="00A84003" w:rsidR="00A84003" w:rsidP="00A84003" w:rsidRDefault="00A84003" w14:paraId="75B318B8" w14:textId="77777777">
      <w:pPr>
        <w:jc w:val="both"/>
        <w:rPr>
          <w:rFonts w:ascii="Times New Roman" w:hAnsi="Times New Roman" w:eastAsia="Arial Unicode MS" w:cs="Times New Roman"/>
          <w:b/>
          <w:bCs/>
          <w:sz w:val="24"/>
          <w:szCs w:val="24"/>
          <w:lang w:val="es-PE" w:eastAsia="ar-SA"/>
        </w:rPr>
      </w:pPr>
      <w:r w:rsidRPr="00A84003">
        <w:rPr>
          <w:rFonts w:ascii="Times New Roman" w:hAnsi="Times New Roman" w:eastAsia="Arial Unicode MS" w:cs="Times New Roman"/>
          <w:b/>
          <w:bCs/>
          <w:sz w:val="24"/>
          <w:szCs w:val="24"/>
          <w:lang w:val="es-PE" w:eastAsia="ar-SA"/>
        </w:rPr>
        <w:t xml:space="preserve">RESUELVE: </w:t>
      </w:r>
    </w:p>
    <w:p w:rsidRPr="00A84003" w:rsidR="00A84003" w:rsidP="4C3F3272" w:rsidRDefault="00A84003" w14:paraId="060B5E88" w14:textId="3B8B6C67">
      <w:pPr>
        <w:jc w:val="both"/>
        <w:rPr>
          <w:rFonts w:ascii="Times New Roman" w:hAnsi="Times New Roman" w:eastAsia="Arial Unicode MS" w:cs="Times New Roman"/>
          <w:sz w:val="24"/>
          <w:szCs w:val="24"/>
          <w:lang w:val="es-PE" w:eastAsia="ar-SA"/>
        </w:rPr>
      </w:pPr>
      <w:r w:rsidRPr="4C3F3272" w:rsidR="00A84003">
        <w:rPr>
          <w:rFonts w:ascii="Times New Roman" w:hAnsi="Times New Roman" w:eastAsia="Arial Unicode MS" w:cs="Times New Roman"/>
          <w:sz w:val="24"/>
          <w:szCs w:val="24"/>
          <w:lang w:val="es-PE" w:eastAsia="ar-SA"/>
        </w:rPr>
        <w:t xml:space="preserve">Declarar </w:t>
      </w:r>
      <w:r w:rsidRPr="4C3F3272" w:rsidR="00A84003">
        <w:rPr>
          <w:rFonts w:ascii="Times New Roman" w:hAnsi="Times New Roman" w:eastAsia="Arial Unicode MS" w:cs="Times New Roman"/>
          <w:b w:val="1"/>
          <w:bCs w:val="1"/>
          <w:sz w:val="24"/>
          <w:szCs w:val="24"/>
          <w:lang w:val="es-PE" w:eastAsia="ar-SA"/>
        </w:rPr>
        <w:t>INFUNDADO</w:t>
      </w:r>
      <w:r w:rsidRPr="4C3F3272" w:rsidR="00A84003">
        <w:rPr>
          <w:rFonts w:ascii="Times New Roman" w:hAnsi="Times New Roman" w:eastAsia="Arial Unicode MS" w:cs="Times New Roman"/>
          <w:sz w:val="24"/>
          <w:szCs w:val="24"/>
          <w:lang w:val="es-PE" w:eastAsia="ar-SA"/>
        </w:rPr>
        <w:t xml:space="preserve"> el Recurso Impugnativo interpuesto y, por consiguiente, ratificar la Resolución </w:t>
      </w:r>
      <w:r w:rsidRPr="4C3F3272" w:rsidR="00A84003">
        <w:rPr>
          <w:rFonts w:ascii="Times New Roman" w:hAnsi="Times New Roman" w:eastAsia="Arial Unicode MS" w:cs="Times New Roman"/>
          <w:sz w:val="24"/>
          <w:szCs w:val="24"/>
          <w:lang w:val="es-PE" w:eastAsia="ar-SA"/>
        </w:rPr>
        <w:t>N°</w:t>
      </w:r>
      <w:r w:rsidRPr="4C3F3272" w:rsidR="00A84003">
        <w:rPr>
          <w:rFonts w:ascii="Times New Roman" w:hAnsi="Times New Roman" w:eastAsia="Arial Unicode MS" w:cs="Times New Roman"/>
          <w:sz w:val="24"/>
          <w:szCs w:val="24"/>
          <w:lang w:val="es-PE" w:eastAsia="ar-SA"/>
        </w:rPr>
        <w:t xml:space="preserve"> 074/24 que declaró</w:t>
      </w:r>
      <w:r w:rsidRPr="4C3F3272" w:rsidR="00A84003">
        <w:rPr>
          <w:rFonts w:ascii="Times New Roman" w:hAnsi="Times New Roman" w:eastAsia="Arial Unicode MS" w:cs="Times New Roman"/>
          <w:b w:val="1"/>
          <w:bCs w:val="1"/>
          <w:sz w:val="24"/>
          <w:szCs w:val="24"/>
          <w:lang w:val="es-PE" w:eastAsia="ar-SA"/>
        </w:rPr>
        <w:t xml:space="preserve"> FUNDADA EN PARTE </w:t>
      </w:r>
      <w:r w:rsidRPr="4C3F3272" w:rsidR="00A84003">
        <w:rPr>
          <w:rFonts w:ascii="Times New Roman" w:hAnsi="Times New Roman" w:eastAsia="Arial Unicode MS" w:cs="Times New Roman"/>
          <w:sz w:val="24"/>
          <w:szCs w:val="24"/>
          <w:lang w:val="es-PE" w:eastAsia="ar-SA"/>
        </w:rPr>
        <w:t>la reclamación interpuesta</w:t>
      </w:r>
      <w:r w:rsidRPr="4C3F3272" w:rsidR="00A84003">
        <w:rPr>
          <w:rFonts w:ascii="Times New Roman" w:hAnsi="Times New Roman" w:eastAsia="Arial Unicode MS" w:cs="Times New Roman"/>
          <w:b w:val="1"/>
          <w:bCs w:val="1"/>
          <w:sz w:val="24"/>
          <w:szCs w:val="24"/>
          <w:lang w:val="es-PE" w:eastAsia="ar-SA"/>
        </w:rPr>
        <w:t xml:space="preserve"> </w:t>
      </w:r>
      <w:r w:rsidRPr="4C3F3272" w:rsidR="00A84003">
        <w:rPr>
          <w:rFonts w:ascii="Times New Roman" w:hAnsi="Times New Roman" w:eastAsia="Arial Unicode MS" w:cs="Times New Roman"/>
          <w:sz w:val="24"/>
          <w:szCs w:val="24"/>
          <w:lang w:val="es-PE" w:eastAsia="ar-SA"/>
        </w:rPr>
        <w:t>por</w:t>
      </w:r>
      <w:r w:rsidRPr="4C3F3272" w:rsidR="00A84003">
        <w:rPr>
          <w:rFonts w:ascii="Times New Roman" w:hAnsi="Times New Roman" w:eastAsia="Arial Unicode MS" w:cs="Times New Roman"/>
          <w:b w:val="1"/>
          <w:bCs w:val="1"/>
          <w:sz w:val="24"/>
          <w:szCs w:val="24"/>
          <w:lang w:val="es-PE" w:eastAsia="ar-SA"/>
        </w:rPr>
        <w:t xml:space="preserve"> </w:t>
      </w:r>
      <w:r w:rsidRPr="4C3F3272" w:rsidR="00A84003">
        <w:rPr>
          <w:rFonts w:ascii="Times New Roman" w:hAnsi="Times New Roman" w:eastAsia="Arial Unicode MS" w:cs="Times New Roman"/>
          <w:sz w:val="24"/>
          <w:szCs w:val="24"/>
          <w:lang w:val="es-PE" w:eastAsia="ar-SA"/>
        </w:rPr>
        <w:t>doña</w:t>
      </w:r>
      <w:r w:rsidRPr="4C3F3272" w:rsidR="00A84003">
        <w:rPr>
          <w:rFonts w:ascii="Times New Roman" w:hAnsi="Times New Roman" w:eastAsia="Arial Unicode MS" w:cs="Times New Roman"/>
          <w:b w:val="1"/>
          <w:bCs w:val="1"/>
          <w:sz w:val="24"/>
          <w:szCs w:val="24"/>
          <w:lang w:val="es-PE" w:eastAsia="ar-SA"/>
        </w:rPr>
        <w:t xml:space="preserve"> </w:t>
      </w:r>
      <w:r w:rsidRPr="4C3F3272" w:rsidR="3942AFFA">
        <w:rPr>
          <w:rFonts w:ascii="Times New Roman" w:hAnsi="Times New Roman" w:eastAsia="Arial Unicode MS" w:cs="Times New Roman"/>
          <w:b w:val="1"/>
          <w:bCs w:val="1"/>
          <w:sz w:val="24"/>
          <w:szCs w:val="24"/>
          <w:lang w:val="es-PE" w:eastAsia="ar-SA"/>
        </w:rPr>
        <w:t>......................................................</w:t>
      </w:r>
      <w:r w:rsidRPr="4C3F3272" w:rsidR="00A84003">
        <w:rPr>
          <w:rFonts w:ascii="Times New Roman" w:hAnsi="Times New Roman" w:eastAsia="Arial Unicode MS" w:cs="Times New Roman"/>
          <w:b w:val="1"/>
          <w:bCs w:val="1"/>
          <w:sz w:val="24"/>
          <w:szCs w:val="24"/>
          <w:lang w:val="es-PE" w:eastAsia="ar-SA"/>
        </w:rPr>
        <w:t xml:space="preserve">, </w:t>
      </w:r>
      <w:r w:rsidRPr="4C3F3272" w:rsidR="00A84003">
        <w:rPr>
          <w:rFonts w:ascii="Times New Roman" w:hAnsi="Times New Roman" w:eastAsia="Arial Unicode MS" w:cs="Times New Roman"/>
          <w:sz w:val="24"/>
          <w:szCs w:val="24"/>
          <w:lang w:val="es-PE" w:eastAsia="ar-SA"/>
        </w:rPr>
        <w:t>dejando a salvo el derecho de las partes de acudir a otras instancias que consideren pertinentes,</w:t>
      </w:r>
    </w:p>
    <w:p w:rsidRPr="00BE6DEF" w:rsidR="008B6A09" w:rsidP="00CF28D9" w:rsidRDefault="0091528B" w14:paraId="000A434B" w14:textId="1C0B22EC">
      <w:pPr>
        <w:jc w:val="right"/>
        <w:rPr>
          <w:rFonts w:ascii="Times New Roman" w:hAnsi="Times New Roman" w:cs="Times New Roman"/>
          <w:bCs/>
          <w:sz w:val="24"/>
          <w:szCs w:val="24"/>
          <w:lang w:val="es-PE"/>
        </w:rPr>
      </w:pPr>
      <w:r w:rsidRPr="00BE6DEF">
        <w:rPr>
          <w:rFonts w:ascii="Times New Roman" w:hAnsi="Times New Roman" w:eastAsia="Arial Unicode MS" w:cs="Times New Roman"/>
          <w:bCs/>
          <w:sz w:val="24"/>
          <w:szCs w:val="24"/>
          <w:lang w:val="es-PE" w:eastAsia="ar-SA"/>
        </w:rPr>
        <w:t xml:space="preserve">Lima, </w:t>
      </w:r>
      <w:r w:rsidR="006266F4">
        <w:rPr>
          <w:rFonts w:ascii="Times New Roman" w:hAnsi="Times New Roman" w:eastAsia="Arial Unicode MS" w:cs="Times New Roman"/>
          <w:bCs/>
          <w:sz w:val="24"/>
          <w:szCs w:val="24"/>
          <w:lang w:val="es-PE" w:eastAsia="ar-SA"/>
        </w:rPr>
        <w:t>05</w:t>
      </w:r>
      <w:r w:rsidRPr="00BE6DEF" w:rsidR="0013444B">
        <w:rPr>
          <w:rFonts w:ascii="Times New Roman" w:hAnsi="Times New Roman" w:eastAsia="Arial Unicode MS" w:cs="Times New Roman"/>
          <w:bCs/>
          <w:sz w:val="24"/>
          <w:szCs w:val="24"/>
          <w:lang w:val="es-PE" w:eastAsia="ar-SA"/>
        </w:rPr>
        <w:t xml:space="preserve"> </w:t>
      </w:r>
      <w:r w:rsidRPr="00BE6DEF" w:rsidR="00707C99">
        <w:rPr>
          <w:rFonts w:ascii="Times New Roman" w:hAnsi="Times New Roman" w:eastAsia="Arial Unicode MS" w:cs="Times New Roman"/>
          <w:bCs/>
          <w:sz w:val="24"/>
          <w:szCs w:val="24"/>
          <w:lang w:val="es-PE" w:eastAsia="ar-SA"/>
        </w:rPr>
        <w:t>de</w:t>
      </w:r>
      <w:r w:rsidRPr="00BE6DEF" w:rsidR="00A02CF2">
        <w:rPr>
          <w:rFonts w:ascii="Times New Roman" w:hAnsi="Times New Roman" w:eastAsia="Arial Unicode MS" w:cs="Times New Roman"/>
          <w:bCs/>
          <w:sz w:val="24"/>
          <w:szCs w:val="24"/>
          <w:lang w:val="es-PE" w:eastAsia="ar-SA"/>
        </w:rPr>
        <w:t xml:space="preserve"> </w:t>
      </w:r>
      <w:r w:rsidRPr="00BE6DEF" w:rsidR="00E56987">
        <w:rPr>
          <w:rFonts w:ascii="Times New Roman" w:hAnsi="Times New Roman" w:eastAsia="Arial Unicode MS" w:cs="Times New Roman"/>
          <w:bCs/>
          <w:sz w:val="24"/>
          <w:szCs w:val="24"/>
          <w:lang w:val="es-PE" w:eastAsia="ar-SA"/>
        </w:rPr>
        <w:t>septiembre</w:t>
      </w:r>
      <w:r w:rsidRPr="00BE6DEF" w:rsidR="002F478E">
        <w:rPr>
          <w:rFonts w:ascii="Times New Roman" w:hAnsi="Times New Roman" w:eastAsia="Arial Unicode MS" w:cs="Times New Roman"/>
          <w:bCs/>
          <w:sz w:val="24"/>
          <w:szCs w:val="24"/>
          <w:lang w:val="es-PE" w:eastAsia="ar-SA"/>
        </w:rPr>
        <w:t xml:space="preserve"> </w:t>
      </w:r>
      <w:r w:rsidRPr="00BE6DEF" w:rsidR="00F06498">
        <w:rPr>
          <w:rFonts w:ascii="Times New Roman" w:hAnsi="Times New Roman" w:eastAsia="Arial Unicode MS" w:cs="Times New Roman"/>
          <w:bCs/>
          <w:sz w:val="24"/>
          <w:szCs w:val="24"/>
          <w:lang w:val="es-PE" w:eastAsia="ar-SA"/>
        </w:rPr>
        <w:t>de 202</w:t>
      </w:r>
      <w:r w:rsidRPr="00BE6DEF" w:rsidR="00543015">
        <w:rPr>
          <w:rFonts w:ascii="Times New Roman" w:hAnsi="Times New Roman" w:eastAsia="Arial Unicode MS" w:cs="Times New Roman"/>
          <w:bCs/>
          <w:sz w:val="24"/>
          <w:szCs w:val="24"/>
          <w:lang w:val="es-PE" w:eastAsia="ar-SA"/>
        </w:rPr>
        <w:t>4</w:t>
      </w:r>
      <w:r w:rsidRPr="00BE6DEF" w:rsidR="00707C99">
        <w:rPr>
          <w:rFonts w:ascii="Times New Roman" w:hAnsi="Times New Roman" w:eastAsia="Times New Roman" w:cs="Times New Roman"/>
          <w:bCs/>
          <w:sz w:val="24"/>
          <w:szCs w:val="24"/>
          <w:lang w:val="es-PE" w:eastAsia="ar-SA"/>
        </w:rPr>
        <w:t xml:space="preserve"> </w:t>
      </w:r>
    </w:p>
    <w:p w:rsidRPr="00BE6DEF" w:rsidR="00A323F4" w:rsidP="00A84003" w:rsidRDefault="00A323F4" w14:paraId="1B6988F6" w14:textId="77777777">
      <w:pPr>
        <w:spacing w:after="0" w:line="240" w:lineRule="auto"/>
        <w:jc w:val="both"/>
        <w:rPr>
          <w:rFonts w:ascii="Times New Roman" w:hAnsi="Times New Roman" w:cs="Times New Roman"/>
          <w:b/>
          <w:i/>
          <w:iCs/>
          <w:sz w:val="24"/>
          <w:szCs w:val="24"/>
          <w:lang w:val="es-PE"/>
        </w:rPr>
      </w:pPr>
      <w:r w:rsidRPr="00BE6DEF">
        <w:rPr>
          <w:rFonts w:ascii="Times New Roman" w:hAnsi="Times New Roman" w:cs="Times New Roman"/>
          <w:b/>
          <w:i/>
          <w:iCs/>
          <w:sz w:val="24"/>
          <w:szCs w:val="24"/>
          <w:lang w:val="es-PE"/>
        </w:rPr>
        <w:t>La Secretaría Técnica certifica que la presente resolución cuenta con el voto de los vocales cuyos nombres figuran en el presente documento.</w:t>
      </w:r>
    </w:p>
    <w:p w:rsidRPr="00BE6DEF" w:rsidR="00A323F4" w:rsidP="00A84003" w:rsidRDefault="00A323F4" w14:paraId="3AB80116" w14:textId="77777777">
      <w:pPr>
        <w:spacing w:after="0" w:line="360" w:lineRule="auto"/>
        <w:jc w:val="both"/>
        <w:rPr>
          <w:rFonts w:ascii="Times New Roman" w:hAnsi="Times New Roman" w:cs="Times New Roman"/>
          <w:b/>
          <w:i/>
          <w:iCs/>
          <w:sz w:val="24"/>
          <w:szCs w:val="24"/>
          <w:lang w:val="es-PE"/>
        </w:rPr>
      </w:pPr>
    </w:p>
    <w:p w:rsidRPr="00BE6DEF" w:rsidR="00600E7F" w:rsidP="00861BDD" w:rsidRDefault="00600E7F" w14:paraId="7680FD70" w14:textId="40A434AA">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Rolando Eyzaguirre </w:t>
      </w:r>
      <w:proofErr w:type="spellStart"/>
      <w:r w:rsidRPr="00BE6DEF">
        <w:rPr>
          <w:rFonts w:ascii="Times New Roman" w:hAnsi="Times New Roman" w:cs="Times New Roman"/>
          <w:b/>
          <w:sz w:val="24"/>
          <w:szCs w:val="24"/>
          <w:lang w:val="es-PE"/>
        </w:rPr>
        <w:t>Maccan</w:t>
      </w:r>
      <w:proofErr w:type="spellEnd"/>
      <w:r w:rsidRPr="00BE6DEF">
        <w:rPr>
          <w:rFonts w:ascii="Times New Roman" w:hAnsi="Times New Roman" w:cs="Times New Roman"/>
          <w:b/>
          <w:sz w:val="24"/>
          <w:szCs w:val="24"/>
          <w:lang w:val="es-PE"/>
        </w:rPr>
        <w:t xml:space="preserve"> – </w:t>
      </w:r>
      <w:proofErr w:type="gramStart"/>
      <w:r w:rsidRPr="00BE6DEF">
        <w:rPr>
          <w:rFonts w:ascii="Times New Roman" w:hAnsi="Times New Roman" w:cs="Times New Roman"/>
          <w:b/>
          <w:sz w:val="24"/>
          <w:szCs w:val="24"/>
          <w:lang w:val="es-PE"/>
        </w:rPr>
        <w:t>Presidente</w:t>
      </w:r>
      <w:proofErr w:type="gramEnd"/>
    </w:p>
    <w:p w:rsidRPr="00BE6DEF" w:rsidR="007543CD" w:rsidP="007543CD" w:rsidRDefault="00543015" w14:paraId="220AA7AD" w14:textId="5B40BC33">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María Eugenia Valdez Fernández Baca </w:t>
      </w:r>
      <w:r w:rsidRPr="00BE6DEF" w:rsidR="007543CD">
        <w:rPr>
          <w:rFonts w:ascii="Times New Roman" w:hAnsi="Times New Roman" w:cs="Times New Roman"/>
          <w:b/>
          <w:sz w:val="24"/>
          <w:szCs w:val="24"/>
          <w:lang w:val="es-PE"/>
        </w:rPr>
        <w:t xml:space="preserve">– </w:t>
      </w:r>
      <w:r w:rsidRPr="00BE6DEF" w:rsidR="00950F53">
        <w:rPr>
          <w:rFonts w:ascii="Times New Roman" w:hAnsi="Times New Roman" w:cs="Times New Roman"/>
          <w:b/>
          <w:sz w:val="24"/>
          <w:szCs w:val="24"/>
          <w:lang w:val="es-PE"/>
        </w:rPr>
        <w:t>Vocal</w:t>
      </w:r>
    </w:p>
    <w:p w:rsidRPr="00BE6DEF" w:rsidR="00600E7F" w:rsidP="00600E7F" w:rsidRDefault="00600E7F" w14:paraId="3155F74E" w14:textId="30D2E81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Omar Alfaro Villanueva – Vocal</w:t>
      </w:r>
    </w:p>
    <w:p w:rsidRPr="00BE6DEF" w:rsidR="007543CD" w:rsidP="007543CD" w:rsidRDefault="007543CD" w14:paraId="69BFE54F" w14:textId="7777777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Gonzalo Abad del Busto – Vocal</w:t>
      </w:r>
    </w:p>
    <w:p w:rsidRPr="00BE6DEF"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27406D"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27406D" w:rsidR="00556526" w:rsidP="00B17E56" w:rsidRDefault="00556526" w14:paraId="5D853B0D" w14:textId="088DF411">
      <w:pPr>
        <w:jc w:val="both"/>
        <w:rPr>
          <w:rFonts w:ascii="Times New Roman" w:hAnsi="Times New Roman" w:cs="Times New Roman"/>
          <w:bCs/>
          <w:i/>
          <w:iCs/>
          <w:sz w:val="24"/>
          <w:szCs w:val="24"/>
          <w:lang w:val="es-ES_tradnl"/>
        </w:rPr>
      </w:pPr>
    </w:p>
    <w:p w:rsidRPr="0027406D"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12"/>
      <w:footerReference w:type="defaul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46E54" w:rsidP="00784355" w:rsidRDefault="00246E54" w14:paraId="537C697F" w14:textId="77777777">
      <w:pPr>
        <w:spacing w:after="0" w:line="240" w:lineRule="auto"/>
      </w:pPr>
      <w:r>
        <w:separator/>
      </w:r>
    </w:p>
  </w:endnote>
  <w:endnote w:type="continuationSeparator" w:id="0">
    <w:p w:rsidR="00246E54" w:rsidP="00784355" w:rsidRDefault="00246E54" w14:paraId="6CC848D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46E54" w:rsidP="00784355" w:rsidRDefault="00246E54" w14:paraId="5121745D" w14:textId="77777777">
      <w:pPr>
        <w:spacing w:after="0" w:line="240" w:lineRule="auto"/>
      </w:pPr>
      <w:r>
        <w:separator/>
      </w:r>
    </w:p>
  </w:footnote>
  <w:footnote w:type="continuationSeparator" w:id="0">
    <w:p w:rsidR="00246E54" w:rsidP="00784355" w:rsidRDefault="00246E54" w14:paraId="61EE0A27" w14:textId="77777777">
      <w:pPr>
        <w:spacing w:after="0" w:line="240" w:lineRule="auto"/>
      </w:pPr>
      <w:r>
        <w:continuationSeparator/>
      </w:r>
    </w:p>
  </w:footnote>
  <w:footnote w:id="1">
    <w:p w:rsidR="00A84003" w:rsidP="00A84003" w:rsidRDefault="00A84003" w14:paraId="7D3633AF" w14:textId="77777777">
      <w:pPr>
        <w:pStyle w:val="Textonotapie"/>
        <w:jc w:val="both"/>
      </w:pPr>
      <w:r>
        <w:rPr>
          <w:rStyle w:val="Refdenotaalpie"/>
        </w:rPr>
        <w:footnoteRef/>
      </w:r>
      <w:r>
        <w:t xml:space="preserve"> </w:t>
      </w:r>
      <w:r>
        <w:rPr>
          <w:b/>
          <w:bCs/>
        </w:rPr>
        <w:t>Artículo 10</w:t>
      </w:r>
      <w:proofErr w:type="gramStart"/>
      <w:r>
        <w:rPr>
          <w:b/>
          <w:bCs/>
        </w:rPr>
        <w:t>°.-</w:t>
      </w:r>
      <w:proofErr w:type="gramEnd"/>
      <w:r>
        <w:rPr>
          <w:b/>
          <w:bCs/>
        </w:rPr>
        <w:t xml:space="preserve"> Informe de liquidación del siniestro </w:t>
      </w:r>
    </w:p>
    <w:p w:rsidR="00A84003" w:rsidP="00A84003" w:rsidRDefault="00A84003" w14:paraId="2369CE31" w14:textId="77777777">
      <w:pPr>
        <w:pStyle w:val="Textonotapie"/>
        <w:jc w:val="both"/>
      </w:pPr>
      <w:r>
        <w:t xml:space="preserve">La opinión del ajustador de siniestros emitida en el informe de liquidación del </w:t>
      </w:r>
      <w:proofErr w:type="gramStart"/>
      <w:r>
        <w:t>siniestro,</w:t>
      </w:r>
      <w:proofErr w:type="gramEnd"/>
      <w:r>
        <w:t xml:space="preserve"> no obliga a las partes y es independiente de ellas. El ajustador de siniestros debe entregar simultáneamente al asegurado y a la empresa los informes que elabora, </w:t>
      </w:r>
      <w:proofErr w:type="gramStart"/>
      <w:r>
        <w:t>de acuerdo al</w:t>
      </w:r>
      <w:proofErr w:type="gramEnd"/>
      <w:r>
        <w:t xml:space="preserve"> desarrollo del proceso de liquidación del siniestro, debiendo mantener a disposición de la Superintendencia el sustento de haber entregado todos los informes, sean éstos parciales o finales, en las direcciones físicas o electrónicas que las partes hayan señalado en la póliza. </w:t>
      </w:r>
    </w:p>
    <w:p w:rsidR="00A84003" w:rsidP="00A84003" w:rsidRDefault="00A84003" w14:paraId="2D17ECF8" w14:textId="77777777">
      <w:pPr>
        <w:pStyle w:val="Textonotapie"/>
        <w:jc w:val="both"/>
        <w:rPr>
          <w:lang w:val="es-MX"/>
        </w:rPr>
      </w:pPr>
      <w:r>
        <w:t>Si el asegurado o la empresa no estuvieran de acuerdo con la liquidación del siniestro, podrán designar a otro ajustador de siniestros para elaborar un nuevo informe, quien se sujetará a los plazos señalados en los artículos 5° y 8°. De lo contrario, las partes podrán recurrir al medio de solución de controversias que corresponda</w:t>
      </w:r>
    </w:p>
  </w:footnote>
  <w:footnote w:id="2">
    <w:p w:rsidR="00A84003" w:rsidP="00A84003" w:rsidRDefault="00A84003" w14:paraId="09EA9E4B" w14:textId="77777777">
      <w:pPr>
        <w:pStyle w:val="Textonotapie"/>
        <w:jc w:val="both"/>
        <w:rPr>
          <w:lang w:val="es-MX"/>
        </w:rPr>
      </w:pPr>
      <w:r>
        <w:rPr>
          <w:rStyle w:val="Refdenotaalpie"/>
        </w:rPr>
        <w:footnoteRef/>
      </w:r>
      <w:r>
        <w:t xml:space="preserve"> </w:t>
      </w:r>
      <w:r>
        <w:rPr>
          <w:lang w:val="es-MX"/>
        </w:rPr>
        <w:t>Debemos recordar que DEFASEG resulta una institución dedicada a la resolución de controversias relacionadas -únicamente- a lo que su reglamento autoriza, mas no resulta parte de la relación obligacional generada por la suscripción de la póliza. En ese sentido, DEFASEG, como ente imparcial, no puede hacerse responsable del cumplimiento de los requisitos que cualquiera las partes hayan asumido en el marco de su relación privada.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3234D4A"/>
    <w:multiLevelType w:val="hybridMultilevel"/>
    <w:tmpl w:val="733ADF9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69344C5"/>
    <w:multiLevelType w:val="hybridMultilevel"/>
    <w:tmpl w:val="85A0C6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C305657"/>
    <w:multiLevelType w:val="hybridMultilevel"/>
    <w:tmpl w:val="2B6C47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D407F4C"/>
    <w:multiLevelType w:val="hybridMultilevel"/>
    <w:tmpl w:val="EF3C7D4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A67CB4"/>
    <w:multiLevelType w:val="hybridMultilevel"/>
    <w:tmpl w:val="7A5474B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962BE"/>
    <w:multiLevelType w:val="hybridMultilevel"/>
    <w:tmpl w:val="F1AE5AB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DA56832"/>
    <w:multiLevelType w:val="hybridMultilevel"/>
    <w:tmpl w:val="AE461F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1CA71B7"/>
    <w:multiLevelType w:val="hybridMultilevel"/>
    <w:tmpl w:val="E696AB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4FD37C0"/>
    <w:multiLevelType w:val="hybridMultilevel"/>
    <w:tmpl w:val="B1DA74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95423F8"/>
    <w:multiLevelType w:val="hybridMultilevel"/>
    <w:tmpl w:val="162AC7C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597B7D2A"/>
    <w:multiLevelType w:val="hybridMultilevel"/>
    <w:tmpl w:val="3CB41C6C"/>
    <w:lvl w:ilvl="0" w:tplc="D4AA1A2A">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5"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78B4F37"/>
    <w:multiLevelType w:val="hybridMultilevel"/>
    <w:tmpl w:val="0986968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40"/>
  </w:num>
  <w:num w:numId="3" w16cid:durableId="333261791">
    <w:abstractNumId w:val="32"/>
  </w:num>
  <w:num w:numId="4" w16cid:durableId="1770345525">
    <w:abstractNumId w:val="31"/>
  </w:num>
  <w:num w:numId="5" w16cid:durableId="1816144979">
    <w:abstractNumId w:val="36"/>
  </w:num>
  <w:num w:numId="6" w16cid:durableId="1304313350">
    <w:abstractNumId w:val="0"/>
  </w:num>
  <w:num w:numId="7" w16cid:durableId="16682880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2"/>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5"/>
  </w:num>
  <w:num w:numId="26" w16cid:durableId="2108460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44"/>
  </w:num>
  <w:num w:numId="34" w16cid:durableId="3649146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41301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603165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11686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52937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44311365">
    <w:abstractNumId w:val="41"/>
  </w:num>
  <w:num w:numId="45" w16cid:durableId="734663452">
    <w:abstractNumId w:val="30"/>
  </w:num>
  <w:num w:numId="46" w16cid:durableId="1522279838">
    <w:abstractNumId w:val="42"/>
  </w:num>
  <w:num w:numId="47" w16cid:durableId="18842521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34255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740347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4790600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2945014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33525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4839470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D5F00"/>
    <w:rsid w:val="000E4569"/>
    <w:rsid w:val="000F17DA"/>
    <w:rsid w:val="000F38C7"/>
    <w:rsid w:val="000F4CDC"/>
    <w:rsid w:val="000F56CC"/>
    <w:rsid w:val="000F6340"/>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4FD"/>
    <w:rsid w:val="002E17F9"/>
    <w:rsid w:val="002F09CA"/>
    <w:rsid w:val="002F35F0"/>
    <w:rsid w:val="002F478E"/>
    <w:rsid w:val="002F5119"/>
    <w:rsid w:val="00300D21"/>
    <w:rsid w:val="00300DDA"/>
    <w:rsid w:val="00303FA8"/>
    <w:rsid w:val="003045E3"/>
    <w:rsid w:val="00307C65"/>
    <w:rsid w:val="00314603"/>
    <w:rsid w:val="00317805"/>
    <w:rsid w:val="0032132E"/>
    <w:rsid w:val="00321EC9"/>
    <w:rsid w:val="00327AEB"/>
    <w:rsid w:val="00334BF1"/>
    <w:rsid w:val="00340CA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6CB"/>
    <w:rsid w:val="005A782D"/>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0E7F"/>
    <w:rsid w:val="006043E9"/>
    <w:rsid w:val="00605902"/>
    <w:rsid w:val="00606105"/>
    <w:rsid w:val="00613A39"/>
    <w:rsid w:val="00622ABC"/>
    <w:rsid w:val="00623204"/>
    <w:rsid w:val="00624034"/>
    <w:rsid w:val="006266F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B7C97"/>
    <w:rsid w:val="008D1D39"/>
    <w:rsid w:val="008D5049"/>
    <w:rsid w:val="008D6DDF"/>
    <w:rsid w:val="008D721C"/>
    <w:rsid w:val="008E33FD"/>
    <w:rsid w:val="008F1161"/>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D5CBE"/>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C4B"/>
    <w:rsid w:val="00EA7250"/>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1289"/>
    <w:rsid w:val="00FE38F0"/>
    <w:rsid w:val="00FE43A9"/>
    <w:rsid w:val="00FE6588"/>
    <w:rsid w:val="00FE73F3"/>
    <w:rsid w:val="00FF11AC"/>
    <w:rsid w:val="00FF3F82"/>
    <w:rsid w:val="00FF41F3"/>
    <w:rsid w:val="00FF4848"/>
    <w:rsid w:val="00FF4D0C"/>
    <w:rsid w:val="093D5606"/>
    <w:rsid w:val="0E60B115"/>
    <w:rsid w:val="12C69CB6"/>
    <w:rsid w:val="27FCF634"/>
    <w:rsid w:val="30650933"/>
    <w:rsid w:val="346CC1F3"/>
    <w:rsid w:val="34702ACA"/>
    <w:rsid w:val="3942AFFA"/>
    <w:rsid w:val="3A22EF75"/>
    <w:rsid w:val="44B69943"/>
    <w:rsid w:val="464AA4D2"/>
    <w:rsid w:val="4C234ED7"/>
    <w:rsid w:val="4C3F3272"/>
    <w:rsid w:val="50B80944"/>
    <w:rsid w:val="62CDB427"/>
    <w:rsid w:val="63080572"/>
    <w:rsid w:val="714507ED"/>
    <w:rsid w:val="762CA11C"/>
    <w:rsid w:val="7BC17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iPriority w:val="99"/>
    <w:semiHidden/>
    <w:unhideWhenUsed/>
    <w:rsid w:val="00827F7F"/>
    <w:pPr>
      <w:spacing w:after="0" w:line="240" w:lineRule="auto"/>
    </w:pPr>
    <w:rPr>
      <w:sz w:val="20"/>
      <w:szCs w:val="20"/>
      <w:lang w:val="es-PE"/>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iPriority w:val="99"/>
    <w:semiHidden/>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cda34a92507940bb" Type="http://schemas.openxmlformats.org/officeDocument/2006/relationships/hyperlink" Target="mailto:amartin@defaseg.com.pe" TargetMode="Externa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defaseg.com.pe/reglament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A7EE07A-8E5F-425A-BE7D-80F40B1C0857}"/>
</file>

<file path=customXml/itemProps3.xml><?xml version="1.0" encoding="utf-8"?>
<ds:datastoreItem xmlns:ds="http://schemas.openxmlformats.org/officeDocument/2006/customXml" ds:itemID="{B46FCCF7-F842-4809-98B4-77DDF7F6330C}"/>
</file>

<file path=customXml/itemProps4.xml><?xml version="1.0" encoding="utf-8"?>
<ds:datastoreItem xmlns:ds="http://schemas.openxmlformats.org/officeDocument/2006/customXml" ds:itemID="{218B8C8D-1790-490D-A251-8A78AD5FE7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373</cp:revision>
  <cp:lastPrinted>2024-09-06T15:35:00Z</cp:lastPrinted>
  <dcterms:created xsi:type="dcterms:W3CDTF">2023-02-14T22:37:00Z</dcterms:created>
  <dcterms:modified xsi:type="dcterms:W3CDTF">2025-12-12T14:05:47Z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