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8F1223" w:rsidP="008F1223" w:rsidRDefault="00201C0D" w14:paraId="150750E4" w14:textId="6A7D7C2B">
      <w:pPr>
        <w:spacing w:after="0" w:line="240" w:lineRule="auto"/>
        <w:jc w:val="center"/>
        <w:rPr>
          <w:rFonts w:ascii="Times New Roman" w:hAnsi="Times New Roman" w:cs="Times New Roman"/>
          <w:b/>
          <w:sz w:val="24"/>
          <w:szCs w:val="24"/>
          <w:lang w:val="es-PE" w:eastAsia="ar-SA"/>
        </w:rPr>
      </w:pPr>
      <w:r w:rsidRPr="00BE6DEF">
        <w:rPr>
          <w:rFonts w:ascii="Times New Roman" w:hAnsi="Times New Roman" w:cs="Times New Roman"/>
          <w:b/>
          <w:sz w:val="24"/>
          <w:szCs w:val="24"/>
          <w:lang w:val="es-PE" w:eastAsia="ar-SA"/>
        </w:rPr>
        <w:t xml:space="preserve">RESOLUCIÓN DE RECURSO IMPUGNATIVO </w:t>
      </w:r>
      <w:proofErr w:type="spellStart"/>
      <w:r w:rsidRPr="00BE6DEF" w:rsidR="00707C99">
        <w:rPr>
          <w:rFonts w:ascii="Times New Roman" w:hAnsi="Times New Roman" w:cs="Times New Roman"/>
          <w:b/>
          <w:sz w:val="24"/>
          <w:szCs w:val="24"/>
          <w:lang w:val="es-PE" w:eastAsia="ar-SA"/>
        </w:rPr>
        <w:t>N°</w:t>
      </w:r>
      <w:proofErr w:type="spellEnd"/>
      <w:r w:rsidRPr="00BE6DEF" w:rsidR="00707C99">
        <w:rPr>
          <w:rFonts w:ascii="Times New Roman" w:hAnsi="Times New Roman" w:cs="Times New Roman"/>
          <w:b/>
          <w:sz w:val="24"/>
          <w:szCs w:val="24"/>
          <w:lang w:val="es-PE" w:eastAsia="ar-SA"/>
        </w:rPr>
        <w:t xml:space="preserve"> </w:t>
      </w:r>
      <w:r w:rsidRPr="00BE6DEF" w:rsidR="00516293">
        <w:rPr>
          <w:rFonts w:ascii="Times New Roman" w:hAnsi="Times New Roman" w:cs="Times New Roman"/>
          <w:b/>
          <w:sz w:val="24"/>
          <w:szCs w:val="24"/>
          <w:lang w:val="es-PE" w:eastAsia="ar-SA"/>
        </w:rPr>
        <w:t>0</w:t>
      </w:r>
      <w:r w:rsidR="000C4FAF">
        <w:rPr>
          <w:rFonts w:ascii="Times New Roman" w:hAnsi="Times New Roman" w:cs="Times New Roman"/>
          <w:b/>
          <w:sz w:val="24"/>
          <w:szCs w:val="24"/>
          <w:lang w:val="es-PE" w:eastAsia="ar-SA"/>
        </w:rPr>
        <w:t>40</w:t>
      </w:r>
      <w:r w:rsidRPr="00BE6DEF" w:rsidR="00C671F5">
        <w:rPr>
          <w:rFonts w:ascii="Times New Roman" w:hAnsi="Times New Roman" w:cs="Times New Roman"/>
          <w:b/>
          <w:sz w:val="24"/>
          <w:szCs w:val="24"/>
          <w:lang w:val="es-PE" w:eastAsia="ar-SA"/>
        </w:rPr>
        <w:t>/2</w:t>
      </w:r>
      <w:r w:rsidRPr="00BE6DEF" w:rsidR="00543015">
        <w:rPr>
          <w:rFonts w:ascii="Times New Roman" w:hAnsi="Times New Roman" w:cs="Times New Roman"/>
          <w:b/>
          <w:sz w:val="24"/>
          <w:szCs w:val="24"/>
          <w:lang w:val="es-PE" w:eastAsia="ar-SA"/>
        </w:rPr>
        <w:t>4</w:t>
      </w:r>
    </w:p>
    <w:p w:rsidR="002A0247" w:rsidP="002A0247" w:rsidRDefault="002A0247" w14:paraId="33896709" w14:textId="77777777">
      <w:pPr>
        <w:jc w:val="both"/>
        <w:rPr>
          <w:rFonts w:ascii="Times New Roman" w:hAnsi="Times New Roman" w:eastAsia="Arial Unicode MS" w:cs="Times New Roman"/>
          <w:b/>
          <w:bCs/>
          <w:sz w:val="24"/>
          <w:szCs w:val="24"/>
          <w:lang w:val="es-MX" w:eastAsia="ar-SA"/>
        </w:rPr>
      </w:pPr>
    </w:p>
    <w:p w:rsidRPr="002A0247" w:rsidR="002A0247" w:rsidP="002A0247" w:rsidRDefault="002A0247" w14:paraId="011D89E7" w14:textId="0A8BE2D3">
      <w:pPr>
        <w:jc w:val="both"/>
        <w:rPr>
          <w:rFonts w:ascii="Times New Roman" w:hAnsi="Times New Roman" w:eastAsia="Arial Unicode MS" w:cs="Times New Roman"/>
          <w:b/>
          <w:bCs/>
          <w:sz w:val="24"/>
          <w:szCs w:val="24"/>
          <w:lang w:val="es-MX" w:eastAsia="ar-SA"/>
        </w:rPr>
      </w:pPr>
      <w:r w:rsidRPr="002A0247">
        <w:rPr>
          <w:rFonts w:ascii="Times New Roman" w:hAnsi="Times New Roman" w:eastAsia="Arial Unicode MS" w:cs="Times New Roman"/>
          <w:b/>
          <w:bCs/>
          <w:sz w:val="24"/>
          <w:szCs w:val="24"/>
          <w:lang w:val="es-MX" w:eastAsia="ar-SA"/>
        </w:rPr>
        <w:t>Vistos:</w:t>
      </w:r>
    </w:p>
    <w:p w:rsidR="002A0247" w:rsidP="6C595536" w:rsidRDefault="002A0247" w14:paraId="33CADD92" w14:textId="12052BA7">
      <w:pPr>
        <w:jc w:val="both"/>
        <w:rPr>
          <w:rFonts w:ascii="Times New Roman" w:hAnsi="Times New Roman" w:eastAsia="Arial Unicode MS" w:cs="Times New Roman"/>
          <w:sz w:val="24"/>
          <w:szCs w:val="24"/>
          <w:lang w:val="es-ES" w:eastAsia="ar-SA"/>
        </w:rPr>
      </w:pPr>
      <w:r w:rsidRPr="6C595536" w:rsidR="002A0247">
        <w:rPr>
          <w:rFonts w:ascii="Times New Roman" w:hAnsi="Times New Roman" w:eastAsia="Arial Unicode MS" w:cs="Times New Roman"/>
          <w:sz w:val="24"/>
          <w:szCs w:val="24"/>
          <w:lang w:val="es-ES" w:eastAsia="ar-SA"/>
        </w:rPr>
        <w:t xml:space="preserve">El recurso impugnativo presentado el 4 de septiembre de 2024 </w:t>
      </w:r>
      <w:r w:rsidRPr="6C595536" w:rsidR="002A0247">
        <w:rPr>
          <w:rFonts w:ascii="Times New Roman" w:hAnsi="Times New Roman" w:eastAsia="Arial Unicode MS" w:cs="Times New Roman"/>
          <w:sz w:val="24"/>
          <w:szCs w:val="24"/>
          <w:lang w:val="es-ES" w:eastAsia="ar-SA"/>
        </w:rPr>
        <w:t xml:space="preserve">por  </w:t>
      </w:r>
      <w:r w:rsidRPr="6C595536" w:rsidR="3BC4AED5">
        <w:rPr>
          <w:rFonts w:ascii="Times New Roman" w:hAnsi="Times New Roman" w:eastAsia="Arial Unicode MS" w:cs="Times New Roman"/>
          <w:sz w:val="24"/>
          <w:szCs w:val="24"/>
          <w:lang w:val="es-ES" w:eastAsia="ar-SA"/>
        </w:rPr>
        <w:t>............................................................</w:t>
      </w:r>
      <w:r w:rsidRPr="6C595536" w:rsidR="002A0247">
        <w:rPr>
          <w:rFonts w:ascii="Times New Roman" w:hAnsi="Times New Roman" w:eastAsia="Arial Unicode MS" w:cs="Times New Roman"/>
          <w:sz w:val="24"/>
          <w:szCs w:val="24"/>
          <w:lang w:val="es-ES" w:eastAsia="ar-SA"/>
        </w:rPr>
        <w:t xml:space="preserve">, respecto de la Resolución </w:t>
      </w:r>
      <w:r w:rsidRPr="6C595536" w:rsidR="002A0247">
        <w:rPr>
          <w:rFonts w:ascii="Times New Roman" w:hAnsi="Times New Roman" w:eastAsia="Arial Unicode MS" w:cs="Times New Roman"/>
          <w:sz w:val="24"/>
          <w:szCs w:val="24"/>
          <w:lang w:val="es-ES" w:eastAsia="ar-SA"/>
        </w:rPr>
        <w:t>N°</w:t>
      </w:r>
      <w:r w:rsidRPr="6C595536" w:rsidR="002A0247">
        <w:rPr>
          <w:rFonts w:ascii="Times New Roman" w:hAnsi="Times New Roman" w:eastAsia="Arial Unicode MS" w:cs="Times New Roman"/>
          <w:sz w:val="24"/>
          <w:szCs w:val="24"/>
          <w:lang w:val="es-ES" w:eastAsia="ar-SA"/>
        </w:rPr>
        <w:t xml:space="preserve"> 153/24, expedida el 26 de agosto de 2024 por esta Defensoría del Asegurado (DEFASEG), que declaró FUNDADA la reclamación interpuesta por el asegurado don </w:t>
      </w:r>
      <w:r w:rsidRPr="6C595536" w:rsidR="31E1F01B">
        <w:rPr>
          <w:rFonts w:ascii="Times New Roman" w:hAnsi="Times New Roman" w:eastAsia="Arial Unicode MS" w:cs="Times New Roman"/>
          <w:sz w:val="24"/>
          <w:szCs w:val="24"/>
          <w:lang w:val="es-ES" w:eastAsia="ar-SA"/>
        </w:rPr>
        <w:t>............................................................</w:t>
      </w:r>
      <w:r w:rsidRPr="6C595536" w:rsidR="002A0247">
        <w:rPr>
          <w:rFonts w:ascii="Times New Roman" w:hAnsi="Times New Roman" w:eastAsia="Arial Unicode MS" w:cs="Times New Roman"/>
          <w:sz w:val="24"/>
          <w:szCs w:val="24"/>
          <w:lang w:val="es-ES" w:eastAsia="ar-SA"/>
        </w:rPr>
        <w:t xml:space="preserve"> respecto del seguro de desempleo involuntario</w:t>
      </w:r>
      <w:r w:rsidRPr="6C595536" w:rsidR="002A0247">
        <w:rPr>
          <w:rFonts w:ascii="Times New Roman" w:hAnsi="Times New Roman" w:eastAsia="Arial Unicode MS" w:cs="Times New Roman"/>
          <w:sz w:val="24"/>
          <w:szCs w:val="24"/>
          <w:lang w:val="es-PE" w:eastAsia="ar-SA"/>
        </w:rPr>
        <w:t>.</w:t>
      </w:r>
    </w:p>
    <w:p w:rsidRPr="002A0247" w:rsidR="002A0247" w:rsidP="6C595536" w:rsidRDefault="002A0247" w14:paraId="54F8FC1E" w14:textId="2DF6DED0">
      <w:pPr>
        <w:jc w:val="both"/>
        <w:rPr>
          <w:rFonts w:ascii="Times New Roman" w:hAnsi="Times New Roman" w:eastAsia="Arial Unicode MS" w:cs="Times New Roman"/>
          <w:sz w:val="24"/>
          <w:szCs w:val="24"/>
          <w:lang w:val="es-ES" w:eastAsia="ar-SA"/>
        </w:rPr>
      </w:pPr>
      <w:r w:rsidRPr="6C595536" w:rsidR="002A0247">
        <w:rPr>
          <w:rFonts w:ascii="Times New Roman" w:hAnsi="Times New Roman" w:eastAsia="Arial Unicode MS" w:cs="Times New Roman"/>
          <w:sz w:val="24"/>
          <w:szCs w:val="24"/>
          <w:lang w:val="es-MX" w:eastAsia="ar-SA"/>
        </w:rPr>
        <w:t xml:space="preserve">Que, a través del señalado recurso, la aseguradora procede a impugnar la Resolución </w:t>
      </w:r>
      <w:r w:rsidRPr="6C595536" w:rsidR="002A0247">
        <w:rPr>
          <w:rFonts w:ascii="Times New Roman" w:hAnsi="Times New Roman" w:eastAsia="Arial Unicode MS" w:cs="Times New Roman"/>
          <w:sz w:val="24"/>
          <w:szCs w:val="24"/>
          <w:lang w:val="es-MX" w:eastAsia="ar-SA"/>
        </w:rPr>
        <w:t>N°</w:t>
      </w:r>
      <w:r w:rsidRPr="6C595536" w:rsidR="002A0247">
        <w:rPr>
          <w:rFonts w:ascii="Times New Roman" w:hAnsi="Times New Roman" w:eastAsia="Arial Unicode MS" w:cs="Times New Roman"/>
          <w:sz w:val="24"/>
          <w:szCs w:val="24"/>
          <w:lang w:val="es-MX" w:eastAsia="ar-SA"/>
        </w:rPr>
        <w:t xml:space="preserve"> 153/24, en virtud a los argumentos que se resumen a continuación: a) </w:t>
      </w:r>
      <w:r w:rsidRPr="6C595536" w:rsidR="72C2A428">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modificó las condiciones del seguro previa aceptación del contratante del seguro, la compañía </w:t>
      </w:r>
      <w:r w:rsidRPr="6C595536" w:rsidR="7E235497">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de acuerdo con el procedimiento establecido en el artículo 30 de la ley del contrato de seguro, que se encuentra en sintonía con lo indicado en el artículo 20 del condicionado general del seguro de desempleo; en este caso a diferencia de lo que sostiene DEFASEG que no hubo aceptación del contratante, señalan que sí la hubo, pues el contratante es </w:t>
      </w:r>
      <w:r w:rsidRPr="6C595536" w:rsidR="7E235497">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y lo que correspondía luego del acuerdo entre </w:t>
      </w:r>
      <w:r w:rsidRPr="6C595536" w:rsidR="7E235497">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y </w:t>
      </w:r>
      <w:r w:rsidRPr="6C595536" w:rsidR="72C2A428">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solamente era poner el cambio en conocimiento del asegurado; b) en virtud a ello informó al stock de asegurados las modificaciones previamente aceptadas por el CONTRATANTE; c) en el caso del asegurado, se le informó el cambio de condiciones el 26 de octubre de 2023 a su correo electrónico brindado para dicho fin, con 46 días previos a la entrada en vigor de las modificaciones, con el objeto que evaluara los cambios y decidiera si continuaba con el seguro adquirido; d) no coinciden con la interpretación de la DEFASEG en el sentido que dicha modificación no puede ser opuesta al asegurado en cualquier momento pues se estaría vulnerando el artículo 7 de la ley del contrato de seguros; añaden que la SBS requiere que se avise al stock de asegurados a quienes se aplica los cambios aceptados por el contratante y que la posibilidad de modificación durante su vigencia resulta complementaria a la posibilidad de modificar los términos al momento de la renovación automática, más aún si en ninguna parte se evidencia un texto que declare que ambas son excluyentes; e) consideran que de no aceptarse esta posición significaría que la única oportunidad en que la aseguradora podría modificar las condiciones del contrato de seguro serían a su renovación; sin embargo dicho supuesto está contemplado en el artículo 7 de la ley y no el artículo 30, por lo que existe el limitante expuesto en la resolución impugnada.</w:t>
      </w:r>
    </w:p>
    <w:p w:rsidRPr="002A0247" w:rsidR="002A0247" w:rsidP="002A0247" w:rsidRDefault="002A0247" w14:paraId="11A5719C" w14:textId="77777777">
      <w:pPr>
        <w:jc w:val="both"/>
        <w:rPr>
          <w:rFonts w:ascii="Times New Roman" w:hAnsi="Times New Roman" w:eastAsia="Arial Unicode MS" w:cs="Times New Roman"/>
          <w:bCs/>
          <w:sz w:val="24"/>
          <w:szCs w:val="24"/>
          <w:lang w:val="es-MX" w:eastAsia="ar-SA"/>
        </w:rPr>
      </w:pPr>
      <w:r w:rsidRPr="002A0247">
        <w:rPr>
          <w:rFonts w:ascii="Times New Roman" w:hAnsi="Times New Roman" w:eastAsia="Arial Unicode MS" w:cs="Times New Roman"/>
          <w:bCs/>
          <w:sz w:val="24"/>
          <w:szCs w:val="24"/>
          <w:lang w:val="es-MX" w:eastAsia="ar-SA"/>
        </w:rPr>
        <w:t>Que, corrido traslado a la parte reclamante esta señaló por correo electrónico que no es experta en leyes, pero no estuvo informado de las modificaciones, considera que la aseguradora no solo debería enviar un correo sino también llamar para asegurarse que el mensaje fue recibido.</w:t>
      </w:r>
    </w:p>
    <w:p w:rsidRPr="002A0247" w:rsidR="002A0247" w:rsidP="002A0247" w:rsidRDefault="002A0247" w14:paraId="22CE6594" w14:textId="77777777">
      <w:pPr>
        <w:jc w:val="both"/>
        <w:rPr>
          <w:rFonts w:ascii="Times New Roman" w:hAnsi="Times New Roman" w:eastAsia="Arial Unicode MS" w:cs="Times New Roman"/>
          <w:bCs/>
          <w:sz w:val="24"/>
          <w:szCs w:val="24"/>
          <w:lang w:val="es-MX" w:eastAsia="ar-SA"/>
        </w:rPr>
      </w:pPr>
      <w:r w:rsidRPr="002A0247">
        <w:rPr>
          <w:rFonts w:ascii="Times New Roman" w:hAnsi="Times New Roman" w:eastAsia="Arial Unicode MS" w:cs="Times New Roman"/>
          <w:bCs/>
          <w:sz w:val="24"/>
          <w:szCs w:val="24"/>
          <w:lang w:val="es-MX" w:eastAsia="ar-SA"/>
        </w:rPr>
        <w:t>Que, atendiendo a lo expuesto, esta Defensoría resuelve finalmente lo siguiente:</w:t>
      </w:r>
    </w:p>
    <w:p w:rsidRPr="002A0247" w:rsidR="002A0247" w:rsidP="002A0247" w:rsidRDefault="002A0247" w14:paraId="377ABB85" w14:textId="77777777">
      <w:pPr>
        <w:jc w:val="both"/>
        <w:rPr>
          <w:rFonts w:ascii="Times New Roman" w:hAnsi="Times New Roman" w:eastAsia="Arial Unicode MS" w:cs="Times New Roman"/>
          <w:bCs/>
          <w:sz w:val="24"/>
          <w:szCs w:val="24"/>
          <w:lang w:val="es-PE" w:eastAsia="ar-SA"/>
        </w:rPr>
      </w:pPr>
      <w:r w:rsidRPr="002A0247">
        <w:rPr>
          <w:rFonts w:ascii="Times New Roman" w:hAnsi="Times New Roman" w:eastAsia="Arial Unicode MS" w:cs="Times New Roman"/>
          <w:b/>
          <w:bCs/>
          <w:sz w:val="24"/>
          <w:szCs w:val="24"/>
          <w:u w:val="single"/>
          <w:lang w:val="es-PE" w:eastAsia="ar-SA"/>
        </w:rPr>
        <w:t>Primero</w:t>
      </w:r>
      <w:r w:rsidRPr="002A0247">
        <w:rPr>
          <w:rFonts w:ascii="Times New Roman" w:hAnsi="Times New Roman" w:eastAsia="Arial Unicode MS" w:cs="Times New Roman"/>
          <w:b/>
          <w:bCs/>
          <w:sz w:val="24"/>
          <w:szCs w:val="24"/>
          <w:lang w:val="es-PE" w:eastAsia="ar-SA"/>
        </w:rPr>
        <w:t>:</w:t>
      </w:r>
      <w:r w:rsidRPr="002A0247">
        <w:rPr>
          <w:rFonts w:ascii="Times New Roman" w:hAnsi="Times New Roman" w:eastAsia="Arial Unicode MS" w:cs="Times New Roman"/>
          <w:bCs/>
          <w:sz w:val="24"/>
          <w:szCs w:val="24"/>
          <w:lang w:val="es-PE" w:eastAsia="ar-SA"/>
        </w:rPr>
        <w:t xml:space="preserve"> El artículo 10 (Procedimiento) del Reglamento de la DEFASEG (http://www.defaseg.com.pe/reglamento) establece que cualquiera de las partes que no se encuentre de acuerdo con la decisión adoptada por esta Defensoría sobre la materia reclamada, podrá impugnarla, interponiendo el correspondiente recurso de impugnación.  </w:t>
      </w:r>
    </w:p>
    <w:p w:rsidRPr="002A0247" w:rsidR="002A0247" w:rsidP="002A0247" w:rsidRDefault="002A0247" w14:paraId="7A78A578" w14:textId="77777777">
      <w:pPr>
        <w:jc w:val="both"/>
        <w:rPr>
          <w:rFonts w:ascii="Times New Roman" w:hAnsi="Times New Roman" w:eastAsia="Arial Unicode MS" w:cs="Times New Roman"/>
          <w:bCs/>
          <w:sz w:val="24"/>
          <w:szCs w:val="24"/>
          <w:lang w:val="es-PE" w:eastAsia="ar-SA"/>
        </w:rPr>
      </w:pPr>
    </w:p>
    <w:p w:rsidRPr="002A0247" w:rsidR="002A0247" w:rsidP="002A0247" w:rsidRDefault="002A0247" w14:paraId="0170E9BA" w14:textId="77777777">
      <w:pPr>
        <w:jc w:val="both"/>
        <w:rPr>
          <w:rFonts w:ascii="Times New Roman" w:hAnsi="Times New Roman" w:eastAsia="Arial Unicode MS" w:cs="Times New Roman"/>
          <w:bCs/>
          <w:sz w:val="24"/>
          <w:szCs w:val="24"/>
          <w:lang w:val="es-PE" w:eastAsia="ar-SA"/>
        </w:rPr>
      </w:pPr>
      <w:r w:rsidRPr="002A0247">
        <w:rPr>
          <w:rFonts w:ascii="Times New Roman" w:hAnsi="Times New Roman" w:eastAsia="Arial Unicode MS" w:cs="Times New Roman"/>
          <w:bCs/>
          <w:sz w:val="24"/>
          <w:szCs w:val="24"/>
          <w:lang w:val="es-PE" w:eastAsia="ar-SA"/>
        </w:rPr>
        <w:lastRenderedPageBreak/>
        <w:t>Conforme a ello, en el caso concreto, al interponer el recurso de impugnación la aseguradora ha ejercido formalmente su derecho a contradecir lo resuelto por la Defensoría.</w:t>
      </w:r>
    </w:p>
    <w:p w:rsidRPr="002A0247" w:rsidR="002A0247" w:rsidP="6C595536" w:rsidRDefault="002A0247" w14:paraId="5543DF45" w14:textId="7B03175E">
      <w:pPr>
        <w:jc w:val="both"/>
        <w:rPr>
          <w:rFonts w:ascii="Times New Roman" w:hAnsi="Times New Roman" w:eastAsia="Arial Unicode MS" w:cs="Times New Roman"/>
          <w:sz w:val="24"/>
          <w:szCs w:val="24"/>
          <w:lang w:val="es-MX" w:eastAsia="ar-SA"/>
        </w:rPr>
      </w:pPr>
      <w:r w:rsidRPr="6C595536" w:rsidR="002A0247">
        <w:rPr>
          <w:rFonts w:ascii="Times New Roman" w:hAnsi="Times New Roman" w:eastAsia="Arial Unicode MS" w:cs="Times New Roman"/>
          <w:b w:val="1"/>
          <w:bCs w:val="1"/>
          <w:sz w:val="24"/>
          <w:szCs w:val="24"/>
          <w:u w:val="single"/>
          <w:lang w:val="es-MX" w:eastAsia="ar-SA"/>
        </w:rPr>
        <w:t>Segundo</w:t>
      </w:r>
      <w:r w:rsidRPr="6C595536" w:rsidR="002A0247">
        <w:rPr>
          <w:rFonts w:ascii="Times New Roman" w:hAnsi="Times New Roman" w:eastAsia="Arial Unicode MS" w:cs="Times New Roman"/>
          <w:b w:val="1"/>
          <w:bCs w:val="1"/>
          <w:sz w:val="24"/>
          <w:szCs w:val="24"/>
          <w:lang w:val="es-MX" w:eastAsia="ar-SA"/>
        </w:rPr>
        <w:t xml:space="preserve">: </w:t>
      </w:r>
      <w:r w:rsidRPr="6C595536" w:rsidR="002A0247">
        <w:rPr>
          <w:rFonts w:ascii="Times New Roman" w:hAnsi="Times New Roman" w:eastAsia="Arial Unicode MS" w:cs="Times New Roman"/>
          <w:sz w:val="24"/>
          <w:szCs w:val="24"/>
          <w:lang w:val="es-MX" w:eastAsia="ar-SA"/>
        </w:rPr>
        <w:t xml:space="preserve">La aseguradora señala que el cambio de condiciones se realizó bajo común acuerdo entre el contratante del seguro grupal, </w:t>
      </w:r>
      <w:r w:rsidRPr="6C595536" w:rsidR="7E235497">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(en adelante </w:t>
      </w:r>
      <w:r w:rsidRPr="6C595536" w:rsidR="7D58EFF1">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y </w:t>
      </w:r>
      <w:r w:rsidRPr="6C595536" w:rsidR="72C2A428">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al amparo del artículo 30 de la Ley del Contrato de Seguros (en adelante LCS), y no bajo el artículo 7 de la LGS que establece la posibilidad de modificar un contrato a su renovación; y por lo tanto habiendo ya llegado a un acuerdo entre </w:t>
      </w:r>
      <w:r w:rsidRPr="6C595536" w:rsidR="7D58EFF1">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y </w:t>
      </w:r>
      <w:r w:rsidRPr="6C595536" w:rsidR="72C2A428">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solo era suficiente informarlo al asegurado, con 30 días de anticipación, para que la modificación le sea aplicable; y que aplicar solo el artículo 7, implicaría desconocer la posibilidad que tienen </w:t>
      </w:r>
      <w:r w:rsidRPr="6C595536" w:rsidR="72C2A428">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y </w:t>
      </w:r>
      <w:r w:rsidRPr="6C595536" w:rsidR="7D58EFF1">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de modificar el contrato de seguro conforme al artículo 30 de la LCS. </w:t>
      </w:r>
    </w:p>
    <w:p w:rsidRPr="002A0247" w:rsidR="002A0247" w:rsidP="002A0247" w:rsidRDefault="002A0247" w14:paraId="54D9A3BC" w14:textId="77777777">
      <w:pPr>
        <w:jc w:val="both"/>
        <w:rPr>
          <w:rFonts w:ascii="Times New Roman" w:hAnsi="Times New Roman" w:eastAsia="Arial Unicode MS" w:cs="Times New Roman"/>
          <w:bCs/>
          <w:sz w:val="24"/>
          <w:szCs w:val="24"/>
          <w:lang w:val="es-MX" w:eastAsia="ar-SA"/>
        </w:rPr>
      </w:pPr>
      <w:r w:rsidRPr="002A0247">
        <w:rPr>
          <w:rFonts w:ascii="Times New Roman" w:hAnsi="Times New Roman" w:eastAsia="Arial Unicode MS" w:cs="Times New Roman"/>
          <w:bCs/>
          <w:sz w:val="24"/>
          <w:szCs w:val="24"/>
          <w:lang w:val="es-MX" w:eastAsia="ar-SA"/>
        </w:rPr>
        <w:t>La aseguradora no señala la base legal en la cual se ampara para sostener que la SBS establece que es suficiente informar al stock de afiliados, pues el hecho que haya remitido un condicionado con un artículo 20 que recoge el artículo 30 de la LCS, no es suficiente para interpretar que a un contratante individual de un seguro grupal se le puede oponer una modificación aceptada por el comercializador (contratante grupal) en cualquier momento, sin su consentimiento (siendo que es el asegurado quien paga la prima de seguro), cuando se pactó una vigencia anual renovable automáticamente y existe un artículo 7 que permite modificar un contrato sin consentimiento de la otra parte, pero solo a la renovación.</w:t>
      </w:r>
    </w:p>
    <w:p w:rsidRPr="002A0247" w:rsidR="002A0247" w:rsidP="6C595536" w:rsidRDefault="002A0247" w14:paraId="4A0E140F" w14:textId="277A1609">
      <w:pPr>
        <w:jc w:val="both"/>
        <w:rPr>
          <w:rFonts w:ascii="Times New Roman" w:hAnsi="Times New Roman" w:eastAsia="Arial Unicode MS" w:cs="Times New Roman"/>
          <w:sz w:val="24"/>
          <w:szCs w:val="24"/>
          <w:lang w:val="es-MX" w:eastAsia="ar-SA"/>
        </w:rPr>
      </w:pPr>
      <w:r w:rsidRPr="6C595536" w:rsidR="002A0247">
        <w:rPr>
          <w:rFonts w:ascii="Times New Roman" w:hAnsi="Times New Roman" w:eastAsia="Arial Unicode MS" w:cs="Times New Roman"/>
          <w:sz w:val="24"/>
          <w:szCs w:val="24"/>
          <w:lang w:val="es-MX" w:eastAsia="ar-SA"/>
        </w:rPr>
        <w:t xml:space="preserve">Este colegiado no desconoce que existan dos artículos referidos a la posibilidad de modificar un contrato y que ambas pueden ser utilizadas por la compañía de seguros; pero no comparte la posición de </w:t>
      </w:r>
      <w:r w:rsidRPr="6C595536" w:rsidR="72C2A428">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respecto de la utilización del artículo 30 obviando lo dispuesto por el artículo 7, tratándose de un seguro grupal, por las razones siguientes:</w:t>
      </w:r>
    </w:p>
    <w:p w:rsidRPr="002A0247" w:rsidR="002A0247" w:rsidP="002A0247" w:rsidRDefault="002A0247" w14:paraId="192459B2" w14:textId="77777777">
      <w:pPr>
        <w:numPr>
          <w:ilvl w:val="0"/>
          <w:numId w:val="1"/>
        </w:numPr>
        <w:jc w:val="both"/>
        <w:rPr>
          <w:rFonts w:ascii="Times New Roman" w:hAnsi="Times New Roman" w:eastAsia="Arial Unicode MS" w:cs="Times New Roman"/>
          <w:bCs/>
          <w:sz w:val="24"/>
          <w:szCs w:val="24"/>
          <w:lang w:val="es-MX" w:eastAsia="ar-SA"/>
        </w:rPr>
      </w:pPr>
      <w:r w:rsidRPr="002A0247">
        <w:rPr>
          <w:rFonts w:ascii="Times New Roman" w:hAnsi="Times New Roman" w:eastAsia="Arial Unicode MS" w:cs="Times New Roman"/>
          <w:bCs/>
          <w:sz w:val="24"/>
          <w:szCs w:val="24"/>
          <w:lang w:val="es-MX" w:eastAsia="ar-SA"/>
        </w:rPr>
        <w:t xml:space="preserve">En los seguros individuales, usualmente el contratante y asegurado son la misma persona; y aun cuando no lo sean, es claro que cualquier acuerdo que tome el contratante -que asume además la obligación del pago de la prima- afecta al asegurado. </w:t>
      </w:r>
    </w:p>
    <w:p w:rsidRPr="002A0247" w:rsidR="002A0247" w:rsidP="002A0247" w:rsidRDefault="002A0247" w14:paraId="4B439339" w14:textId="77777777">
      <w:pPr>
        <w:jc w:val="both"/>
        <w:rPr>
          <w:rFonts w:ascii="Times New Roman" w:hAnsi="Times New Roman" w:eastAsia="Arial Unicode MS" w:cs="Times New Roman"/>
          <w:bCs/>
          <w:sz w:val="24"/>
          <w:szCs w:val="24"/>
          <w:lang w:val="es-MX" w:eastAsia="ar-SA"/>
        </w:rPr>
      </w:pPr>
      <w:r w:rsidRPr="002A0247">
        <w:rPr>
          <w:rFonts w:ascii="Times New Roman" w:hAnsi="Times New Roman" w:eastAsia="Arial Unicode MS" w:cs="Times New Roman"/>
          <w:bCs/>
          <w:sz w:val="24"/>
          <w:szCs w:val="24"/>
          <w:lang w:val="es-MX" w:eastAsia="ar-SA"/>
        </w:rPr>
        <w:t>Así, si contratante y compañía de seguros acuerdan modificar la póliza durante su vigencia, pactando mayores o menores beneficios (donde se entiende existiría un aumento o reducción de prima), no será necesario que la aseguradora curse un aviso adicional al asegurado, pues es suficiente y basta, el acuerdo entre contratante individual y compañía de seguros para que la modificación surte efecto conforme a lo acordado entre las partes, emitiéndose un endoso a la póliza.</w:t>
      </w:r>
    </w:p>
    <w:p w:rsidRPr="002A0247" w:rsidR="002A0247" w:rsidP="002A0247" w:rsidRDefault="002A0247" w14:paraId="77A81F13" w14:textId="14BA94BD">
      <w:pPr>
        <w:jc w:val="both"/>
        <w:rPr>
          <w:rFonts w:ascii="Times New Roman" w:hAnsi="Times New Roman" w:eastAsia="Arial Unicode MS" w:cs="Times New Roman"/>
          <w:bCs/>
          <w:sz w:val="24"/>
          <w:szCs w:val="24"/>
          <w:lang w:val="es-MX" w:eastAsia="ar-SA"/>
        </w:rPr>
      </w:pPr>
      <w:r w:rsidRPr="002A0247">
        <w:rPr>
          <w:rFonts w:ascii="Times New Roman" w:hAnsi="Times New Roman" w:eastAsia="Arial Unicode MS" w:cs="Times New Roman"/>
          <w:bCs/>
          <w:sz w:val="24"/>
          <w:szCs w:val="24"/>
          <w:lang w:val="es-MX" w:eastAsia="ar-SA"/>
        </w:rPr>
        <w:t xml:space="preserve">De otro lado, si estamos ante una propuesta de cambio del contrato de seguros durante su vigencia, realizada por la compañía de seguros, la ley es clara al señalar </w:t>
      </w:r>
      <w:proofErr w:type="gramStart"/>
      <w:r w:rsidRPr="002A0247">
        <w:rPr>
          <w:rFonts w:ascii="Times New Roman" w:hAnsi="Times New Roman" w:eastAsia="Arial Unicode MS" w:cs="Times New Roman"/>
          <w:bCs/>
          <w:sz w:val="24"/>
          <w:szCs w:val="24"/>
          <w:lang w:val="es-MX" w:eastAsia="ar-SA"/>
        </w:rPr>
        <w:t>que</w:t>
      </w:r>
      <w:proofErr w:type="gramEnd"/>
      <w:r w:rsidRPr="002A0247">
        <w:rPr>
          <w:rFonts w:ascii="Times New Roman" w:hAnsi="Times New Roman" w:eastAsia="Arial Unicode MS" w:cs="Times New Roman"/>
          <w:bCs/>
          <w:sz w:val="24"/>
          <w:szCs w:val="24"/>
          <w:lang w:val="es-MX" w:eastAsia="ar-SA"/>
        </w:rPr>
        <w:t xml:space="preserve"> si el contratante no la acepta, se deben respetar los términos en los que el contrato fue acordado hasta su vencimiento. En otras palabras, el espíritu de la norma es que no puede haber un cambio unilateral de condiciones durante la vigencia de un contrato de seguros. </w:t>
      </w:r>
    </w:p>
    <w:p w:rsidRPr="002A0247" w:rsidR="002A0247" w:rsidP="002A0247" w:rsidRDefault="002A0247" w14:paraId="7D0BA834" w14:textId="4910B89C">
      <w:pPr>
        <w:numPr>
          <w:ilvl w:val="0"/>
          <w:numId w:val="1"/>
        </w:numPr>
        <w:jc w:val="both"/>
        <w:rPr>
          <w:rFonts w:ascii="Times New Roman" w:hAnsi="Times New Roman" w:eastAsia="Arial Unicode MS" w:cs="Times New Roman"/>
          <w:bCs/>
          <w:sz w:val="24"/>
          <w:szCs w:val="24"/>
          <w:lang w:val="es-MX" w:eastAsia="ar-SA"/>
        </w:rPr>
      </w:pPr>
      <w:r w:rsidRPr="002A0247">
        <w:rPr>
          <w:rFonts w:ascii="Times New Roman" w:hAnsi="Times New Roman" w:eastAsia="Arial Unicode MS" w:cs="Times New Roman"/>
          <w:bCs/>
          <w:sz w:val="24"/>
          <w:szCs w:val="24"/>
          <w:lang w:val="es-MX" w:eastAsia="ar-SA"/>
        </w:rPr>
        <w:t xml:space="preserve">Tratándose de contratos que contienen la cláusula de renovación automática, la LCS prevé que puedan ser modificados por la compañía de seguros, bastando con informar al contratante (es decir, sin su previo consentimiento) pero únicamente a su renovación, siguiendo determinado procedimiento y cumpliendo ciertas condiciones. </w:t>
      </w:r>
    </w:p>
    <w:p w:rsidRPr="002A0247" w:rsidR="002A0247" w:rsidP="002A0247" w:rsidRDefault="002A0247" w14:paraId="29E9264A" w14:textId="5E37A341">
      <w:pPr>
        <w:numPr>
          <w:ilvl w:val="0"/>
          <w:numId w:val="1"/>
        </w:numPr>
        <w:jc w:val="both"/>
        <w:rPr>
          <w:rFonts w:ascii="Times New Roman" w:hAnsi="Times New Roman" w:eastAsia="Arial Unicode MS" w:cs="Times New Roman"/>
          <w:bCs/>
          <w:sz w:val="24"/>
          <w:szCs w:val="24"/>
          <w:lang w:val="es-MX" w:eastAsia="ar-SA"/>
        </w:rPr>
      </w:pPr>
      <w:r w:rsidRPr="002A0247">
        <w:rPr>
          <w:rFonts w:ascii="Times New Roman" w:hAnsi="Times New Roman" w:eastAsia="Arial Unicode MS" w:cs="Times New Roman"/>
          <w:bCs/>
          <w:sz w:val="24"/>
          <w:szCs w:val="24"/>
          <w:lang w:val="es-MX" w:eastAsia="ar-SA"/>
        </w:rPr>
        <w:lastRenderedPageBreak/>
        <w:t>En este caso no nos encontramos ante un seguro individual, sino ante uno grupal.</w:t>
      </w:r>
    </w:p>
    <w:p w:rsidRPr="002A0247" w:rsidR="002A0247" w:rsidP="002A0247" w:rsidRDefault="002A0247" w14:paraId="63A0307D" w14:textId="77B37274">
      <w:pPr>
        <w:numPr>
          <w:ilvl w:val="0"/>
          <w:numId w:val="1"/>
        </w:numPr>
        <w:jc w:val="both"/>
        <w:rPr>
          <w:rFonts w:ascii="Times New Roman" w:hAnsi="Times New Roman" w:eastAsia="Arial Unicode MS" w:cs="Times New Roman"/>
          <w:bCs/>
          <w:sz w:val="24"/>
          <w:szCs w:val="24"/>
          <w:lang w:val="es-MX" w:eastAsia="ar-SA"/>
        </w:rPr>
      </w:pPr>
      <w:r w:rsidRPr="002A0247">
        <w:rPr>
          <w:rFonts w:ascii="Times New Roman" w:hAnsi="Times New Roman" w:eastAsia="Arial Unicode MS" w:cs="Times New Roman"/>
          <w:bCs/>
          <w:sz w:val="24"/>
          <w:szCs w:val="24"/>
          <w:lang w:val="es-MX" w:eastAsia="ar-SA"/>
        </w:rPr>
        <w:t xml:space="preserve">El seguro grupal o colectivo está definido como la </w:t>
      </w:r>
      <w:r w:rsidRPr="002A0247">
        <w:rPr>
          <w:rFonts w:ascii="Times New Roman" w:hAnsi="Times New Roman" w:eastAsia="Arial Unicode MS" w:cs="Times New Roman"/>
          <w:bCs/>
          <w:i/>
          <w:iCs/>
          <w:sz w:val="24"/>
          <w:szCs w:val="24"/>
          <w:lang w:val="es-MX" w:eastAsia="ar-SA"/>
        </w:rPr>
        <w:t xml:space="preserve">“modalidad de seguro que se caracteriza por cubrir, mediante un solo contrato, a múltiples asegurados que integran una colectividad homogénea” </w:t>
      </w:r>
      <w:r w:rsidRPr="002A0247">
        <w:rPr>
          <w:rFonts w:ascii="Times New Roman" w:hAnsi="Times New Roman" w:eastAsia="Arial Unicode MS" w:cs="Times New Roman"/>
          <w:bCs/>
          <w:sz w:val="24"/>
          <w:szCs w:val="24"/>
          <w:lang w:val="es-MX" w:eastAsia="ar-SA"/>
        </w:rPr>
        <w:t xml:space="preserve">(definición contenida en la Resolución SBS 1121-2017). Usualmente estos contratos son ofrecidos a través de comercializadores como pueden ser los bancos u otras entidades que suscriben un contrato de comercialización con la aseguradora, o son contratados con un representante del grupo. </w:t>
      </w:r>
    </w:p>
    <w:p w:rsidRPr="002A0247" w:rsidR="002A0247" w:rsidP="002A0247" w:rsidRDefault="002A0247" w14:paraId="75BA4DB0" w14:textId="07069007">
      <w:pPr>
        <w:jc w:val="both"/>
        <w:rPr>
          <w:rFonts w:ascii="Times New Roman" w:hAnsi="Times New Roman" w:eastAsia="Arial Unicode MS" w:cs="Times New Roman"/>
          <w:bCs/>
          <w:i/>
          <w:iCs/>
          <w:sz w:val="24"/>
          <w:szCs w:val="24"/>
          <w:lang w:val="es-ES" w:eastAsia="ar-SA"/>
        </w:rPr>
      </w:pPr>
      <w:proofErr w:type="gramStart"/>
      <w:r w:rsidRPr="002A0247">
        <w:rPr>
          <w:rFonts w:ascii="Times New Roman" w:hAnsi="Times New Roman" w:eastAsia="Arial Unicode MS" w:cs="Times New Roman"/>
          <w:bCs/>
          <w:sz w:val="24"/>
          <w:szCs w:val="24"/>
          <w:lang w:val="es-MX" w:eastAsia="ar-SA"/>
        </w:rPr>
        <w:t>Asimismo</w:t>
      </w:r>
      <w:proofErr w:type="gramEnd"/>
      <w:r w:rsidRPr="002A0247">
        <w:rPr>
          <w:rFonts w:ascii="Times New Roman" w:hAnsi="Times New Roman" w:eastAsia="Arial Unicode MS" w:cs="Times New Roman"/>
          <w:bCs/>
          <w:sz w:val="24"/>
          <w:szCs w:val="24"/>
          <w:lang w:val="es-MX" w:eastAsia="ar-SA"/>
        </w:rPr>
        <w:t xml:space="preserve"> se define a los seguros masivos como: </w:t>
      </w:r>
      <w:r w:rsidRPr="002A0247">
        <w:rPr>
          <w:rFonts w:ascii="Times New Roman" w:hAnsi="Times New Roman" w:eastAsia="Arial Unicode MS" w:cs="Times New Roman"/>
          <w:bCs/>
          <w:i/>
          <w:iCs/>
          <w:sz w:val="24"/>
          <w:szCs w:val="24"/>
          <w:lang w:val="es-MX" w:eastAsia="ar-SA"/>
        </w:rPr>
        <w:t>“</w:t>
      </w:r>
      <w:r w:rsidRPr="002A0247">
        <w:rPr>
          <w:rFonts w:ascii="Times New Roman" w:hAnsi="Times New Roman" w:eastAsia="Arial Unicode MS" w:cs="Times New Roman"/>
          <w:bCs/>
          <w:i/>
          <w:iCs/>
          <w:sz w:val="24"/>
          <w:szCs w:val="24"/>
          <w:lang w:val="es-ES" w:eastAsia="ar-SA"/>
        </w:rPr>
        <w:t>seguros estandarizados que no requieren de requisitos especiales de aseguramiento, es decir, no requieren verificaciones previas en relación con las personas y/o bienes asegurables, siendo suficiente la simple aceptación del contratante o el asegurado para el consentimiento del seguro individual o seguro de grupal o colectivo, según corresponda”.</w:t>
      </w:r>
    </w:p>
    <w:p w:rsidRPr="002A0247" w:rsidR="002A0247" w:rsidP="6C595536" w:rsidRDefault="002A0247" w14:paraId="3F2F7B46" w14:textId="050E1D2D">
      <w:pPr>
        <w:numPr>
          <w:ilvl w:val="0"/>
          <w:numId w:val="1"/>
        </w:numPr>
        <w:jc w:val="both"/>
        <w:rPr>
          <w:rFonts w:ascii="Times New Roman" w:hAnsi="Times New Roman" w:eastAsia="Arial Unicode MS" w:cs="Times New Roman"/>
          <w:sz w:val="24"/>
          <w:szCs w:val="24"/>
          <w:lang w:val="es-MX" w:eastAsia="ar-SA"/>
        </w:rPr>
      </w:pPr>
      <w:r w:rsidRPr="6C595536" w:rsidR="002A0247">
        <w:rPr>
          <w:rFonts w:ascii="Times New Roman" w:hAnsi="Times New Roman" w:eastAsia="Arial Unicode MS" w:cs="Times New Roman"/>
          <w:sz w:val="24"/>
          <w:szCs w:val="24"/>
          <w:lang w:val="es-MX" w:eastAsia="ar-SA"/>
        </w:rPr>
        <w:t xml:space="preserve">El seguro grupal que nos ocupa (pese a que no ha sido remitido, solo se ha remitido un modelo de contrato en blanco y sin firma) fue suscrito entre </w:t>
      </w:r>
      <w:r w:rsidRPr="6C595536" w:rsidR="7D58EFF1">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como contratante y comercializador, y </w:t>
      </w:r>
      <w:r w:rsidRPr="6C595536" w:rsidR="72C2A428">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Siendo que el reclamante decidió voluntariamente afiliarse a (contratar) dicho seguro. Dicha afiliación lo convirtió no solo en asegurado, sino que en rigor, constituye a su vez un contratante individual del seguro grupal, pues al afiliarse al seguro colectivo, manifestó su voluntad de incorporase a este convirtiéndose por tanto, en parte del contrato de seguros, aceptando las condiciones del seguro grupal al cual se adhiere, cuyas condiciones fueron pactadas por el contratante del seguro grupal, </w:t>
      </w:r>
      <w:r w:rsidRPr="6C595536" w:rsidR="7D58EFF1">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pero que no pueden ir en contra de la LCS (salvo que resulten más beneficiosas para el asegurado). Por lo tanto, si bien hay un contratante del seguro grupal, también existen contratantes individuales que se adhieren al contrato grupal.</w:t>
      </w:r>
    </w:p>
    <w:p w:rsidRPr="002A0247" w:rsidR="002A0247" w:rsidP="002A0247" w:rsidRDefault="002A0247" w14:paraId="553C9D26" w14:textId="3A72D75E">
      <w:pPr>
        <w:numPr>
          <w:ilvl w:val="0"/>
          <w:numId w:val="1"/>
        </w:numPr>
        <w:jc w:val="both"/>
        <w:rPr>
          <w:rFonts w:ascii="Times New Roman" w:hAnsi="Times New Roman" w:eastAsia="Arial Unicode MS" w:cs="Times New Roman"/>
          <w:bCs/>
          <w:sz w:val="24"/>
          <w:szCs w:val="24"/>
          <w:lang w:val="es-MX" w:eastAsia="ar-SA"/>
        </w:rPr>
      </w:pPr>
      <w:r w:rsidRPr="002A0247">
        <w:rPr>
          <w:rFonts w:ascii="Times New Roman" w:hAnsi="Times New Roman" w:eastAsia="Arial Unicode MS" w:cs="Times New Roman"/>
          <w:bCs/>
          <w:sz w:val="24"/>
          <w:szCs w:val="24"/>
          <w:lang w:val="es-MX" w:eastAsia="ar-SA"/>
        </w:rPr>
        <w:t>La ley no establece cuál es el procedimiento que debe seguirse para oponer la modificación de una póliza grupal a los asegurados contratantes individuales que se adhieren al mismo; por lo que corresponde interpretar las normas existentes respetando el espíritu de la ley que regula los supuestos de modificación del contrato de seguro.</w:t>
      </w:r>
    </w:p>
    <w:p w:rsidRPr="002A0247" w:rsidR="002A0247" w:rsidP="002A0247" w:rsidRDefault="002A0247" w14:paraId="006636BB" w14:textId="4D74C4AC">
      <w:pPr>
        <w:numPr>
          <w:ilvl w:val="0"/>
          <w:numId w:val="1"/>
        </w:numPr>
        <w:jc w:val="both"/>
        <w:rPr>
          <w:rFonts w:ascii="Times New Roman" w:hAnsi="Times New Roman" w:eastAsia="Arial Unicode MS" w:cs="Times New Roman"/>
          <w:bCs/>
          <w:sz w:val="24"/>
          <w:szCs w:val="24"/>
          <w:lang w:val="es-MX" w:eastAsia="ar-SA"/>
        </w:rPr>
      </w:pPr>
      <w:r w:rsidRPr="002A0247">
        <w:rPr>
          <w:rFonts w:ascii="Times New Roman" w:hAnsi="Times New Roman" w:eastAsia="Arial Unicode MS" w:cs="Times New Roman"/>
          <w:bCs/>
          <w:sz w:val="24"/>
          <w:szCs w:val="24"/>
          <w:lang w:val="es-MX" w:eastAsia="ar-SA"/>
        </w:rPr>
        <w:t>La aseguradora solo ha manifestado su discrepancia con la resolución emitida, pero no se ha pronunciado sobre la vigencia de la afiliación (contratación individual) del seguro mencionada en la resolución impugnada, la cual es anual con renovación automática.</w:t>
      </w:r>
    </w:p>
    <w:p w:rsidRPr="002A0247" w:rsidR="002A0247" w:rsidP="002A0247" w:rsidRDefault="002A0247" w14:paraId="13E3CFAD" w14:textId="643F8469">
      <w:pPr>
        <w:jc w:val="both"/>
        <w:rPr>
          <w:rFonts w:ascii="Times New Roman" w:hAnsi="Times New Roman" w:eastAsia="Arial Unicode MS" w:cs="Times New Roman"/>
          <w:bCs/>
          <w:sz w:val="24"/>
          <w:szCs w:val="24"/>
          <w:lang w:val="es-MX" w:eastAsia="ar-SA"/>
        </w:rPr>
      </w:pPr>
      <w:r w:rsidRPr="002A0247">
        <w:rPr>
          <w:rFonts w:ascii="Times New Roman" w:hAnsi="Times New Roman" w:eastAsia="Arial Unicode MS" w:cs="Times New Roman"/>
          <w:bCs/>
          <w:sz w:val="24"/>
          <w:szCs w:val="24"/>
          <w:lang w:val="es-MX" w:eastAsia="ar-SA"/>
        </w:rPr>
        <w:t xml:space="preserve">Bajo dicha vigencia pactada en forma individual, dentro del seguro grupal, es claro que el asegurado contratante individual de la póliza grupal y </w:t>
      </w:r>
      <w:proofErr w:type="gramStart"/>
      <w:r w:rsidRPr="002A0247">
        <w:rPr>
          <w:rFonts w:ascii="Times New Roman" w:hAnsi="Times New Roman" w:eastAsia="Arial Unicode MS" w:cs="Times New Roman"/>
          <w:bCs/>
          <w:sz w:val="24"/>
          <w:szCs w:val="24"/>
          <w:lang w:val="es-MX" w:eastAsia="ar-SA"/>
        </w:rPr>
        <w:t>masiva,</w:t>
      </w:r>
      <w:proofErr w:type="gramEnd"/>
      <w:r w:rsidRPr="002A0247">
        <w:rPr>
          <w:rFonts w:ascii="Times New Roman" w:hAnsi="Times New Roman" w:eastAsia="Arial Unicode MS" w:cs="Times New Roman"/>
          <w:bCs/>
          <w:sz w:val="24"/>
          <w:szCs w:val="24"/>
          <w:lang w:val="es-MX" w:eastAsia="ar-SA"/>
        </w:rPr>
        <w:t xml:space="preserve"> aceptó pagar una prima en el entendido que se le otorgarían determinadas condiciones previamente informadas por una vigencia anual y renovable automáticamente. Y bajo dicha vigencia, la LCS sí permite modificar las condiciones de una póliza, sin consentimiento del asegurado contratante individual, pero solo a la renovación.</w:t>
      </w:r>
    </w:p>
    <w:p w:rsidRPr="002A0247" w:rsidR="002A0247" w:rsidP="6C595536" w:rsidRDefault="002A0247" w14:paraId="72E824F1" w14:textId="49533B48">
      <w:pPr>
        <w:jc w:val="both"/>
        <w:rPr>
          <w:rFonts w:ascii="Times New Roman" w:hAnsi="Times New Roman" w:eastAsia="Arial Unicode MS" w:cs="Times New Roman"/>
          <w:sz w:val="24"/>
          <w:szCs w:val="24"/>
          <w:lang w:val="es-MX" w:eastAsia="ar-SA"/>
        </w:rPr>
      </w:pPr>
      <w:r w:rsidRPr="6C595536" w:rsidR="002A0247">
        <w:rPr>
          <w:rFonts w:ascii="Times New Roman" w:hAnsi="Times New Roman" w:eastAsia="Arial Unicode MS" w:cs="Times New Roman"/>
          <w:sz w:val="24"/>
          <w:szCs w:val="24"/>
          <w:lang w:val="es-MX" w:eastAsia="ar-SA"/>
        </w:rPr>
        <w:t xml:space="preserve">Conforme a ello, este colegiado considera que </w:t>
      </w:r>
      <w:r w:rsidRPr="6C595536" w:rsidR="7D58EFF1">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y </w:t>
      </w:r>
      <w:r w:rsidRPr="6C595536" w:rsidR="72C2A428">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sí pueden modificar de común acuerdo las condiciones del seguro grupal, sin consentimiento del asegurado -contratante individual- si resultan más beneficios para el asegurado, pero si lo perjudican, se debe entender que este debe dar su consentimiento si el cambio se pretende aplicar antes de la renovación, pues el asegurado es también contratante (individual) del seguro; o, si se prescinde de su </w:t>
      </w:r>
      <w:r w:rsidRPr="6C595536" w:rsidR="002A0247">
        <w:rPr>
          <w:rFonts w:ascii="Times New Roman" w:hAnsi="Times New Roman" w:eastAsia="Arial Unicode MS" w:cs="Times New Roman"/>
          <w:sz w:val="24"/>
          <w:szCs w:val="24"/>
          <w:lang w:val="es-MX" w:eastAsia="ar-SA"/>
        </w:rPr>
        <w:t>consentimiento, se debe aplicar el artículo 7, conforme ha sido expuesto en la resolución impugnada.</w:t>
      </w:r>
    </w:p>
    <w:p w:rsidRPr="002A0247" w:rsidR="002A0247" w:rsidP="6C595536" w:rsidRDefault="002A0247" w14:paraId="3BCE9A61" w14:textId="5FE2A227">
      <w:pPr>
        <w:jc w:val="both"/>
        <w:rPr>
          <w:rFonts w:ascii="Times New Roman" w:hAnsi="Times New Roman" w:eastAsia="Arial Unicode MS" w:cs="Times New Roman"/>
          <w:sz w:val="24"/>
          <w:szCs w:val="24"/>
          <w:lang w:val="es-MX" w:eastAsia="ar-SA"/>
        </w:rPr>
      </w:pPr>
      <w:r w:rsidRPr="6C595536" w:rsidR="002A0247">
        <w:rPr>
          <w:rFonts w:ascii="Times New Roman" w:hAnsi="Times New Roman" w:eastAsia="Arial Unicode MS" w:cs="Times New Roman"/>
          <w:sz w:val="24"/>
          <w:szCs w:val="24"/>
          <w:lang w:val="es-MX" w:eastAsia="ar-SA"/>
        </w:rPr>
        <w:t xml:space="preserve">Es claro que para todo nuevo asegurado (contratante individual) que se afilie a dicho seguro luego de la modificación a la póliza grupal, las nuevas modificaciones le serán plenamente oponibles de inmediato, en tanto consten en el nuevo certificado de seguro, con lo cual no se está negando la posibilidad a </w:t>
      </w:r>
      <w:r w:rsidRPr="6C595536" w:rsidR="7D58EFF1">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y </w:t>
      </w:r>
      <w:r w:rsidRPr="6C595536" w:rsidR="72C2A428">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de modificar el seguro </w:t>
      </w:r>
      <w:r w:rsidRPr="6C595536" w:rsidR="002A0247">
        <w:rPr>
          <w:rFonts w:ascii="Times New Roman" w:hAnsi="Times New Roman" w:eastAsia="Arial Unicode MS" w:cs="Times New Roman"/>
          <w:sz w:val="24"/>
          <w:szCs w:val="24"/>
          <w:lang w:val="es-MX" w:eastAsia="ar-SA"/>
        </w:rPr>
        <w:t>grupal;  pero</w:t>
      </w:r>
      <w:r w:rsidRPr="6C595536" w:rsidR="002A0247">
        <w:rPr>
          <w:rFonts w:ascii="Times New Roman" w:hAnsi="Times New Roman" w:eastAsia="Arial Unicode MS" w:cs="Times New Roman"/>
          <w:sz w:val="24"/>
          <w:szCs w:val="24"/>
          <w:lang w:val="es-MX" w:eastAsia="ar-SA"/>
        </w:rPr>
        <w:t xml:space="preserve"> la situación es distinta tratándose de afiliados que pudieron </w:t>
      </w:r>
      <w:r w:rsidRPr="6C595536" w:rsidR="002A0247">
        <w:rPr>
          <w:rFonts w:ascii="Times New Roman" w:hAnsi="Times New Roman" w:eastAsia="Arial Unicode MS" w:cs="Times New Roman"/>
          <w:sz w:val="24"/>
          <w:szCs w:val="24"/>
          <w:lang w:val="es-MX" w:eastAsia="ar-SA"/>
        </w:rPr>
        <w:t>afiliase  antes</w:t>
      </w:r>
      <w:r w:rsidRPr="6C595536" w:rsidR="002A0247">
        <w:rPr>
          <w:rFonts w:ascii="Times New Roman" w:hAnsi="Times New Roman" w:eastAsia="Arial Unicode MS" w:cs="Times New Roman"/>
          <w:sz w:val="24"/>
          <w:szCs w:val="24"/>
          <w:lang w:val="es-MX" w:eastAsia="ar-SA"/>
        </w:rPr>
        <w:t xml:space="preserve"> de la modificación al contrato grupal, considerando que se les informaron condiciones distintas que fueron las que motivaron su afiliación a un contrato de vigencia anual renovable automáticamente. Por lo que al haber cada uno de ellos pactado una vigencia particular (los tiempos en los que se afilian son distintos), no es suficiente informarles de un cambio que ellos no han aceptado, con solo 30 días de anticipación, pues se estaría ignorando su condición de asegurados y contratantes individuales que se afilian a un seguro grupal, y vulnerando lo establecido en el artículo 7 de la LCS; así como lo establecido en el artículo 30 de la LCS.</w:t>
      </w:r>
    </w:p>
    <w:p w:rsidRPr="002A0247" w:rsidR="002A0247" w:rsidP="6C595536" w:rsidRDefault="002A0247" w14:paraId="67F6CDED" w14:textId="3BD4ED5B">
      <w:pPr>
        <w:numPr>
          <w:ilvl w:val="0"/>
          <w:numId w:val="1"/>
        </w:numPr>
        <w:jc w:val="both"/>
        <w:rPr>
          <w:rFonts w:ascii="Times New Roman" w:hAnsi="Times New Roman" w:eastAsia="Arial Unicode MS" w:cs="Times New Roman"/>
          <w:sz w:val="24"/>
          <w:szCs w:val="24"/>
          <w:lang w:val="es-MX" w:eastAsia="ar-SA"/>
        </w:rPr>
      </w:pPr>
      <w:r w:rsidRPr="6C595536" w:rsidR="002A0247">
        <w:rPr>
          <w:rFonts w:ascii="Times New Roman" w:hAnsi="Times New Roman" w:eastAsia="Arial Unicode MS" w:cs="Times New Roman"/>
          <w:sz w:val="24"/>
          <w:szCs w:val="24"/>
          <w:lang w:val="es-MX" w:eastAsia="ar-SA"/>
        </w:rPr>
        <w:t xml:space="preserve">En este caso, estamos ante un cambio significativo de las condiciones del seguro, que reducen los topes de las sumas aseguradas a la mitad, y hacen más onerosas las condiciones para acceder a las coberturas (señalándose que se mantenía la prima mensual, sin cambios), modificaciones </w:t>
      </w:r>
      <w:r w:rsidRPr="6C595536" w:rsidR="002A0247">
        <w:rPr>
          <w:rFonts w:ascii="Times New Roman" w:hAnsi="Times New Roman" w:eastAsia="Arial Unicode MS" w:cs="Times New Roman"/>
          <w:sz w:val="24"/>
          <w:szCs w:val="24"/>
          <w:lang w:val="es-MX" w:eastAsia="ar-SA"/>
        </w:rPr>
        <w:t>que</w:t>
      </w:r>
      <w:r w:rsidRPr="6C595536" w:rsidR="002A0247">
        <w:rPr>
          <w:rFonts w:ascii="Times New Roman" w:hAnsi="Times New Roman" w:eastAsia="Arial Unicode MS" w:cs="Times New Roman"/>
          <w:sz w:val="24"/>
          <w:szCs w:val="24"/>
          <w:lang w:val="es-MX" w:eastAsia="ar-SA"/>
        </w:rPr>
        <w:t xml:space="preserve"> en opinión de este colegiado, no podían ser realizados con solo una comunicación previa, sin contar con el asentimiento de quien se afilió a un seguro, sabiendo que era anual y de renovación automática. Lo que correspondía, era que respecto de los asegurados afiliados antes de la modificación acordada entre </w:t>
      </w:r>
      <w:r w:rsidRPr="6C595536" w:rsidR="7D58EFF1">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y </w:t>
      </w:r>
      <w:r w:rsidRPr="6C595536" w:rsidR="72C2A428">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se les informara que, en su caso, el cambio surtiría efecto a partir de su respectiva renovación anual. </w:t>
      </w:r>
    </w:p>
    <w:p w:rsidRPr="002A0247" w:rsidR="002A0247" w:rsidP="002A0247" w:rsidRDefault="002A0247" w14:paraId="0246F031" w14:textId="77777777">
      <w:pPr>
        <w:jc w:val="both"/>
        <w:rPr>
          <w:rFonts w:ascii="Times New Roman" w:hAnsi="Times New Roman" w:eastAsia="Arial Unicode MS" w:cs="Times New Roman"/>
          <w:bCs/>
          <w:sz w:val="24"/>
          <w:szCs w:val="24"/>
          <w:lang w:val="es-MX" w:eastAsia="ar-SA"/>
        </w:rPr>
      </w:pPr>
      <w:r w:rsidRPr="002A0247">
        <w:rPr>
          <w:rFonts w:ascii="Times New Roman" w:hAnsi="Times New Roman" w:eastAsia="Arial Unicode MS" w:cs="Times New Roman"/>
          <w:bCs/>
          <w:sz w:val="24"/>
          <w:szCs w:val="24"/>
          <w:lang w:val="es-MX" w:eastAsia="ar-SA"/>
        </w:rPr>
        <w:t>A continuación, se muestra el cuadro de modificaciones presentado:</w:t>
      </w:r>
    </w:p>
    <w:p w:rsidRPr="002A0247" w:rsidR="002A0247" w:rsidP="008A23EE" w:rsidRDefault="002A0247" w14:paraId="76794923" w14:textId="037CF549">
      <w:pPr>
        <w:jc w:val="center"/>
        <w:rPr>
          <w:rFonts w:ascii="Times New Roman" w:hAnsi="Times New Roman" w:eastAsia="Arial Unicode MS" w:cs="Times New Roman"/>
          <w:bCs/>
          <w:sz w:val="24"/>
          <w:szCs w:val="24"/>
          <w:lang w:val="es-MX" w:eastAsia="ar-SA"/>
        </w:rPr>
      </w:pPr>
      <w:r w:rsidRPr="002A0247">
        <w:rPr>
          <w:rFonts w:ascii="Times New Roman" w:hAnsi="Times New Roman" w:eastAsia="Arial Unicode MS" w:cs="Times New Roman"/>
          <w:bCs/>
          <w:sz w:val="24"/>
          <w:szCs w:val="24"/>
          <w:lang w:val="es-MX" w:eastAsia="ar-SA"/>
        </w:rPr>
        <w:drawing>
          <wp:inline distT="0" distB="0" distL="0" distR="0" wp14:anchorId="561BBC8E" wp14:editId="5C3C82CD">
            <wp:extent cx="4542249" cy="3438525"/>
            <wp:effectExtent l="0" t="0" r="0" b="0"/>
            <wp:docPr id="23320053"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abl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42249" cy="3438525"/>
                    </a:xfrm>
                    <a:prstGeom prst="rect">
                      <a:avLst/>
                    </a:prstGeom>
                    <a:noFill/>
                    <a:ln>
                      <a:noFill/>
                    </a:ln>
                  </pic:spPr>
                </pic:pic>
              </a:graphicData>
            </a:graphic>
          </wp:inline>
        </w:drawing>
      </w:r>
    </w:p>
    <w:p w:rsidRPr="002A0247" w:rsidR="002A0247" w:rsidP="002A0247" w:rsidRDefault="002A0247" w14:paraId="25F7AC8B" w14:textId="77777777">
      <w:pPr>
        <w:jc w:val="both"/>
        <w:rPr>
          <w:rFonts w:ascii="Times New Roman" w:hAnsi="Times New Roman" w:eastAsia="Arial Unicode MS" w:cs="Times New Roman"/>
          <w:bCs/>
          <w:sz w:val="24"/>
          <w:szCs w:val="24"/>
          <w:lang w:val="es-MX" w:eastAsia="ar-SA"/>
        </w:rPr>
      </w:pPr>
    </w:p>
    <w:p w:rsidRPr="002A0247" w:rsidR="002A0247" w:rsidP="002A0247" w:rsidRDefault="002A0247" w14:paraId="29A31F66" w14:textId="77777777">
      <w:pPr>
        <w:jc w:val="both"/>
        <w:rPr>
          <w:rFonts w:ascii="Times New Roman" w:hAnsi="Times New Roman" w:eastAsia="Arial Unicode MS" w:cs="Times New Roman"/>
          <w:bCs/>
          <w:sz w:val="24"/>
          <w:szCs w:val="24"/>
          <w:lang w:val="es-MX" w:eastAsia="ar-SA"/>
        </w:rPr>
      </w:pPr>
      <w:r w:rsidRPr="002A0247">
        <w:rPr>
          <w:rFonts w:ascii="Times New Roman" w:hAnsi="Times New Roman" w:eastAsia="Arial Unicode MS" w:cs="Times New Roman"/>
          <w:bCs/>
          <w:sz w:val="24"/>
          <w:szCs w:val="24"/>
          <w:lang w:val="es-MX" w:eastAsia="ar-SA"/>
        </w:rPr>
        <w:t>En consecuencia, respecto de quienes accedieron a “contratar” el seguro grupal, con vigencia anual renovable, cualquier cambio que se haga en perjuicio del asegurado, solo puede ser oponible al momento de su respectiva renovación anual, salvo que a dicho asegurado (contratante individual que reiteramos además asume el pago de la prima) no se le requirió el previo consentimiento.</w:t>
      </w:r>
    </w:p>
    <w:p w:rsidRPr="002A0247" w:rsidR="002A0247" w:rsidP="6C595536" w:rsidRDefault="002A0247" w14:paraId="2ACC81C1" w14:textId="0890C7DA">
      <w:pPr>
        <w:jc w:val="both"/>
        <w:rPr>
          <w:rFonts w:ascii="Times New Roman" w:hAnsi="Times New Roman" w:eastAsia="Arial Unicode MS" w:cs="Times New Roman"/>
          <w:sz w:val="24"/>
          <w:szCs w:val="24"/>
          <w:lang w:val="es-MX" w:eastAsia="ar-SA"/>
        </w:rPr>
      </w:pPr>
      <w:r w:rsidRPr="6C595536" w:rsidR="002A0247">
        <w:rPr>
          <w:rFonts w:ascii="Times New Roman" w:hAnsi="Times New Roman" w:eastAsia="Arial Unicode MS" w:cs="Times New Roman"/>
          <w:sz w:val="24"/>
          <w:szCs w:val="24"/>
          <w:lang w:val="es-MX" w:eastAsia="ar-SA"/>
        </w:rPr>
        <w:t xml:space="preserve">La LGS expresamente señala en su primera disposición general </w:t>
      </w:r>
      <w:r w:rsidRPr="6C595536" w:rsidR="002A0247">
        <w:rPr>
          <w:rFonts w:ascii="Times New Roman" w:hAnsi="Times New Roman" w:eastAsia="Arial Unicode MS" w:cs="Times New Roman"/>
          <w:sz w:val="24"/>
          <w:szCs w:val="24"/>
          <w:lang w:val="es-MX" w:eastAsia="ar-SA"/>
        </w:rPr>
        <w:t>que  dicha</w:t>
      </w:r>
      <w:r w:rsidRPr="6C595536" w:rsidR="002A0247">
        <w:rPr>
          <w:rFonts w:ascii="Times New Roman" w:hAnsi="Times New Roman" w:eastAsia="Arial Unicode MS" w:cs="Times New Roman"/>
          <w:sz w:val="24"/>
          <w:szCs w:val="24"/>
          <w:lang w:val="es-MX" w:eastAsia="ar-SA"/>
        </w:rPr>
        <w:t xml:space="preserve"> ley </w:t>
      </w:r>
      <w:r w:rsidRPr="6C595536" w:rsidR="002A0247">
        <w:rPr>
          <w:rFonts w:ascii="Times New Roman" w:hAnsi="Times New Roman" w:eastAsia="Arial Unicode MS" w:cs="Times New Roman"/>
          <w:i w:val="1"/>
          <w:iCs w:val="1"/>
          <w:sz w:val="24"/>
          <w:szCs w:val="24"/>
          <w:lang w:val="es-MX" w:eastAsia="ar-SA"/>
        </w:rPr>
        <w:t>“tiene carácter imperativo, salvo que admita expresamente lo contario. No obstante, se entenderán válidas las estipulaciones contractuales que sean más beneficiosas para el asegurado”</w:t>
      </w:r>
      <w:r w:rsidRPr="6C595536" w:rsidR="002A0247">
        <w:rPr>
          <w:rFonts w:ascii="Times New Roman" w:hAnsi="Times New Roman" w:eastAsia="Arial Unicode MS" w:cs="Times New Roman"/>
          <w:sz w:val="24"/>
          <w:szCs w:val="24"/>
          <w:lang w:val="es-MX" w:eastAsia="ar-SA"/>
        </w:rPr>
        <w:t xml:space="preserve">; por lo que solo podrían </w:t>
      </w:r>
      <w:r w:rsidRPr="6C595536" w:rsidR="7D58EFF1">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y </w:t>
      </w:r>
      <w:r w:rsidRPr="6C595536" w:rsidR="72C2A428">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imponerles -antes de la renovación individual- modificaciones acordadas entre ellos, si es que resultan más beneficiosas para el asegurado, lo que no ocurrió en este caso.</w:t>
      </w:r>
    </w:p>
    <w:p w:rsidRPr="002A0247" w:rsidR="002A0247" w:rsidP="002A0247" w:rsidRDefault="002A0247" w14:paraId="7CE9902B" w14:textId="56DB331D">
      <w:pPr>
        <w:numPr>
          <w:ilvl w:val="0"/>
          <w:numId w:val="1"/>
        </w:numPr>
        <w:jc w:val="both"/>
        <w:rPr>
          <w:rFonts w:ascii="Times New Roman" w:hAnsi="Times New Roman" w:eastAsia="Arial Unicode MS" w:cs="Times New Roman"/>
          <w:bCs/>
          <w:sz w:val="24"/>
          <w:szCs w:val="24"/>
          <w:lang w:val="es-MX" w:eastAsia="ar-SA"/>
        </w:rPr>
      </w:pPr>
      <w:r w:rsidRPr="002A0247">
        <w:rPr>
          <w:rFonts w:ascii="Times New Roman" w:hAnsi="Times New Roman" w:eastAsia="Arial Unicode MS" w:cs="Times New Roman"/>
          <w:bCs/>
          <w:sz w:val="24"/>
          <w:szCs w:val="24"/>
          <w:lang w:val="es-MX" w:eastAsia="ar-SA"/>
        </w:rPr>
        <w:t xml:space="preserve">Cabe señalar que el artículo 16.1, numeral 1 del </w:t>
      </w:r>
      <w:r w:rsidRPr="002A0247">
        <w:rPr>
          <w:rFonts w:ascii="Times New Roman" w:hAnsi="Times New Roman" w:eastAsia="Arial Unicode MS" w:cs="Times New Roman"/>
          <w:bCs/>
          <w:sz w:val="24"/>
          <w:szCs w:val="24"/>
          <w:lang w:val="es-ES" w:eastAsia="ar-SA"/>
        </w:rPr>
        <w:t>Reglamento de Gestión de Conducta de Mercado del Sistema de Seguros</w:t>
      </w:r>
      <w:r w:rsidRPr="002A0247">
        <w:rPr>
          <w:rFonts w:ascii="Times New Roman" w:hAnsi="Times New Roman" w:eastAsia="Arial Unicode MS" w:cs="Times New Roman"/>
          <w:bCs/>
          <w:sz w:val="24"/>
          <w:szCs w:val="24"/>
          <w:lang w:val="es-MX" w:eastAsia="ar-SA"/>
        </w:rPr>
        <w:t>, aprobado por Resolución SBS 4143- 2019, hace referencia no solo al derecho del contratante de aceptar o no las modificaciones propuestas por las empresas de seguros, sino que se refiere al contratante “y/o asegurado”; lo cual es consistente con la interpretación adoptada por este colegiado sobre los asegurados cuando son contratantes individuales de un seguro grupal.</w:t>
      </w:r>
    </w:p>
    <w:p w:rsidRPr="002A0247" w:rsidR="002A0247" w:rsidP="6C595536" w:rsidRDefault="002A0247" w14:paraId="47138022" w14:textId="4DA746FE">
      <w:pPr>
        <w:numPr>
          <w:ilvl w:val="0"/>
          <w:numId w:val="1"/>
        </w:numPr>
        <w:jc w:val="both"/>
        <w:rPr>
          <w:rFonts w:ascii="Times New Roman" w:hAnsi="Times New Roman" w:eastAsia="Arial Unicode MS" w:cs="Times New Roman"/>
          <w:sz w:val="24"/>
          <w:szCs w:val="24"/>
          <w:lang w:val="es-MX" w:eastAsia="ar-SA"/>
        </w:rPr>
      </w:pPr>
      <w:r w:rsidRPr="6C595536" w:rsidR="002A0247">
        <w:rPr>
          <w:rFonts w:ascii="Times New Roman" w:hAnsi="Times New Roman" w:eastAsia="Arial Unicode MS" w:cs="Times New Roman"/>
          <w:sz w:val="24"/>
          <w:szCs w:val="24"/>
          <w:lang w:val="es-MX" w:eastAsia="ar-SA"/>
        </w:rPr>
        <w:t xml:space="preserve">Finalmente, cabe señalar que </w:t>
      </w:r>
      <w:r w:rsidRPr="6C595536" w:rsidR="72C2A428">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solo presentó ante la DEFASEG un modelo de póliza grupal (estando las condiciones particulares en blanco), es decir, no presentó el contrato de seguro grupal suscrito entre </w:t>
      </w:r>
      <w:r w:rsidRPr="6C595536" w:rsidR="72C2A428">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xml:space="preserve"> y </w:t>
      </w:r>
      <w:r w:rsidRPr="6C595536" w:rsidR="7D58EFF1">
        <w:rPr>
          <w:rFonts w:ascii="Times New Roman" w:hAnsi="Times New Roman" w:eastAsia="Arial Unicode MS" w:cs="Times New Roman"/>
          <w:sz w:val="24"/>
          <w:szCs w:val="24"/>
          <w:lang w:val="es-MX" w:eastAsia="ar-SA"/>
        </w:rPr>
        <w:t>..........................</w:t>
      </w:r>
      <w:r w:rsidRPr="6C595536" w:rsidR="002A0247">
        <w:rPr>
          <w:rFonts w:ascii="Times New Roman" w:hAnsi="Times New Roman" w:eastAsia="Arial Unicode MS" w:cs="Times New Roman"/>
          <w:sz w:val="24"/>
          <w:szCs w:val="24"/>
          <w:lang w:val="es-MX" w:eastAsia="ar-SA"/>
        </w:rPr>
        <w:t>, así como tampoco presentó en endoso o modificación a la póliza grupal suscrita que habría motivado el envío de la comunicación informando el cambio de condiciones.</w:t>
      </w:r>
    </w:p>
    <w:p w:rsidRPr="002A0247" w:rsidR="002A0247" w:rsidP="002A0247" w:rsidRDefault="002A0247" w14:paraId="509099BC" w14:textId="635C0083">
      <w:pPr>
        <w:jc w:val="both"/>
        <w:rPr>
          <w:rFonts w:ascii="Times New Roman" w:hAnsi="Times New Roman" w:eastAsia="Arial Unicode MS" w:cs="Times New Roman"/>
          <w:bCs/>
          <w:sz w:val="24"/>
          <w:szCs w:val="24"/>
          <w:lang w:val="es-MX" w:eastAsia="ar-SA"/>
        </w:rPr>
      </w:pPr>
      <w:r w:rsidRPr="002A0247">
        <w:rPr>
          <w:rFonts w:ascii="Times New Roman" w:hAnsi="Times New Roman" w:eastAsia="Arial Unicode MS" w:cs="Times New Roman"/>
          <w:b/>
          <w:bCs/>
          <w:sz w:val="24"/>
          <w:szCs w:val="24"/>
          <w:u w:val="single"/>
          <w:lang w:val="es-MX" w:eastAsia="ar-SA"/>
        </w:rPr>
        <w:t>Tercero</w:t>
      </w:r>
      <w:r w:rsidRPr="002A0247">
        <w:rPr>
          <w:rFonts w:ascii="Times New Roman" w:hAnsi="Times New Roman" w:eastAsia="Arial Unicode MS" w:cs="Times New Roman"/>
          <w:b/>
          <w:bCs/>
          <w:sz w:val="24"/>
          <w:szCs w:val="24"/>
          <w:lang w:val="es-MX" w:eastAsia="ar-SA"/>
        </w:rPr>
        <w:t xml:space="preserve">: </w:t>
      </w:r>
      <w:r w:rsidRPr="002A0247">
        <w:rPr>
          <w:rFonts w:ascii="Times New Roman" w:hAnsi="Times New Roman" w:eastAsia="Arial Unicode MS" w:cs="Times New Roman"/>
          <w:bCs/>
          <w:sz w:val="24"/>
          <w:szCs w:val="24"/>
          <w:lang w:val="es-MX" w:eastAsia="ar-SA"/>
        </w:rPr>
        <w:t xml:space="preserve">Con motivo del recurso presentado, este colegiado pudo advertir que, en el considerando sexto, numeral 6.4, párrafo décimo segundo, se produjo una omisión al final de dicho párrafo, por lo que corresponde modificarlo en los siguientes términos: </w:t>
      </w:r>
    </w:p>
    <w:p w:rsidRPr="002A0247" w:rsidR="002A0247" w:rsidP="6C595536" w:rsidRDefault="002A0247" w14:paraId="3CDE16E9" w14:textId="7724DC66">
      <w:pPr>
        <w:jc w:val="both"/>
        <w:rPr>
          <w:rFonts w:ascii="Times New Roman" w:hAnsi="Times New Roman" w:eastAsia="Arial Unicode MS" w:cs="Times New Roman"/>
          <w:i w:val="1"/>
          <w:iCs w:val="1"/>
          <w:sz w:val="24"/>
          <w:szCs w:val="24"/>
          <w:lang w:val="es-PE" w:eastAsia="ar-SA"/>
        </w:rPr>
      </w:pPr>
      <w:r w:rsidRPr="6C595536" w:rsidR="002A0247">
        <w:rPr>
          <w:rFonts w:ascii="Times New Roman" w:hAnsi="Times New Roman" w:eastAsia="Arial Unicode MS" w:cs="Times New Roman"/>
          <w:sz w:val="24"/>
          <w:szCs w:val="24"/>
          <w:lang w:val="es-MX" w:eastAsia="ar-SA"/>
        </w:rPr>
        <w:t xml:space="preserve">DICE: </w:t>
      </w:r>
      <w:r w:rsidRPr="6C595536" w:rsidR="002A0247">
        <w:rPr>
          <w:rFonts w:ascii="Times New Roman" w:hAnsi="Times New Roman" w:eastAsia="Arial Unicode MS" w:cs="Times New Roman"/>
          <w:i w:val="1"/>
          <w:iCs w:val="1"/>
          <w:sz w:val="24"/>
          <w:szCs w:val="24"/>
          <w:lang w:val="es-MX" w:eastAsia="ar-SA"/>
        </w:rPr>
        <w:t>“</w:t>
      </w:r>
      <w:r w:rsidRPr="6C595536" w:rsidR="002A0247">
        <w:rPr>
          <w:rFonts w:ascii="Times New Roman" w:hAnsi="Times New Roman" w:eastAsia="Arial Unicode MS" w:cs="Times New Roman"/>
          <w:i w:val="1"/>
          <w:iCs w:val="1"/>
          <w:sz w:val="24"/>
          <w:szCs w:val="24"/>
          <w:lang w:val="es-PE" w:eastAsia="ar-SA"/>
        </w:rPr>
        <w:t xml:space="preserve">En ese caso estamos ante una póliza grupal, suscrita entre la aseguradora y </w:t>
      </w:r>
      <w:r w:rsidRPr="6C595536" w:rsidR="7E235497">
        <w:rPr>
          <w:rFonts w:ascii="Times New Roman" w:hAnsi="Times New Roman" w:eastAsia="Arial Unicode MS" w:cs="Times New Roman"/>
          <w:i w:val="1"/>
          <w:iCs w:val="1"/>
          <w:sz w:val="24"/>
          <w:szCs w:val="24"/>
          <w:lang w:val="es-PE" w:eastAsia="ar-SA"/>
        </w:rPr>
        <w:t>..........................</w:t>
      </w:r>
      <w:r w:rsidRPr="6C595536" w:rsidR="002A0247">
        <w:rPr>
          <w:rFonts w:ascii="Times New Roman" w:hAnsi="Times New Roman" w:eastAsia="Arial Unicode MS" w:cs="Times New Roman"/>
          <w:i w:val="1"/>
          <w:iCs w:val="1"/>
          <w:sz w:val="24"/>
          <w:szCs w:val="24"/>
          <w:lang w:val="es-PE" w:eastAsia="ar-SA"/>
        </w:rPr>
        <w:t>s S.A., siendo este último no solo contratante de la póliza grupal sino además comercializador de dicho seguro, al cual se afilian los asegurados, en distintas oportunidades, siendo que al momento en que cada uno se afilia -es decir contrata el seguro-, la compañía emite un certificado de seguro estableciendo la vigencia del respectivo contrato entre dicho asegurado y la compañía de seguros, y las condiciones que rigen el mismo. Por lo tanto, si bien hay un contratante del seguro grupal”</w:t>
      </w:r>
    </w:p>
    <w:p w:rsidRPr="002A0247" w:rsidR="002A0247" w:rsidP="6C595536" w:rsidRDefault="002A0247" w14:paraId="2F21AA22" w14:textId="2FF4EF9F">
      <w:pPr>
        <w:jc w:val="both"/>
        <w:rPr>
          <w:rFonts w:ascii="Times New Roman" w:hAnsi="Times New Roman" w:eastAsia="Arial Unicode MS" w:cs="Times New Roman"/>
          <w:i w:val="1"/>
          <w:iCs w:val="1"/>
          <w:sz w:val="24"/>
          <w:szCs w:val="24"/>
          <w:lang w:val="es-MX" w:eastAsia="ar-SA"/>
        </w:rPr>
      </w:pPr>
      <w:r w:rsidRPr="6C595536" w:rsidR="002A0247">
        <w:rPr>
          <w:rFonts w:ascii="Times New Roman" w:hAnsi="Times New Roman" w:eastAsia="Arial Unicode MS" w:cs="Times New Roman"/>
          <w:sz w:val="24"/>
          <w:szCs w:val="24"/>
          <w:lang w:val="es-PE" w:eastAsia="ar-SA"/>
        </w:rPr>
        <w:t xml:space="preserve">DEBE DECIR: </w:t>
      </w:r>
      <w:r w:rsidRPr="6C595536" w:rsidR="002A0247">
        <w:rPr>
          <w:rFonts w:ascii="Times New Roman" w:hAnsi="Times New Roman" w:eastAsia="Arial Unicode MS" w:cs="Times New Roman"/>
          <w:i w:val="1"/>
          <w:iCs w:val="1"/>
          <w:sz w:val="24"/>
          <w:szCs w:val="24"/>
          <w:lang w:val="es-PE" w:eastAsia="ar-SA"/>
        </w:rPr>
        <w:t xml:space="preserve">“En este caso estamos ante una póliza grupal, suscrita entre la aseguradora y </w:t>
      </w:r>
      <w:r w:rsidRPr="6C595536" w:rsidR="7E235497">
        <w:rPr>
          <w:rFonts w:ascii="Times New Roman" w:hAnsi="Times New Roman" w:eastAsia="Arial Unicode MS" w:cs="Times New Roman"/>
          <w:i w:val="1"/>
          <w:iCs w:val="1"/>
          <w:sz w:val="24"/>
          <w:szCs w:val="24"/>
          <w:lang w:val="es-PE" w:eastAsia="ar-SA"/>
        </w:rPr>
        <w:t>..........................</w:t>
      </w:r>
      <w:r w:rsidRPr="6C595536" w:rsidR="002A0247">
        <w:rPr>
          <w:rFonts w:ascii="Times New Roman" w:hAnsi="Times New Roman" w:eastAsia="Arial Unicode MS" w:cs="Times New Roman"/>
          <w:i w:val="1"/>
          <w:iCs w:val="1"/>
          <w:sz w:val="24"/>
          <w:szCs w:val="24"/>
          <w:lang w:val="es-PE" w:eastAsia="ar-SA"/>
        </w:rPr>
        <w:t>s S.A., siendo este último no solo contratante de la póliza grupal sino además comercializador de dicho seguro, al cual se afilian los asegurados, en distintas oportunidades, siendo que al momento en que cada uno se afilia -es decir contrata el seguro-, la compañía emite un certificado de seguro estableciendo la vigencia del respectivo contrato entre dicho asegurado y la compañía de seguros, y las condiciones que rigen el mismo. Por lo tanto, si bien hay un contratante del seguro grupal, el asegurado es también un contratante individual de dicho seguro colectivo.”</w:t>
      </w:r>
    </w:p>
    <w:p w:rsidRPr="002A0247" w:rsidR="002A0247" w:rsidP="002A0247" w:rsidRDefault="002A0247" w14:paraId="3988AAC0" w14:textId="77777777">
      <w:pPr>
        <w:jc w:val="both"/>
        <w:rPr>
          <w:rFonts w:ascii="Times New Roman" w:hAnsi="Times New Roman" w:eastAsia="Arial Unicode MS" w:cs="Times New Roman"/>
          <w:b/>
          <w:bCs/>
          <w:sz w:val="24"/>
          <w:szCs w:val="24"/>
          <w:lang w:val="es-MX" w:eastAsia="ar-SA"/>
        </w:rPr>
      </w:pPr>
    </w:p>
    <w:p w:rsidRPr="002A0247" w:rsidR="002A0247" w:rsidP="002A0247" w:rsidRDefault="002A0247" w14:paraId="0E191620" w14:textId="1FE39971">
      <w:pPr>
        <w:jc w:val="both"/>
        <w:rPr>
          <w:rFonts w:ascii="Times New Roman" w:hAnsi="Times New Roman" w:eastAsia="Arial Unicode MS" w:cs="Times New Roman"/>
          <w:bCs/>
          <w:sz w:val="24"/>
          <w:szCs w:val="24"/>
          <w:lang w:val="es-PE" w:eastAsia="ar-SA"/>
        </w:rPr>
      </w:pPr>
      <w:r w:rsidRPr="002A0247">
        <w:rPr>
          <w:rFonts w:ascii="Times New Roman" w:hAnsi="Times New Roman" w:eastAsia="Arial Unicode MS" w:cs="Times New Roman"/>
          <w:bCs/>
          <w:sz w:val="24"/>
          <w:szCs w:val="24"/>
          <w:lang w:val="es-PE" w:eastAsia="ar-SA"/>
        </w:rPr>
        <w:t>En virtud de lo expuesto, este colegiado aprecia que no existe mérito suficiente para revocar la resolución recurrida; por lo tanto,</w:t>
      </w:r>
    </w:p>
    <w:p w:rsidRPr="002A0247" w:rsidR="002A0247" w:rsidP="002A0247" w:rsidRDefault="002A0247" w14:paraId="0CE52136" w14:textId="74787BF6">
      <w:pPr>
        <w:jc w:val="both"/>
        <w:rPr>
          <w:rFonts w:ascii="Times New Roman" w:hAnsi="Times New Roman" w:eastAsia="Arial Unicode MS" w:cs="Times New Roman"/>
          <w:b/>
          <w:bCs/>
          <w:sz w:val="24"/>
          <w:szCs w:val="24"/>
          <w:lang w:val="es-PE" w:eastAsia="ar-SA"/>
        </w:rPr>
      </w:pPr>
      <w:r w:rsidRPr="002A0247">
        <w:rPr>
          <w:rFonts w:ascii="Times New Roman" w:hAnsi="Times New Roman" w:eastAsia="Arial Unicode MS" w:cs="Times New Roman"/>
          <w:b/>
          <w:bCs/>
          <w:sz w:val="24"/>
          <w:szCs w:val="24"/>
          <w:lang w:val="es-PE" w:eastAsia="ar-SA"/>
        </w:rPr>
        <w:t>Resuelve:</w:t>
      </w:r>
    </w:p>
    <w:p w:rsidRPr="002A0247" w:rsidR="002A0247" w:rsidP="6C595536" w:rsidRDefault="002A0247" w14:paraId="4D37D43B" w14:textId="708A4ACA">
      <w:pPr>
        <w:jc w:val="both"/>
        <w:rPr>
          <w:rFonts w:ascii="Times New Roman" w:hAnsi="Times New Roman" w:eastAsia="Arial Unicode MS" w:cs="Times New Roman"/>
          <w:sz w:val="24"/>
          <w:szCs w:val="24"/>
          <w:lang w:val="es-PE" w:eastAsia="ar-SA"/>
        </w:rPr>
      </w:pPr>
      <w:r w:rsidRPr="6C595536" w:rsidR="002A0247">
        <w:rPr>
          <w:rFonts w:ascii="Times New Roman" w:hAnsi="Times New Roman" w:eastAsia="Arial Unicode MS" w:cs="Times New Roman"/>
          <w:sz w:val="24"/>
          <w:szCs w:val="24"/>
          <w:lang w:val="es-PE" w:eastAsia="ar-SA"/>
        </w:rPr>
        <w:t xml:space="preserve">Declarar INFUNDADO el recurso impugnativo interpuesto por </w:t>
      </w:r>
      <w:r w:rsidRPr="6C595536" w:rsidR="72C2A428">
        <w:rPr>
          <w:rFonts w:ascii="Times New Roman" w:hAnsi="Times New Roman" w:eastAsia="Arial Unicode MS" w:cs="Times New Roman"/>
          <w:sz w:val="24"/>
          <w:szCs w:val="24"/>
          <w:lang w:val="es-PE" w:eastAsia="ar-SA"/>
        </w:rPr>
        <w:t>..........................</w:t>
      </w:r>
      <w:r w:rsidRPr="6C595536" w:rsidR="002A0247">
        <w:rPr>
          <w:rFonts w:ascii="Times New Roman" w:hAnsi="Times New Roman" w:eastAsia="Arial Unicode MS" w:cs="Times New Roman"/>
          <w:sz w:val="24"/>
          <w:szCs w:val="24"/>
          <w:lang w:val="es-PE" w:eastAsia="ar-SA"/>
        </w:rPr>
        <w:t xml:space="preserve"> y, por consiguiente, ratificar la Resolución Nro. 153/24, de fecha 26 de agosto de 2024, que declaró FUNDADA la reclamación.</w:t>
      </w:r>
    </w:p>
    <w:p w:rsidRPr="00BE6DEF" w:rsidR="008B6A09" w:rsidP="00CF28D9" w:rsidRDefault="0091528B" w14:paraId="000A434B" w14:textId="36ADE1F5">
      <w:pPr>
        <w:jc w:val="right"/>
        <w:rPr>
          <w:rFonts w:ascii="Times New Roman" w:hAnsi="Times New Roman" w:cs="Times New Roman"/>
          <w:bCs/>
          <w:sz w:val="24"/>
          <w:szCs w:val="24"/>
          <w:lang w:val="es-PE"/>
        </w:rPr>
      </w:pPr>
      <w:r w:rsidRPr="00BE6DEF">
        <w:rPr>
          <w:rFonts w:ascii="Times New Roman" w:hAnsi="Times New Roman" w:eastAsia="Arial Unicode MS" w:cs="Times New Roman"/>
          <w:bCs/>
          <w:sz w:val="24"/>
          <w:szCs w:val="24"/>
          <w:lang w:val="es-PE" w:eastAsia="ar-SA"/>
        </w:rPr>
        <w:t xml:space="preserve">Lima, </w:t>
      </w:r>
      <w:r w:rsidR="00BA7C4A">
        <w:rPr>
          <w:rFonts w:ascii="Times New Roman" w:hAnsi="Times New Roman" w:eastAsia="Arial Unicode MS" w:cs="Times New Roman"/>
          <w:bCs/>
          <w:sz w:val="24"/>
          <w:szCs w:val="24"/>
          <w:lang w:val="es-PE" w:eastAsia="ar-SA"/>
        </w:rPr>
        <w:t>11</w:t>
      </w:r>
      <w:r w:rsidR="00F42C0D">
        <w:rPr>
          <w:rFonts w:ascii="Times New Roman" w:hAnsi="Times New Roman" w:eastAsia="Arial Unicode MS" w:cs="Times New Roman"/>
          <w:bCs/>
          <w:sz w:val="24"/>
          <w:szCs w:val="24"/>
          <w:lang w:val="es-PE" w:eastAsia="ar-SA"/>
        </w:rPr>
        <w:t xml:space="preserve"> </w:t>
      </w:r>
      <w:r w:rsidRPr="00BE6DEF" w:rsidR="00707C99">
        <w:rPr>
          <w:rFonts w:ascii="Times New Roman" w:hAnsi="Times New Roman" w:eastAsia="Arial Unicode MS" w:cs="Times New Roman"/>
          <w:bCs/>
          <w:sz w:val="24"/>
          <w:szCs w:val="24"/>
          <w:lang w:val="es-PE" w:eastAsia="ar-SA"/>
        </w:rPr>
        <w:t>de</w:t>
      </w:r>
      <w:r w:rsidRPr="00BE6DEF" w:rsidR="00A02CF2">
        <w:rPr>
          <w:rFonts w:ascii="Times New Roman" w:hAnsi="Times New Roman" w:eastAsia="Arial Unicode MS" w:cs="Times New Roman"/>
          <w:bCs/>
          <w:sz w:val="24"/>
          <w:szCs w:val="24"/>
          <w:lang w:val="es-PE" w:eastAsia="ar-SA"/>
        </w:rPr>
        <w:t xml:space="preserve"> </w:t>
      </w:r>
      <w:r w:rsidR="00F42C0D">
        <w:rPr>
          <w:rFonts w:ascii="Times New Roman" w:hAnsi="Times New Roman" w:eastAsia="Arial Unicode MS" w:cs="Times New Roman"/>
          <w:bCs/>
          <w:sz w:val="24"/>
          <w:szCs w:val="24"/>
          <w:lang w:val="es-PE" w:eastAsia="ar-SA"/>
        </w:rPr>
        <w:t>octubre</w:t>
      </w:r>
      <w:r w:rsidRPr="00BE6DEF" w:rsidR="002F478E">
        <w:rPr>
          <w:rFonts w:ascii="Times New Roman" w:hAnsi="Times New Roman" w:eastAsia="Arial Unicode MS" w:cs="Times New Roman"/>
          <w:bCs/>
          <w:sz w:val="24"/>
          <w:szCs w:val="24"/>
          <w:lang w:val="es-PE" w:eastAsia="ar-SA"/>
        </w:rPr>
        <w:t xml:space="preserve"> </w:t>
      </w:r>
      <w:r w:rsidRPr="00BE6DEF" w:rsidR="00F06498">
        <w:rPr>
          <w:rFonts w:ascii="Times New Roman" w:hAnsi="Times New Roman" w:eastAsia="Arial Unicode MS" w:cs="Times New Roman"/>
          <w:bCs/>
          <w:sz w:val="24"/>
          <w:szCs w:val="24"/>
          <w:lang w:val="es-PE" w:eastAsia="ar-SA"/>
        </w:rPr>
        <w:t>de 202</w:t>
      </w:r>
      <w:r w:rsidRPr="00BE6DEF" w:rsidR="00543015">
        <w:rPr>
          <w:rFonts w:ascii="Times New Roman" w:hAnsi="Times New Roman" w:eastAsia="Arial Unicode MS" w:cs="Times New Roman"/>
          <w:bCs/>
          <w:sz w:val="24"/>
          <w:szCs w:val="24"/>
          <w:lang w:val="es-PE" w:eastAsia="ar-SA"/>
        </w:rPr>
        <w:t>4</w:t>
      </w:r>
      <w:r w:rsidRPr="00BE6DEF" w:rsidR="00707C99">
        <w:rPr>
          <w:rFonts w:ascii="Times New Roman" w:hAnsi="Times New Roman" w:eastAsia="Times New Roman" w:cs="Times New Roman"/>
          <w:bCs/>
          <w:sz w:val="24"/>
          <w:szCs w:val="24"/>
          <w:lang w:val="es-PE" w:eastAsia="ar-SA"/>
        </w:rPr>
        <w:t xml:space="preserve"> </w:t>
      </w:r>
    </w:p>
    <w:p w:rsidRPr="00BE6DEF" w:rsidR="00A323F4" w:rsidP="00A84003" w:rsidRDefault="00A323F4" w14:paraId="1B6988F6" w14:textId="77777777">
      <w:pPr>
        <w:spacing w:after="0" w:line="240" w:lineRule="auto"/>
        <w:jc w:val="both"/>
        <w:rPr>
          <w:rFonts w:ascii="Times New Roman" w:hAnsi="Times New Roman" w:cs="Times New Roman"/>
          <w:b/>
          <w:i/>
          <w:iCs/>
          <w:sz w:val="24"/>
          <w:szCs w:val="24"/>
          <w:lang w:val="es-PE"/>
        </w:rPr>
      </w:pPr>
      <w:r w:rsidRPr="00BE6DEF">
        <w:rPr>
          <w:rFonts w:ascii="Times New Roman" w:hAnsi="Times New Roman" w:cs="Times New Roman"/>
          <w:b/>
          <w:i/>
          <w:iCs/>
          <w:sz w:val="24"/>
          <w:szCs w:val="24"/>
          <w:lang w:val="es-PE"/>
        </w:rPr>
        <w:t>La Secretaría Técnica certifica que la presente resolución cuenta con el voto de los vocales cuyos nombres figuran en el presente documento.</w:t>
      </w:r>
    </w:p>
    <w:p w:rsidRPr="00BE6DEF" w:rsidR="00A323F4" w:rsidP="00A84003" w:rsidRDefault="00A323F4" w14:paraId="3AB80116" w14:textId="77777777">
      <w:pPr>
        <w:spacing w:after="0" w:line="360" w:lineRule="auto"/>
        <w:jc w:val="both"/>
        <w:rPr>
          <w:rFonts w:ascii="Times New Roman" w:hAnsi="Times New Roman" w:cs="Times New Roman"/>
          <w:b/>
          <w:i/>
          <w:iCs/>
          <w:sz w:val="24"/>
          <w:szCs w:val="24"/>
          <w:lang w:val="es-PE"/>
        </w:rPr>
      </w:pPr>
    </w:p>
    <w:p w:rsidRPr="00BE6DEF" w:rsidR="00600E7F" w:rsidP="00861BDD" w:rsidRDefault="00600E7F" w14:paraId="7680FD70" w14:textId="40A434AA">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 xml:space="preserve">Rolando Eyzaguirre </w:t>
      </w:r>
      <w:proofErr w:type="spellStart"/>
      <w:r w:rsidRPr="00BE6DEF">
        <w:rPr>
          <w:rFonts w:ascii="Times New Roman" w:hAnsi="Times New Roman" w:cs="Times New Roman"/>
          <w:b/>
          <w:sz w:val="24"/>
          <w:szCs w:val="24"/>
          <w:lang w:val="es-PE"/>
        </w:rPr>
        <w:t>Maccan</w:t>
      </w:r>
      <w:proofErr w:type="spellEnd"/>
      <w:r w:rsidRPr="00BE6DEF">
        <w:rPr>
          <w:rFonts w:ascii="Times New Roman" w:hAnsi="Times New Roman" w:cs="Times New Roman"/>
          <w:b/>
          <w:sz w:val="24"/>
          <w:szCs w:val="24"/>
          <w:lang w:val="es-PE"/>
        </w:rPr>
        <w:t xml:space="preserve"> – </w:t>
      </w:r>
      <w:proofErr w:type="gramStart"/>
      <w:r w:rsidRPr="00BE6DEF">
        <w:rPr>
          <w:rFonts w:ascii="Times New Roman" w:hAnsi="Times New Roman" w:cs="Times New Roman"/>
          <w:b/>
          <w:sz w:val="24"/>
          <w:szCs w:val="24"/>
          <w:lang w:val="es-PE"/>
        </w:rPr>
        <w:t>Presidente</w:t>
      </w:r>
      <w:proofErr w:type="gramEnd"/>
    </w:p>
    <w:p w:rsidRPr="00BE6DEF" w:rsidR="007543CD" w:rsidP="007543CD" w:rsidRDefault="00543015" w14:paraId="220AA7AD" w14:textId="5B40BC33">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 xml:space="preserve">María Eugenia Valdez Fernández Baca </w:t>
      </w:r>
      <w:r w:rsidRPr="00BE6DEF" w:rsidR="007543CD">
        <w:rPr>
          <w:rFonts w:ascii="Times New Roman" w:hAnsi="Times New Roman" w:cs="Times New Roman"/>
          <w:b/>
          <w:sz w:val="24"/>
          <w:szCs w:val="24"/>
          <w:lang w:val="es-PE"/>
        </w:rPr>
        <w:t xml:space="preserve">– </w:t>
      </w:r>
      <w:r w:rsidRPr="00BE6DEF" w:rsidR="00950F53">
        <w:rPr>
          <w:rFonts w:ascii="Times New Roman" w:hAnsi="Times New Roman" w:cs="Times New Roman"/>
          <w:b/>
          <w:sz w:val="24"/>
          <w:szCs w:val="24"/>
          <w:lang w:val="es-PE"/>
        </w:rPr>
        <w:t>Vocal</w:t>
      </w:r>
    </w:p>
    <w:p w:rsidRPr="00BE6DEF" w:rsidR="00600E7F" w:rsidP="00600E7F" w:rsidRDefault="00600E7F" w14:paraId="3155F74E" w14:textId="30D2E817">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Omar Alfaro Villanueva – Vocal</w:t>
      </w:r>
    </w:p>
    <w:p w:rsidRPr="00BE6DEF" w:rsidR="007543CD" w:rsidP="007543CD" w:rsidRDefault="007543CD" w14:paraId="69BFE54F" w14:textId="77777777">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Gonzalo Abad del Busto – Vocal</w:t>
      </w:r>
    </w:p>
    <w:p w:rsidRPr="00BE6DEF" w:rsidR="00986F0C" w:rsidP="00556526" w:rsidRDefault="00986F0C" w14:paraId="412CCBAA" w14:textId="77777777">
      <w:pPr>
        <w:spacing w:after="0" w:line="360" w:lineRule="auto"/>
        <w:jc w:val="center"/>
        <w:rPr>
          <w:rFonts w:ascii="Times New Roman" w:hAnsi="Times New Roman" w:cs="Times New Roman"/>
          <w:bCs/>
          <w:sz w:val="24"/>
          <w:szCs w:val="24"/>
          <w:lang w:val="es-PE"/>
        </w:rPr>
      </w:pPr>
    </w:p>
    <w:p w:rsidRPr="0027406D" w:rsidR="00C6662D" w:rsidP="00C6662D" w:rsidRDefault="00C6662D" w14:paraId="14DFBF1F" w14:textId="77777777">
      <w:pPr>
        <w:spacing w:after="0" w:line="360" w:lineRule="auto"/>
        <w:rPr>
          <w:rFonts w:ascii="Times New Roman" w:hAnsi="Times New Roman" w:cs="Times New Roman"/>
          <w:bCs/>
          <w:sz w:val="24"/>
          <w:szCs w:val="24"/>
          <w:lang w:val="es-PE"/>
        </w:rPr>
      </w:pPr>
    </w:p>
    <w:p w:rsidRPr="0027406D" w:rsidR="00556526" w:rsidP="00B17E56" w:rsidRDefault="00556526" w14:paraId="5D853B0D" w14:textId="088DF411">
      <w:pPr>
        <w:jc w:val="both"/>
        <w:rPr>
          <w:rFonts w:ascii="Times New Roman" w:hAnsi="Times New Roman" w:cs="Times New Roman"/>
          <w:bCs/>
          <w:i/>
          <w:iCs/>
          <w:sz w:val="24"/>
          <w:szCs w:val="24"/>
          <w:lang w:val="es-ES_tradnl"/>
        </w:rPr>
      </w:pPr>
    </w:p>
    <w:p w:rsidRPr="0027406D"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val="es-PE"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85E7C" w:rsidP="00784355" w:rsidRDefault="00C85E7C" w14:paraId="5EED0200" w14:textId="77777777">
      <w:pPr>
        <w:spacing w:after="0" w:line="240" w:lineRule="auto"/>
      </w:pPr>
      <w:r>
        <w:separator/>
      </w:r>
    </w:p>
  </w:endnote>
  <w:endnote w:type="continuationSeparator" w:id="0">
    <w:p w:rsidR="00C85E7C" w:rsidP="00784355" w:rsidRDefault="00C85E7C" w14:paraId="574274E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85E7C" w:rsidP="00784355" w:rsidRDefault="00C85E7C" w14:paraId="7BFFB9E8" w14:textId="77777777">
      <w:pPr>
        <w:spacing w:after="0" w:line="240" w:lineRule="auto"/>
      </w:pPr>
      <w:r>
        <w:separator/>
      </w:r>
    </w:p>
  </w:footnote>
  <w:footnote w:type="continuationSeparator" w:id="0">
    <w:p w:rsidR="00C85E7C" w:rsidP="00784355" w:rsidRDefault="00C85E7C" w14:paraId="3D3A467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7569F5"/>
    <w:multiLevelType w:val="hybridMultilevel"/>
    <w:tmpl w:val="5ACE0426"/>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num w:numId="1" w16cid:durableId="9093153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C4FAF"/>
    <w:rsid w:val="000D5F00"/>
    <w:rsid w:val="000E4569"/>
    <w:rsid w:val="000E483A"/>
    <w:rsid w:val="000F17DA"/>
    <w:rsid w:val="000F38C7"/>
    <w:rsid w:val="000F4CDC"/>
    <w:rsid w:val="000F56CC"/>
    <w:rsid w:val="000F6340"/>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F4F"/>
    <w:rsid w:val="0027301E"/>
    <w:rsid w:val="0027406D"/>
    <w:rsid w:val="002746D8"/>
    <w:rsid w:val="00274985"/>
    <w:rsid w:val="002768C6"/>
    <w:rsid w:val="00276A92"/>
    <w:rsid w:val="00277667"/>
    <w:rsid w:val="002830BC"/>
    <w:rsid w:val="00283E79"/>
    <w:rsid w:val="00286C15"/>
    <w:rsid w:val="00290CA4"/>
    <w:rsid w:val="00290D10"/>
    <w:rsid w:val="002910A0"/>
    <w:rsid w:val="00294D98"/>
    <w:rsid w:val="00295828"/>
    <w:rsid w:val="0029673E"/>
    <w:rsid w:val="002A0247"/>
    <w:rsid w:val="002A31D3"/>
    <w:rsid w:val="002A3D36"/>
    <w:rsid w:val="002A7E2E"/>
    <w:rsid w:val="002B726E"/>
    <w:rsid w:val="002C130C"/>
    <w:rsid w:val="002C2A0F"/>
    <w:rsid w:val="002C6367"/>
    <w:rsid w:val="002D08F7"/>
    <w:rsid w:val="002D0DB0"/>
    <w:rsid w:val="002D3B01"/>
    <w:rsid w:val="002D4977"/>
    <w:rsid w:val="002E0275"/>
    <w:rsid w:val="002E1221"/>
    <w:rsid w:val="002E14FD"/>
    <w:rsid w:val="002E17F9"/>
    <w:rsid w:val="002F09CA"/>
    <w:rsid w:val="002F35F0"/>
    <w:rsid w:val="002F478E"/>
    <w:rsid w:val="002F5119"/>
    <w:rsid w:val="00300D21"/>
    <w:rsid w:val="00300DDA"/>
    <w:rsid w:val="00303FA8"/>
    <w:rsid w:val="003045E3"/>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3046"/>
    <w:rsid w:val="00495D9A"/>
    <w:rsid w:val="00496304"/>
    <w:rsid w:val="00496A1A"/>
    <w:rsid w:val="004A183E"/>
    <w:rsid w:val="004A3E25"/>
    <w:rsid w:val="004A41F6"/>
    <w:rsid w:val="004A718F"/>
    <w:rsid w:val="004B155C"/>
    <w:rsid w:val="004B27E2"/>
    <w:rsid w:val="004B3EBE"/>
    <w:rsid w:val="004B4F1A"/>
    <w:rsid w:val="004B51ED"/>
    <w:rsid w:val="004C1C34"/>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6CB"/>
    <w:rsid w:val="005A782D"/>
    <w:rsid w:val="005B0224"/>
    <w:rsid w:val="005B2924"/>
    <w:rsid w:val="005C3266"/>
    <w:rsid w:val="005C524E"/>
    <w:rsid w:val="005C5AB9"/>
    <w:rsid w:val="005C6AB8"/>
    <w:rsid w:val="005D3E68"/>
    <w:rsid w:val="005D5F88"/>
    <w:rsid w:val="005D64B6"/>
    <w:rsid w:val="005E0EC2"/>
    <w:rsid w:val="005E17C2"/>
    <w:rsid w:val="005E2CBE"/>
    <w:rsid w:val="005E4870"/>
    <w:rsid w:val="005E7D24"/>
    <w:rsid w:val="005F220A"/>
    <w:rsid w:val="005F4C97"/>
    <w:rsid w:val="00600E7F"/>
    <w:rsid w:val="006043E9"/>
    <w:rsid w:val="00605902"/>
    <w:rsid w:val="00606105"/>
    <w:rsid w:val="00613A39"/>
    <w:rsid w:val="00622ABC"/>
    <w:rsid w:val="00623204"/>
    <w:rsid w:val="00624034"/>
    <w:rsid w:val="006266F4"/>
    <w:rsid w:val="00631C06"/>
    <w:rsid w:val="0064374C"/>
    <w:rsid w:val="006442E0"/>
    <w:rsid w:val="006444C9"/>
    <w:rsid w:val="0064607A"/>
    <w:rsid w:val="00647AEA"/>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704"/>
    <w:rsid w:val="006C1A65"/>
    <w:rsid w:val="006C29A7"/>
    <w:rsid w:val="006C6261"/>
    <w:rsid w:val="006D2BA9"/>
    <w:rsid w:val="006D397E"/>
    <w:rsid w:val="006E2366"/>
    <w:rsid w:val="006E4547"/>
    <w:rsid w:val="006E4689"/>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6B5"/>
    <w:rsid w:val="007D2A4B"/>
    <w:rsid w:val="007D39D3"/>
    <w:rsid w:val="007D5BB1"/>
    <w:rsid w:val="007D7213"/>
    <w:rsid w:val="007E4325"/>
    <w:rsid w:val="007E5917"/>
    <w:rsid w:val="007F186A"/>
    <w:rsid w:val="007F38DF"/>
    <w:rsid w:val="007F74F1"/>
    <w:rsid w:val="008010D0"/>
    <w:rsid w:val="008020A1"/>
    <w:rsid w:val="00813611"/>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DB3"/>
    <w:rsid w:val="00895A85"/>
    <w:rsid w:val="00896F8E"/>
    <w:rsid w:val="008A1D12"/>
    <w:rsid w:val="008A23EE"/>
    <w:rsid w:val="008A3A47"/>
    <w:rsid w:val="008B47F3"/>
    <w:rsid w:val="008B5C61"/>
    <w:rsid w:val="008B69A3"/>
    <w:rsid w:val="008B6A09"/>
    <w:rsid w:val="008B760D"/>
    <w:rsid w:val="008B7C97"/>
    <w:rsid w:val="008D1D39"/>
    <w:rsid w:val="008D5049"/>
    <w:rsid w:val="008D6DDF"/>
    <w:rsid w:val="008D721C"/>
    <w:rsid w:val="008E33FD"/>
    <w:rsid w:val="008F1161"/>
    <w:rsid w:val="008F1223"/>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22AE"/>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3B8F"/>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03F"/>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674EA"/>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D5CBE"/>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A7C4A"/>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1445"/>
    <w:rsid w:val="00C52848"/>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5E7C"/>
    <w:rsid w:val="00C8675B"/>
    <w:rsid w:val="00C86CD7"/>
    <w:rsid w:val="00C86F17"/>
    <w:rsid w:val="00C9376B"/>
    <w:rsid w:val="00C94213"/>
    <w:rsid w:val="00C9581A"/>
    <w:rsid w:val="00C960BE"/>
    <w:rsid w:val="00C9791B"/>
    <w:rsid w:val="00CA27CB"/>
    <w:rsid w:val="00CA3682"/>
    <w:rsid w:val="00CA3BE9"/>
    <w:rsid w:val="00CB44BB"/>
    <w:rsid w:val="00CC4AEF"/>
    <w:rsid w:val="00CC6C0C"/>
    <w:rsid w:val="00CC719D"/>
    <w:rsid w:val="00CD4BE8"/>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E62"/>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A"/>
    <w:rsid w:val="00EA44B9"/>
    <w:rsid w:val="00EA4C4B"/>
    <w:rsid w:val="00EA7250"/>
    <w:rsid w:val="00EA77BE"/>
    <w:rsid w:val="00EB1BD2"/>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49E0"/>
    <w:rsid w:val="00F36BF0"/>
    <w:rsid w:val="00F423F5"/>
    <w:rsid w:val="00F42C0D"/>
    <w:rsid w:val="00F42F97"/>
    <w:rsid w:val="00F439B5"/>
    <w:rsid w:val="00F52E75"/>
    <w:rsid w:val="00F54C75"/>
    <w:rsid w:val="00F57DED"/>
    <w:rsid w:val="00F60A18"/>
    <w:rsid w:val="00F63F49"/>
    <w:rsid w:val="00F65837"/>
    <w:rsid w:val="00F713A4"/>
    <w:rsid w:val="00F72D00"/>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D5"/>
    <w:rsid w:val="00FB297F"/>
    <w:rsid w:val="00FB4B0C"/>
    <w:rsid w:val="00FB57B9"/>
    <w:rsid w:val="00FC0D10"/>
    <w:rsid w:val="00FC1934"/>
    <w:rsid w:val="00FD308B"/>
    <w:rsid w:val="00FE1289"/>
    <w:rsid w:val="00FE38F0"/>
    <w:rsid w:val="00FE43A9"/>
    <w:rsid w:val="00FE6588"/>
    <w:rsid w:val="00FE73F3"/>
    <w:rsid w:val="00FF11AC"/>
    <w:rsid w:val="00FF3F82"/>
    <w:rsid w:val="00FF41F3"/>
    <w:rsid w:val="00FF4848"/>
    <w:rsid w:val="00FF4D0C"/>
    <w:rsid w:val="0F82D70B"/>
    <w:rsid w:val="31E1F01B"/>
    <w:rsid w:val="3BC4AED5"/>
    <w:rsid w:val="6C595536"/>
    <w:rsid w:val="6CCCEE99"/>
    <w:rsid w:val="72C2A428"/>
    <w:rsid w:val="7D58EFF1"/>
    <w:rsid w:val="7E235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iPriority w:val="99"/>
    <w:semiHidden/>
    <w:unhideWhenUsed/>
    <w:rsid w:val="00827F7F"/>
    <w:pPr>
      <w:spacing w:after="0" w:line="240" w:lineRule="auto"/>
    </w:pPr>
    <w:rPr>
      <w:sz w:val="20"/>
      <w:szCs w:val="20"/>
      <w:lang w:val="es-PE"/>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iPriority w:val="99"/>
    <w:semiHidden/>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7737">
      <w:bodyDiv w:val="1"/>
      <w:marLeft w:val="0"/>
      <w:marRight w:val="0"/>
      <w:marTop w:val="0"/>
      <w:marBottom w:val="0"/>
      <w:divBdr>
        <w:top w:val="none" w:sz="0" w:space="0" w:color="auto"/>
        <w:left w:val="none" w:sz="0" w:space="0" w:color="auto"/>
        <w:bottom w:val="none" w:sz="0" w:space="0" w:color="auto"/>
        <w:right w:val="none" w:sz="0" w:space="0" w:color="auto"/>
      </w:divBdr>
    </w:div>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183372191">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44467984">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8511460">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8300934">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6117058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4241004">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621959">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9237943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197894789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BAF0741-1DAE-41B8-A592-3A668102B533}"/>
</file>

<file path=customXml/itemProps3.xml><?xml version="1.0" encoding="utf-8"?>
<ds:datastoreItem xmlns:ds="http://schemas.openxmlformats.org/officeDocument/2006/customXml" ds:itemID="{C5CE7BC3-B005-4500-A62A-1506B9294B33}"/>
</file>

<file path=customXml/itemProps4.xml><?xml version="1.0" encoding="utf-8"?>
<ds:datastoreItem xmlns:ds="http://schemas.openxmlformats.org/officeDocument/2006/customXml" ds:itemID="{B64AFBBC-CF96-4AA5-AA95-522DAD9362A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396</cp:revision>
  <cp:lastPrinted>2024-10-11T16:39:00Z</cp:lastPrinted>
  <dcterms:created xsi:type="dcterms:W3CDTF">2023-02-14T22:37:00Z</dcterms:created>
  <dcterms:modified xsi:type="dcterms:W3CDTF">2025-12-12T14:44:33Z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