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93FC1" w:rsidR="002D69E1" w:rsidP="00F33BD0" w:rsidRDefault="00201C0D" w14:paraId="00A706B4" w14:textId="57A9BC4B">
      <w:pPr>
        <w:spacing w:after="0" w:line="240" w:lineRule="auto"/>
        <w:jc w:val="center"/>
        <w:rPr>
          <w:rFonts w:ascii="Times New Roman" w:hAnsi="Times New Roman" w:cs="Times New Roman"/>
          <w:b/>
          <w:sz w:val="24"/>
          <w:szCs w:val="24"/>
          <w:lang w:eastAsia="ar-SA"/>
        </w:rPr>
      </w:pPr>
      <w:r w:rsidRPr="00293FC1">
        <w:rPr>
          <w:rFonts w:ascii="Times New Roman" w:hAnsi="Times New Roman" w:cs="Times New Roman"/>
          <w:b/>
          <w:sz w:val="24"/>
          <w:szCs w:val="24"/>
          <w:lang w:eastAsia="ar-SA"/>
        </w:rPr>
        <w:t xml:space="preserve">RESOLUCIÓN DE RECURSO IMPUGNATIVO </w:t>
      </w:r>
      <w:proofErr w:type="spellStart"/>
      <w:r w:rsidRPr="00293FC1" w:rsidR="00707C99">
        <w:rPr>
          <w:rFonts w:ascii="Times New Roman" w:hAnsi="Times New Roman" w:cs="Times New Roman"/>
          <w:b/>
          <w:sz w:val="24"/>
          <w:szCs w:val="24"/>
          <w:lang w:eastAsia="ar-SA"/>
        </w:rPr>
        <w:t>N°</w:t>
      </w:r>
      <w:proofErr w:type="spellEnd"/>
      <w:r w:rsidRPr="00293FC1" w:rsidR="00707C99">
        <w:rPr>
          <w:rFonts w:ascii="Times New Roman" w:hAnsi="Times New Roman" w:cs="Times New Roman"/>
          <w:b/>
          <w:sz w:val="24"/>
          <w:szCs w:val="24"/>
          <w:lang w:eastAsia="ar-SA"/>
        </w:rPr>
        <w:t xml:space="preserve"> </w:t>
      </w:r>
      <w:r w:rsidRPr="00293FC1" w:rsidR="00516293">
        <w:rPr>
          <w:rFonts w:ascii="Times New Roman" w:hAnsi="Times New Roman" w:cs="Times New Roman"/>
          <w:b/>
          <w:sz w:val="24"/>
          <w:szCs w:val="24"/>
          <w:lang w:eastAsia="ar-SA"/>
        </w:rPr>
        <w:t>0</w:t>
      </w:r>
      <w:r w:rsidRPr="00293FC1" w:rsidR="000C4FAF">
        <w:rPr>
          <w:rFonts w:ascii="Times New Roman" w:hAnsi="Times New Roman" w:cs="Times New Roman"/>
          <w:b/>
          <w:sz w:val="24"/>
          <w:szCs w:val="24"/>
          <w:lang w:eastAsia="ar-SA"/>
        </w:rPr>
        <w:t>4</w:t>
      </w:r>
      <w:r w:rsidRPr="00293FC1" w:rsidR="006C1321">
        <w:rPr>
          <w:rFonts w:ascii="Times New Roman" w:hAnsi="Times New Roman" w:cs="Times New Roman"/>
          <w:b/>
          <w:sz w:val="24"/>
          <w:szCs w:val="24"/>
          <w:lang w:eastAsia="ar-SA"/>
        </w:rPr>
        <w:t>5</w:t>
      </w:r>
      <w:r w:rsidRPr="00293FC1" w:rsidR="00C671F5">
        <w:rPr>
          <w:rFonts w:ascii="Times New Roman" w:hAnsi="Times New Roman" w:cs="Times New Roman"/>
          <w:b/>
          <w:sz w:val="24"/>
          <w:szCs w:val="24"/>
          <w:lang w:eastAsia="ar-SA"/>
        </w:rPr>
        <w:t>/2</w:t>
      </w:r>
      <w:r w:rsidRPr="00293FC1" w:rsidR="00543015">
        <w:rPr>
          <w:rFonts w:ascii="Times New Roman" w:hAnsi="Times New Roman" w:cs="Times New Roman"/>
          <w:b/>
          <w:sz w:val="24"/>
          <w:szCs w:val="24"/>
          <w:lang w:eastAsia="ar-SA"/>
        </w:rPr>
        <w:t>4</w:t>
      </w:r>
    </w:p>
    <w:p w:rsidRPr="00293FC1" w:rsidR="005E49B8" w:rsidP="005E49B8" w:rsidRDefault="005E49B8" w14:paraId="51E67502" w14:textId="77777777">
      <w:pPr>
        <w:rPr>
          <w:rFonts w:ascii="Times New Roman" w:hAnsi="Times New Roman" w:cs="Times New Roman"/>
          <w:b/>
          <w:bCs/>
          <w:sz w:val="24"/>
          <w:szCs w:val="24"/>
        </w:rPr>
      </w:pPr>
    </w:p>
    <w:p w:rsidRPr="00293FC1" w:rsidR="005E49B8" w:rsidP="005E49B8" w:rsidRDefault="005E49B8" w14:paraId="1123A758" w14:textId="77777777">
      <w:pPr>
        <w:jc w:val="both"/>
        <w:outlineLvl w:val="0"/>
        <w:rPr>
          <w:rFonts w:ascii="Times New Roman" w:hAnsi="Times New Roman" w:cs="Times New Roman"/>
          <w:b/>
          <w:bCs/>
          <w:sz w:val="24"/>
          <w:szCs w:val="24"/>
        </w:rPr>
      </w:pPr>
      <w:r w:rsidRPr="00293FC1">
        <w:rPr>
          <w:rFonts w:ascii="Times New Roman" w:hAnsi="Times New Roman" w:cs="Times New Roman"/>
          <w:b/>
          <w:bCs/>
          <w:sz w:val="24"/>
          <w:szCs w:val="24"/>
        </w:rPr>
        <w:t>VISTOS:</w:t>
      </w:r>
    </w:p>
    <w:p w:rsidRPr="00293FC1" w:rsidR="005E49B8" w:rsidP="5B8AB9C2" w:rsidRDefault="005E49B8" w14:paraId="6566D8D2" w14:textId="4AA14BCB">
      <w:pPr>
        <w:jc w:val="both"/>
        <w:rPr>
          <w:rFonts w:ascii="Times New Roman" w:hAnsi="Times New Roman" w:cs="Times New Roman"/>
          <w:b w:val="1"/>
          <w:bCs w:val="1"/>
          <w:sz w:val="24"/>
          <w:szCs w:val="24"/>
          <w:lang w:eastAsia="es-ES"/>
        </w:rPr>
      </w:pPr>
      <w:r w:rsidRPr="5B8AB9C2" w:rsidR="005E49B8">
        <w:rPr>
          <w:rFonts w:ascii="Times New Roman" w:hAnsi="Times New Roman" w:cs="Times New Roman"/>
          <w:sz w:val="24"/>
          <w:szCs w:val="24"/>
        </w:rPr>
        <w:t xml:space="preserve">El recurso de impugnación presentado por </w:t>
      </w:r>
      <w:r w:rsidRPr="5B8AB9C2" w:rsidR="67FB588D">
        <w:rPr>
          <w:rFonts w:ascii="Times New Roman" w:hAnsi="Times New Roman" w:cs="Times New Roman"/>
          <w:b w:val="1"/>
          <w:bCs w:val="1"/>
          <w:sz w:val="24"/>
          <w:szCs w:val="24"/>
          <w:lang w:eastAsia="es-ES"/>
        </w:rPr>
        <w:t>................................................</w:t>
      </w:r>
      <w:r w:rsidRPr="5B8AB9C2" w:rsidR="005E49B8">
        <w:rPr>
          <w:rFonts w:ascii="Times New Roman" w:hAnsi="Times New Roman" w:cs="Times New Roman"/>
          <w:sz w:val="24"/>
          <w:szCs w:val="24"/>
        </w:rPr>
        <w:t xml:space="preserve">respecto de la Resolución Nro. 194/24, expedida por esta Defensoría del Asegurado (DEFASEG), conforme a la cual se declaró </w:t>
      </w:r>
      <w:r>
        <w:tab/>
      </w:r>
      <w:r w:rsidRPr="5B8AB9C2" w:rsidR="005E49B8">
        <w:rPr>
          <w:rFonts w:ascii="Times New Roman" w:hAnsi="Times New Roman" w:cs="Times New Roman"/>
          <w:sz w:val="24"/>
          <w:szCs w:val="24"/>
        </w:rPr>
        <w:t xml:space="preserve">INFUNDADA la reclamación interpuesta contra </w:t>
      </w:r>
      <w:r w:rsidRPr="5B8AB9C2" w:rsidR="7506FD32">
        <w:rPr>
          <w:rFonts w:ascii="Times New Roman" w:hAnsi="Times New Roman" w:cs="Times New Roman"/>
          <w:b w:val="1"/>
          <w:bCs w:val="1"/>
          <w:sz w:val="24"/>
          <w:szCs w:val="24"/>
        </w:rPr>
        <w:t>.................................</w:t>
      </w:r>
      <w:r w:rsidRPr="5B8AB9C2" w:rsidR="005E49B8">
        <w:rPr>
          <w:rFonts w:ascii="Times New Roman" w:hAnsi="Times New Roman" w:cs="Times New Roman"/>
          <w:b w:val="1"/>
          <w:bCs w:val="1"/>
          <w:sz w:val="24"/>
          <w:szCs w:val="24"/>
        </w:rPr>
        <w:t xml:space="preserve"> </w:t>
      </w:r>
      <w:r w:rsidRPr="5B8AB9C2" w:rsidR="005E49B8">
        <w:rPr>
          <w:rFonts w:ascii="Times New Roman" w:hAnsi="Times New Roman" w:cs="Times New Roman"/>
          <w:sz w:val="24"/>
          <w:szCs w:val="24"/>
        </w:rPr>
        <w:t xml:space="preserve">respecto a la cobertura de </w:t>
      </w:r>
      <w:r w:rsidRPr="5B8AB9C2" w:rsidR="005E49B8">
        <w:rPr>
          <w:rFonts w:ascii="Times New Roman" w:hAnsi="Times New Roman" w:cs="Times New Roman"/>
          <w:b w:val="1"/>
          <w:bCs w:val="1"/>
          <w:sz w:val="24"/>
          <w:szCs w:val="24"/>
        </w:rPr>
        <w:t xml:space="preserve">SEGURO SOAT – PÓLIZA No </w:t>
      </w:r>
      <w:r w:rsidRPr="5B8AB9C2" w:rsidR="7FD655BD">
        <w:rPr>
          <w:rFonts w:ascii="Times New Roman" w:hAnsi="Times New Roman" w:cs="Times New Roman"/>
          <w:b w:val="1"/>
          <w:bCs w:val="1"/>
          <w:sz w:val="24"/>
          <w:szCs w:val="24"/>
        </w:rPr>
        <w:t>.................................</w:t>
      </w:r>
      <w:r w:rsidRPr="5B8AB9C2" w:rsidR="005E49B8">
        <w:rPr>
          <w:rFonts w:ascii="Times New Roman" w:hAnsi="Times New Roman" w:cs="Times New Roman"/>
          <w:b w:val="1"/>
          <w:bCs w:val="1"/>
          <w:sz w:val="24"/>
          <w:szCs w:val="24"/>
          <w:lang w:eastAsia="es-ES"/>
        </w:rPr>
        <w:t>.</w:t>
      </w:r>
    </w:p>
    <w:p w:rsidRPr="00293FC1" w:rsidR="005E49B8" w:rsidP="005E49B8" w:rsidRDefault="005E49B8" w14:paraId="3598ECF8" w14:textId="20634645">
      <w:pPr>
        <w:pStyle w:val="Default"/>
        <w:jc w:val="both"/>
        <w:rPr>
          <w:rFonts w:ascii="Times New Roman" w:hAnsi="Times New Roman" w:cs="Times New Roman"/>
        </w:rPr>
      </w:pPr>
      <w:r w:rsidRPr="5B8AB9C2" w:rsidR="005E49B8">
        <w:rPr>
          <w:rFonts w:ascii="Times New Roman" w:hAnsi="Times New Roman" w:cs="Times New Roman"/>
        </w:rPr>
        <w:t xml:space="preserve">Que, el indicado recurso se sustenta resumidamente en lo siguiente: (1) los daños causados por el accidente automovilístico (volcadura) con la denuncia policial y el diagnostico medico realizado por Dr. </w:t>
      </w:r>
      <w:r w:rsidRPr="5B8AB9C2" w:rsidR="7175F6D5">
        <w:rPr>
          <w:rFonts w:ascii="Times New Roman" w:hAnsi="Times New Roman" w:cs="Times New Roman"/>
        </w:rPr>
        <w:t>.................................</w:t>
      </w:r>
      <w:r w:rsidRPr="5B8AB9C2" w:rsidR="005E49B8">
        <w:rPr>
          <w:rFonts w:ascii="Times New Roman" w:hAnsi="Times New Roman" w:cs="Times New Roman"/>
        </w:rPr>
        <w:t xml:space="preserve">  (Otorrinolaringólogo); (2) el doctor </w:t>
      </w:r>
      <w:r w:rsidRPr="5B8AB9C2" w:rsidR="157008A1">
        <w:rPr>
          <w:rFonts w:ascii="Times New Roman" w:hAnsi="Times New Roman" w:cs="Times New Roman"/>
        </w:rPr>
        <w:t>.................................</w:t>
      </w:r>
      <w:r w:rsidRPr="5B8AB9C2" w:rsidR="005E49B8">
        <w:rPr>
          <w:rFonts w:ascii="Times New Roman" w:hAnsi="Times New Roman" w:cs="Times New Roman"/>
        </w:rPr>
        <w:t xml:space="preserve">, Otorrino confirma que los daños denunciados son como consecuencia del accidente automovilístico; (3) el “procedimiento de cirugía para reconstrucción nasal más septo plastia extracorpórea con implante de cartílago costal y anclaje a espina nasal …” no es el procedimiento cuyo reembolso solicita; (4) la cirugía cuyo reembolso solicita fue menos compleja y no se necesitó: de abordaje externo, ni implante de cartílago costal y anclaje a espina nasal con abordaje externo, ni injertos de concha auricular ni tampoco de injerto costal; (5) la cirugía realizada fue  por fractura nasal, desviación septal y esta fue ambulatoria y tampoco requería de hospitalización; (6) el procedimiento para cirugía indicado por el doctor </w:t>
      </w:r>
      <w:r w:rsidRPr="5B8AB9C2" w:rsidR="3BB772BD">
        <w:rPr>
          <w:rFonts w:ascii="Times New Roman" w:hAnsi="Times New Roman" w:cs="Times New Roman"/>
        </w:rPr>
        <w:t>.................................</w:t>
      </w:r>
      <w:r w:rsidRPr="5B8AB9C2" w:rsidR="005E49B8">
        <w:rPr>
          <w:rFonts w:ascii="Times New Roman" w:hAnsi="Times New Roman" w:cs="Times New Roman"/>
        </w:rPr>
        <w:t xml:space="preserve"> no fue el que le realizaron, por que otro fue el diagnostico (fractura nasal y desviación septal); (7) el procedimiento realizado fue en base al informe médico de la tomografía  por fractura nasal y desviación septal y no al del informe y procedimiento del del doctor </w:t>
      </w:r>
      <w:r w:rsidRPr="5B8AB9C2" w:rsidR="3BB772BD">
        <w:rPr>
          <w:rFonts w:ascii="Times New Roman" w:hAnsi="Times New Roman" w:cs="Times New Roman"/>
        </w:rPr>
        <w:t>.................................</w:t>
      </w:r>
      <w:r w:rsidRPr="5B8AB9C2" w:rsidR="005E49B8">
        <w:rPr>
          <w:rFonts w:ascii="Times New Roman" w:hAnsi="Times New Roman" w:cs="Times New Roman"/>
        </w:rPr>
        <w:t xml:space="preserve">; (8) sí hubo fractura a consecuencia del accidente de tránsito; (9) el diagnóstico realizado por el Dr. </w:t>
      </w:r>
      <w:r w:rsidRPr="5B8AB9C2" w:rsidR="7175F6D5">
        <w:rPr>
          <w:rFonts w:ascii="Times New Roman" w:hAnsi="Times New Roman" w:cs="Times New Roman"/>
        </w:rPr>
        <w:t>.................................</w:t>
      </w:r>
      <w:r w:rsidRPr="5B8AB9C2" w:rsidR="005E49B8">
        <w:rPr>
          <w:rFonts w:ascii="Times New Roman" w:hAnsi="Times New Roman" w:cs="Times New Roman"/>
        </w:rPr>
        <w:t xml:space="preserve"> (</w:t>
      </w:r>
      <w:r w:rsidRPr="5B8AB9C2" w:rsidR="005E49B8">
        <w:rPr>
          <w:rFonts w:ascii="Times New Roman" w:hAnsi="Times New Roman" w:cs="Times New Roman"/>
        </w:rPr>
        <w:t>Otorrinolaringologo</w:t>
      </w:r>
      <w:r w:rsidRPr="5B8AB9C2" w:rsidR="005E49B8">
        <w:rPr>
          <w:rFonts w:ascii="Times New Roman" w:hAnsi="Times New Roman" w:cs="Times New Roman"/>
        </w:rPr>
        <w:t xml:space="preserve">) después de 5 días de producido el accidente diagnostica: 1.) Fractura nasal 2.) Desviación Septal, entonces el diagnóstico del médico en mención afirma que estas lesiones son producto del accidente automovilístico; (10) no se le paga a la Clínica EL NAZARENO de Ayacucho por las atenciones realizadas; (11) la validez de la Boleta de Venta se verifica con la consulta a SUNAT, por lo que es un comprobante válido, con valor contable y tributario; (12) respecto al monto total de la boleta de venta presentada por S/. 26,997.00 es el monto total pagado que incluye la cirugía estética y la cirugía funcional; (12) el monto reclamado a </w:t>
      </w:r>
      <w:r w:rsidRPr="5B8AB9C2" w:rsidR="37BC6FA7">
        <w:rPr>
          <w:rFonts w:ascii="Times New Roman" w:hAnsi="Times New Roman" w:cs="Times New Roman"/>
        </w:rPr>
        <w:t>.................................</w:t>
      </w:r>
      <w:r w:rsidRPr="5B8AB9C2" w:rsidR="005E49B8">
        <w:rPr>
          <w:rFonts w:ascii="Times New Roman" w:hAnsi="Times New Roman" w:cs="Times New Roman"/>
        </w:rPr>
        <w:t xml:space="preserve"> es por S/. 14,468.53 que corresponde solo a la cirugía funcional y que está contenida en el total de la boleta de venta; (13) respecto al cuestionamiento sobre la actividad del emisor, que según indican, no es para brindar servicios médicos, según consulta a SUNAT esta condición no afecta ni invalida la boleta de venta, entonces sí se trata de un documento valido con efectos contables y tributarios; (14) esa condición no es responsabilidad que se le pueda atribuir, sino es total responsabilidad del emisor.</w:t>
      </w:r>
    </w:p>
    <w:p w:rsidRPr="00293FC1" w:rsidR="005E49B8" w:rsidP="005E49B8" w:rsidRDefault="005E49B8" w14:paraId="46C7C986" w14:textId="77777777">
      <w:pPr>
        <w:pStyle w:val="Default"/>
        <w:jc w:val="both"/>
        <w:rPr>
          <w:rFonts w:ascii="Times New Roman" w:hAnsi="Times New Roman" w:cs="Times New Roman"/>
        </w:rPr>
      </w:pPr>
    </w:p>
    <w:p w:rsidRPr="00293FC1" w:rsidR="005E49B8" w:rsidP="005E49B8" w:rsidRDefault="005E49B8" w14:paraId="798AF4F0" w14:textId="0D5E18AD">
      <w:pPr>
        <w:pStyle w:val="Textoindependiente"/>
        <w:rPr>
          <w:lang w:val="es-PE"/>
        </w:rPr>
      </w:pPr>
      <w:r w:rsidRPr="5B8AB9C2" w:rsidR="005E49B8">
        <w:rPr>
          <w:lang w:val="es-PE"/>
        </w:rPr>
        <w:t xml:space="preserve">Que, la aseguradora absolvió el traslado del recurso interpuesto, manifestando en síntesis lo siguiente: (1) si bien el señor </w:t>
      </w:r>
      <w:r w:rsidRPr="5B8AB9C2" w:rsidR="4FE396AF">
        <w:rPr>
          <w:lang w:val="es-PE"/>
        </w:rPr>
        <w:t>.................................</w:t>
      </w:r>
      <w:r w:rsidRPr="5B8AB9C2" w:rsidR="005E49B8">
        <w:rPr>
          <w:lang w:val="es-PE"/>
        </w:rPr>
        <w:t xml:space="preserve"> señala que no se le realizó la operación de septo plastia extracorpórea con implante de cartílago costal y anclaje a espina nasal; no especifica qué tipo de operación le fue realizada (únicamente señala “por fractura nasal y desviación septal”); (2) el reclamante no acredita cómo dicha operación estaría vinculada con los daños provocados en el siniestro de fecha 21 de julio del 2022; (3) si bien el señor </w:t>
      </w:r>
      <w:r w:rsidRPr="5B8AB9C2" w:rsidR="4FE396AF">
        <w:rPr>
          <w:lang w:val="es-PE"/>
        </w:rPr>
        <w:t>.................................</w:t>
      </w:r>
      <w:r w:rsidRPr="5B8AB9C2" w:rsidR="005E49B8">
        <w:rPr>
          <w:lang w:val="es-PE"/>
        </w:rPr>
        <w:t xml:space="preserve"> observa el Informe Médico del doctor </w:t>
      </w:r>
      <w:r w:rsidRPr="5B8AB9C2" w:rsidR="3BB772BD">
        <w:rPr>
          <w:lang w:val="es-PE"/>
        </w:rPr>
        <w:t>.................................</w:t>
      </w:r>
      <w:r w:rsidRPr="5B8AB9C2" w:rsidR="005E49B8">
        <w:rPr>
          <w:lang w:val="es-PE"/>
        </w:rPr>
        <w:t xml:space="preserve">; no ha desacreditado el resto de medios probatorios que sustentaron el rechazo a la cobertura solicitada (Informe radiográfico de Huesos Propio de la Nariz tomado en Clínica Nazareno y Tomografía realizada en Clínica Internacional); (4) la boleta presentada </w:t>
      </w:r>
      <w:r w:rsidRPr="5B8AB9C2" w:rsidR="005E49B8">
        <w:rPr>
          <w:lang w:val="es-PE"/>
        </w:rPr>
        <w:t xml:space="preserve">por el señor </w:t>
      </w:r>
      <w:r w:rsidRPr="5B8AB9C2" w:rsidR="4FE396AF">
        <w:rPr>
          <w:lang w:val="es-PE"/>
        </w:rPr>
        <w:t>.................................</w:t>
      </w:r>
      <w:r w:rsidRPr="5B8AB9C2" w:rsidR="005E49B8">
        <w:rPr>
          <w:lang w:val="es-PE"/>
        </w:rPr>
        <w:t xml:space="preserve">, emitida por la empresa EHV GLOBAL TRADE SAC (la cual no se encuentra facultada para la realización de servicios médicos), no tiene un valor tributario que genere convicción respecto a los Gastos Médicos materia de reclamo. </w:t>
      </w:r>
    </w:p>
    <w:p w:rsidRPr="00293FC1" w:rsidR="005E49B8" w:rsidP="005E49B8" w:rsidRDefault="005E49B8" w14:paraId="62E3A487" w14:textId="77777777">
      <w:pPr>
        <w:pStyle w:val="Textoindependiente"/>
        <w:tabs>
          <w:tab w:val="left" w:pos="930"/>
        </w:tabs>
        <w:rPr>
          <w:lang w:val="es-PE"/>
        </w:rPr>
      </w:pPr>
    </w:p>
    <w:p w:rsidRPr="00293FC1" w:rsidR="005E49B8" w:rsidP="005E49B8" w:rsidRDefault="005E49B8" w14:paraId="522BCD4C" w14:textId="77777777">
      <w:pPr>
        <w:pStyle w:val="Textoindependiente"/>
        <w:tabs>
          <w:tab w:val="left" w:pos="930"/>
        </w:tabs>
        <w:rPr>
          <w:lang w:val="es-PE"/>
        </w:rPr>
      </w:pPr>
      <w:r w:rsidRPr="00293FC1">
        <w:rPr>
          <w:lang w:val="es-PE"/>
        </w:rPr>
        <w:t>Que, atendiendo a lo expuesto, esta Defensoría resuelve finalmente lo siguiente:</w:t>
      </w:r>
    </w:p>
    <w:p w:rsidRPr="00293FC1" w:rsidR="005E49B8" w:rsidP="005E49B8" w:rsidRDefault="005E49B8" w14:paraId="756FB8EB" w14:textId="77777777">
      <w:pPr>
        <w:jc w:val="both"/>
        <w:rPr>
          <w:rFonts w:ascii="Times New Roman" w:hAnsi="Times New Roman" w:cs="Times New Roman"/>
          <w:b/>
          <w:sz w:val="24"/>
          <w:szCs w:val="24"/>
          <w:u w:val="single"/>
        </w:rPr>
      </w:pPr>
    </w:p>
    <w:p w:rsidRPr="00293FC1" w:rsidR="005E49B8" w:rsidP="005E49B8" w:rsidRDefault="005E49B8" w14:paraId="1A1E5AA3" w14:textId="181C7B63">
      <w:pPr>
        <w:jc w:val="both"/>
        <w:rPr>
          <w:rFonts w:ascii="Times New Roman" w:hAnsi="Times New Roman" w:cs="Times New Roman"/>
          <w:sz w:val="24"/>
          <w:szCs w:val="24"/>
        </w:rPr>
      </w:pPr>
      <w:r w:rsidRPr="00293FC1">
        <w:rPr>
          <w:rFonts w:ascii="Times New Roman" w:hAnsi="Times New Roman" w:cs="Times New Roman"/>
          <w:b/>
          <w:sz w:val="24"/>
          <w:szCs w:val="24"/>
          <w:u w:val="single"/>
        </w:rPr>
        <w:t>PRIMERO</w:t>
      </w:r>
      <w:r w:rsidRPr="00293FC1">
        <w:rPr>
          <w:rFonts w:ascii="Times New Roman" w:hAnsi="Times New Roman" w:cs="Times New Roman"/>
          <w:b/>
          <w:sz w:val="24"/>
          <w:szCs w:val="24"/>
        </w:rPr>
        <w:t>:</w:t>
      </w:r>
      <w:r w:rsidRPr="00293FC1">
        <w:rPr>
          <w:rFonts w:ascii="Times New Roman" w:hAnsi="Times New Roman" w:cs="Times New Roman"/>
          <w:sz w:val="24"/>
          <w:szCs w:val="24"/>
        </w:rPr>
        <w:t xml:space="preserve"> El artículo 10 (Procedimiento) del Reglamento de la DEFASEG </w:t>
      </w:r>
      <w:r w:rsidRPr="00293FC1">
        <w:rPr>
          <w:rFonts w:ascii="Times New Roman" w:hAnsi="Times New Roman" w:eastAsia="Arial Unicode MS" w:cs="Times New Roman"/>
          <w:sz w:val="24"/>
          <w:szCs w:val="24"/>
        </w:rPr>
        <w:t>(http://www.defaseg.com.pe/reglamento)</w:t>
      </w:r>
      <w:r w:rsidRPr="00293FC1">
        <w:rPr>
          <w:rFonts w:ascii="Times New Roman" w:hAnsi="Times New Roman" w:cs="Times New Roman"/>
          <w:sz w:val="24"/>
          <w:szCs w:val="24"/>
        </w:rPr>
        <w:t xml:space="preserve"> establece que cualquiera de las partes que no se encuentre de acuerdo con la decisión adoptada por el colegiado sobre la materia reclamada, podrá impugnarla, interponiendo el correspondiente recurso de impugnación.  </w:t>
      </w:r>
    </w:p>
    <w:p w:rsidRPr="00293FC1" w:rsidR="005E49B8" w:rsidP="005E49B8" w:rsidRDefault="005E49B8" w14:paraId="0BD2B4A8" w14:textId="5E7BC399">
      <w:pPr>
        <w:jc w:val="both"/>
        <w:rPr>
          <w:rFonts w:ascii="Times New Roman" w:hAnsi="Times New Roman" w:cs="Times New Roman"/>
          <w:sz w:val="24"/>
          <w:szCs w:val="24"/>
        </w:rPr>
      </w:pPr>
      <w:r w:rsidRPr="00293FC1">
        <w:rPr>
          <w:rFonts w:ascii="Times New Roman" w:hAnsi="Times New Roman" w:cs="Times New Roman"/>
          <w:sz w:val="24"/>
          <w:szCs w:val="24"/>
        </w:rPr>
        <w:t>Conforme a ello, en el caso concreto, al interponer el recurso de impugnación el reclamante ha ejercido formalmente su derecho a contradecir lo resuelto por la Defensoría.</w:t>
      </w:r>
    </w:p>
    <w:p w:rsidRPr="00293FC1" w:rsidR="005E49B8" w:rsidP="005E49B8" w:rsidRDefault="005E49B8" w14:paraId="3A05E5F1" w14:textId="49DFEBA1">
      <w:pPr>
        <w:jc w:val="both"/>
        <w:rPr>
          <w:rFonts w:ascii="Times New Roman" w:hAnsi="Times New Roman" w:cs="Times New Roman"/>
          <w:color w:val="000000"/>
          <w:sz w:val="24"/>
          <w:szCs w:val="24"/>
        </w:rPr>
      </w:pPr>
      <w:r w:rsidRPr="00293FC1">
        <w:rPr>
          <w:rFonts w:ascii="Times New Roman" w:hAnsi="Times New Roman" w:cs="Times New Roman"/>
          <w:b/>
          <w:bCs/>
          <w:sz w:val="24"/>
          <w:szCs w:val="24"/>
          <w:u w:val="single"/>
        </w:rPr>
        <w:t>SEGUNDO</w:t>
      </w:r>
      <w:r w:rsidRPr="00293FC1">
        <w:rPr>
          <w:rFonts w:ascii="Times New Roman" w:hAnsi="Times New Roman" w:cs="Times New Roman"/>
          <w:b/>
          <w:bCs/>
          <w:sz w:val="24"/>
          <w:szCs w:val="24"/>
        </w:rPr>
        <w:t>:</w:t>
      </w:r>
      <w:r w:rsidRPr="00293FC1">
        <w:rPr>
          <w:rFonts w:ascii="Times New Roman" w:hAnsi="Times New Roman" w:cs="Times New Roman"/>
          <w:bCs/>
          <w:sz w:val="24"/>
          <w:szCs w:val="24"/>
        </w:rPr>
        <w:t xml:space="preserve"> Que el recurso de impugnación presentado se sustenta en discrepar respecto a las razones por las que se declaró infundada la reclamación, así como por identificar que en el presente caso </w:t>
      </w:r>
      <w:r w:rsidRPr="00293FC1">
        <w:rPr>
          <w:rFonts w:ascii="Times New Roman" w:hAnsi="Times New Roman" w:cs="Times New Roman"/>
          <w:sz w:val="24"/>
          <w:szCs w:val="24"/>
        </w:rPr>
        <w:t>l</w:t>
      </w:r>
      <w:r w:rsidRPr="00293FC1">
        <w:rPr>
          <w:rFonts w:ascii="Times New Roman" w:hAnsi="Times New Roman" w:cs="Times New Roman"/>
          <w:color w:val="000000"/>
          <w:sz w:val="24"/>
          <w:szCs w:val="24"/>
        </w:rPr>
        <w:t xml:space="preserve">a </w:t>
      </w:r>
      <w:r w:rsidRPr="00293FC1">
        <w:rPr>
          <w:rFonts w:ascii="Times New Roman" w:hAnsi="Times New Roman" w:cs="Times New Roman"/>
          <w:sz w:val="24"/>
          <w:szCs w:val="24"/>
        </w:rPr>
        <w:t>cirugía</w:t>
      </w:r>
      <w:r w:rsidRPr="00293FC1">
        <w:rPr>
          <w:rFonts w:ascii="Times New Roman" w:hAnsi="Times New Roman" w:cs="Times New Roman"/>
          <w:color w:val="000000"/>
          <w:sz w:val="24"/>
          <w:szCs w:val="24"/>
        </w:rPr>
        <w:t xml:space="preserve"> </w:t>
      </w:r>
      <w:r w:rsidRPr="00293FC1">
        <w:rPr>
          <w:rFonts w:ascii="Times New Roman" w:hAnsi="Times New Roman" w:cs="Times New Roman"/>
          <w:sz w:val="24"/>
          <w:szCs w:val="24"/>
        </w:rPr>
        <w:t xml:space="preserve">cuyo </w:t>
      </w:r>
      <w:r w:rsidRPr="00293FC1">
        <w:rPr>
          <w:rFonts w:ascii="Times New Roman" w:hAnsi="Times New Roman" w:cs="Times New Roman"/>
          <w:color w:val="000000"/>
          <w:sz w:val="24"/>
          <w:szCs w:val="24"/>
        </w:rPr>
        <w:t>reembolso</w:t>
      </w:r>
      <w:r w:rsidRPr="00293FC1">
        <w:rPr>
          <w:rFonts w:ascii="Times New Roman" w:hAnsi="Times New Roman" w:cs="Times New Roman"/>
          <w:sz w:val="24"/>
          <w:szCs w:val="24"/>
        </w:rPr>
        <w:t xml:space="preserve"> solicita </w:t>
      </w:r>
      <w:r w:rsidRPr="00293FC1">
        <w:rPr>
          <w:rFonts w:ascii="Times New Roman" w:hAnsi="Times New Roman" w:cs="Times New Roman"/>
          <w:color w:val="000000"/>
          <w:sz w:val="24"/>
          <w:szCs w:val="24"/>
        </w:rPr>
        <w:t xml:space="preserve">fue menos compleja y no se </w:t>
      </w:r>
      <w:r w:rsidRPr="00293FC1">
        <w:rPr>
          <w:rFonts w:ascii="Times New Roman" w:hAnsi="Times New Roman" w:cs="Times New Roman"/>
          <w:sz w:val="24"/>
          <w:szCs w:val="24"/>
        </w:rPr>
        <w:t>necesitó</w:t>
      </w:r>
      <w:r w:rsidRPr="00293FC1">
        <w:rPr>
          <w:rFonts w:ascii="Times New Roman" w:hAnsi="Times New Roman" w:cs="Times New Roman"/>
          <w:color w:val="000000"/>
          <w:sz w:val="24"/>
          <w:szCs w:val="24"/>
        </w:rPr>
        <w:t xml:space="preserve">: de abordaje externo, ni implante de </w:t>
      </w:r>
      <w:r w:rsidRPr="00293FC1">
        <w:rPr>
          <w:rFonts w:ascii="Times New Roman" w:hAnsi="Times New Roman" w:cs="Times New Roman"/>
          <w:sz w:val="24"/>
          <w:szCs w:val="24"/>
        </w:rPr>
        <w:t>cartílago</w:t>
      </w:r>
      <w:r w:rsidRPr="00293FC1">
        <w:rPr>
          <w:rFonts w:ascii="Times New Roman" w:hAnsi="Times New Roman" w:cs="Times New Roman"/>
          <w:color w:val="000000"/>
          <w:sz w:val="24"/>
          <w:szCs w:val="24"/>
        </w:rPr>
        <w:t xml:space="preserve"> costal y anclaje a espina nasal con abordaje externo, ni injertos de concha auricular ni tampoco de injerto costal.</w:t>
      </w:r>
    </w:p>
    <w:p w:rsidRPr="00293FC1" w:rsidR="005E49B8" w:rsidP="005E49B8" w:rsidRDefault="005E49B8" w14:paraId="0546EA3C" w14:textId="7CC60E8C">
      <w:pPr>
        <w:jc w:val="both"/>
        <w:rPr>
          <w:rFonts w:ascii="Times New Roman" w:hAnsi="Times New Roman" w:cs="Times New Roman"/>
          <w:sz w:val="24"/>
          <w:szCs w:val="24"/>
        </w:rPr>
      </w:pPr>
      <w:r w:rsidRPr="00293FC1">
        <w:rPr>
          <w:rFonts w:ascii="Times New Roman" w:hAnsi="Times New Roman" w:cs="Times New Roman"/>
          <w:color w:val="000000"/>
          <w:sz w:val="24"/>
          <w:szCs w:val="24"/>
        </w:rPr>
        <w:t>En ese sentido, el reclamante hace notar que su reclamación es respecto a</w:t>
      </w:r>
      <w:r w:rsidRPr="00293FC1">
        <w:rPr>
          <w:rFonts w:ascii="Times New Roman" w:hAnsi="Times New Roman" w:cs="Times New Roman"/>
          <w:sz w:val="24"/>
          <w:szCs w:val="24"/>
        </w:rPr>
        <w:t xml:space="preserve"> l</w:t>
      </w:r>
      <w:r w:rsidRPr="00293FC1">
        <w:rPr>
          <w:rFonts w:ascii="Times New Roman" w:hAnsi="Times New Roman" w:cs="Times New Roman"/>
          <w:color w:val="000000"/>
          <w:sz w:val="24"/>
          <w:szCs w:val="24"/>
        </w:rPr>
        <w:t xml:space="preserve">a </w:t>
      </w:r>
      <w:r w:rsidRPr="00293FC1">
        <w:rPr>
          <w:rFonts w:ascii="Times New Roman" w:hAnsi="Times New Roman" w:cs="Times New Roman"/>
          <w:sz w:val="24"/>
          <w:szCs w:val="24"/>
        </w:rPr>
        <w:t>cirugía</w:t>
      </w:r>
      <w:r w:rsidRPr="00293FC1">
        <w:rPr>
          <w:rFonts w:ascii="Times New Roman" w:hAnsi="Times New Roman" w:cs="Times New Roman"/>
          <w:color w:val="000000"/>
          <w:sz w:val="24"/>
          <w:szCs w:val="24"/>
        </w:rPr>
        <w:t xml:space="preserve"> realizada fue por fractura nasal, </w:t>
      </w:r>
      <w:r w:rsidRPr="00293FC1">
        <w:rPr>
          <w:rFonts w:ascii="Times New Roman" w:hAnsi="Times New Roman" w:cs="Times New Roman"/>
          <w:sz w:val="24"/>
          <w:szCs w:val="24"/>
        </w:rPr>
        <w:t>desviación</w:t>
      </w:r>
      <w:r w:rsidRPr="00293FC1">
        <w:rPr>
          <w:rFonts w:ascii="Times New Roman" w:hAnsi="Times New Roman" w:cs="Times New Roman"/>
          <w:color w:val="000000"/>
          <w:sz w:val="24"/>
          <w:szCs w:val="24"/>
        </w:rPr>
        <w:t xml:space="preserve"> septal y esta fue ambulatoria y tampoco requer</w:t>
      </w:r>
      <w:r w:rsidRPr="00293FC1">
        <w:rPr>
          <w:rFonts w:ascii="Times New Roman" w:hAnsi="Times New Roman" w:cs="Times New Roman"/>
          <w:sz w:val="24"/>
          <w:szCs w:val="24"/>
        </w:rPr>
        <w:t>ía</w:t>
      </w:r>
      <w:r w:rsidRPr="00293FC1">
        <w:rPr>
          <w:rFonts w:ascii="Times New Roman" w:hAnsi="Times New Roman" w:cs="Times New Roman"/>
          <w:color w:val="000000"/>
          <w:sz w:val="24"/>
          <w:szCs w:val="24"/>
        </w:rPr>
        <w:t xml:space="preserve"> de </w:t>
      </w:r>
      <w:r w:rsidRPr="00293FC1">
        <w:rPr>
          <w:rFonts w:ascii="Times New Roman" w:hAnsi="Times New Roman" w:cs="Times New Roman"/>
          <w:sz w:val="24"/>
          <w:szCs w:val="24"/>
        </w:rPr>
        <w:t>hospitalización.</w:t>
      </w:r>
    </w:p>
    <w:p w:rsidRPr="00293FC1" w:rsidR="005E49B8" w:rsidP="005E49B8" w:rsidRDefault="005E49B8" w14:paraId="40E7A801" w14:textId="0B7662BC">
      <w:pPr>
        <w:jc w:val="both"/>
        <w:rPr>
          <w:rFonts w:ascii="Times New Roman" w:hAnsi="Times New Roman" w:cs="Times New Roman"/>
          <w:bCs/>
          <w:sz w:val="24"/>
          <w:szCs w:val="24"/>
        </w:rPr>
      </w:pPr>
      <w:r w:rsidRPr="00293FC1">
        <w:rPr>
          <w:rFonts w:ascii="Times New Roman" w:hAnsi="Times New Roman" w:cs="Times New Roman"/>
          <w:bCs/>
          <w:sz w:val="24"/>
          <w:szCs w:val="24"/>
        </w:rPr>
        <w:t>Al respecto, tal como se determinó en la Resolución impugnada, está probado en autos que producto del accidente de tránsito cubierto por el SOAT sufrió una fractura nasal, por lo tanto, la atención y el procedimiento médico para la atención de esa fractura están cubiertos por el SOAT.</w:t>
      </w:r>
    </w:p>
    <w:p w:rsidRPr="00293FC1" w:rsidR="005E49B8" w:rsidP="005E49B8" w:rsidRDefault="005E49B8" w14:paraId="33539212" w14:textId="5C2C550C">
      <w:pPr>
        <w:jc w:val="both"/>
        <w:rPr>
          <w:rFonts w:ascii="Times New Roman" w:hAnsi="Times New Roman" w:cs="Times New Roman"/>
          <w:sz w:val="24"/>
          <w:szCs w:val="24"/>
        </w:rPr>
      </w:pPr>
      <w:r w:rsidRPr="00293FC1">
        <w:rPr>
          <w:rFonts w:ascii="Times New Roman" w:hAnsi="Times New Roman" w:cs="Times New Roman"/>
          <w:bCs/>
          <w:sz w:val="24"/>
          <w:szCs w:val="24"/>
        </w:rPr>
        <w:t>De la documentación que obra en autos, se aprecia que las partes discutieron sobre diversos procedimientos médicos, uno de los cuales fue el</w:t>
      </w:r>
      <w:r w:rsidRPr="00293FC1">
        <w:rPr>
          <w:rFonts w:ascii="Times New Roman" w:hAnsi="Times New Roman" w:cs="Times New Roman"/>
          <w:sz w:val="24"/>
          <w:szCs w:val="24"/>
        </w:rPr>
        <w:t xml:space="preserve"> procedimiento de cirugía para reconstrucción nasal más septo plastia extracorpórea con implante de cartílago costal y anclaje a espina nasal.</w:t>
      </w:r>
    </w:p>
    <w:p w:rsidRPr="00293FC1" w:rsidR="005E49B8" w:rsidP="5B8AB9C2" w:rsidRDefault="005E49B8" w14:paraId="29CBD19D" w14:textId="49BFF5CE">
      <w:pPr>
        <w:jc w:val="both"/>
        <w:rPr>
          <w:rFonts w:ascii="Times New Roman" w:hAnsi="Times New Roman" w:cs="Times New Roman"/>
          <w:color w:val="000000"/>
          <w:sz w:val="24"/>
          <w:szCs w:val="24"/>
        </w:rPr>
      </w:pPr>
      <w:r w:rsidRPr="5B8AB9C2" w:rsidR="005E49B8">
        <w:rPr>
          <w:rFonts w:ascii="Times New Roman" w:hAnsi="Times New Roman" w:cs="Times New Roman"/>
          <w:sz w:val="24"/>
          <w:szCs w:val="24"/>
        </w:rPr>
        <w:t>El reclamante ha aclarado que el procedimiento de cirugía cuya cobertura reclama es el realizado como consecuencia de la</w:t>
      </w:r>
      <w:r w:rsidRPr="5B8AB9C2" w:rsidR="005E49B8">
        <w:rPr>
          <w:rFonts w:ascii="Times New Roman" w:hAnsi="Times New Roman" w:cs="Times New Roman"/>
          <w:sz w:val="24"/>
          <w:szCs w:val="24"/>
        </w:rPr>
        <w:t xml:space="preserve"> </w:t>
      </w:r>
      <w:r w:rsidRPr="5B8AB9C2" w:rsidR="005E49B8">
        <w:rPr>
          <w:rFonts w:ascii="Times New Roman" w:hAnsi="Times New Roman" w:cs="Times New Roman"/>
          <w:color w:val="000000" w:themeColor="text1" w:themeTint="FF" w:themeShade="FF"/>
          <w:sz w:val="24"/>
          <w:szCs w:val="24"/>
        </w:rPr>
        <w:t xml:space="preserve">fractura nasal, </w:t>
      </w:r>
      <w:r w:rsidRPr="5B8AB9C2" w:rsidR="005E49B8">
        <w:rPr>
          <w:rFonts w:ascii="Times New Roman" w:hAnsi="Times New Roman" w:cs="Times New Roman"/>
          <w:sz w:val="24"/>
          <w:szCs w:val="24"/>
        </w:rPr>
        <w:t>desviación</w:t>
      </w:r>
      <w:r w:rsidRPr="5B8AB9C2" w:rsidR="005E49B8">
        <w:rPr>
          <w:rFonts w:ascii="Times New Roman" w:hAnsi="Times New Roman" w:cs="Times New Roman"/>
          <w:color w:val="000000" w:themeColor="text1" w:themeTint="FF" w:themeShade="FF"/>
          <w:sz w:val="24"/>
          <w:szCs w:val="24"/>
        </w:rPr>
        <w:t xml:space="preserve"> septal, conforme al informe del Dr. </w:t>
      </w:r>
      <w:r w:rsidRPr="5B8AB9C2" w:rsidR="4A6BF402">
        <w:rPr>
          <w:rFonts w:ascii="Times New Roman" w:hAnsi="Times New Roman" w:cs="Times New Roman"/>
          <w:color w:val="000000" w:themeColor="text1" w:themeTint="FF" w:themeShade="FF"/>
          <w:sz w:val="24"/>
          <w:szCs w:val="24"/>
        </w:rPr>
        <w:t>.................................</w:t>
      </w:r>
      <w:r w:rsidRPr="5B8AB9C2" w:rsidR="005E49B8">
        <w:rPr>
          <w:rFonts w:ascii="Times New Roman" w:hAnsi="Times New Roman" w:cs="Times New Roman"/>
          <w:color w:val="000000" w:themeColor="text1" w:themeTint="FF" w:themeShade="FF"/>
          <w:sz w:val="24"/>
          <w:szCs w:val="24"/>
        </w:rPr>
        <w:t>:</w:t>
      </w:r>
    </w:p>
    <w:p w:rsidR="5B8AB9C2" w:rsidP="5B8AB9C2" w:rsidRDefault="5B8AB9C2" w14:paraId="3E058A85" w14:textId="6ACFAAB3">
      <w:pPr>
        <w:jc w:val="both"/>
        <w:rPr>
          <w:rFonts w:ascii="Times New Roman" w:hAnsi="Times New Roman" w:cs="Times New Roman"/>
          <w:color w:val="000000" w:themeColor="text1" w:themeTint="FF" w:themeShade="FF"/>
          <w:sz w:val="24"/>
          <w:szCs w:val="24"/>
        </w:rPr>
      </w:pPr>
    </w:p>
    <w:p w:rsidR="0D9CAD4A" w:rsidP="5B8AB9C2" w:rsidRDefault="0D9CAD4A" w14:paraId="3A32ED81" w14:textId="1EF611EC">
      <w:pPr>
        <w:jc w:val="both"/>
        <w:rPr>
          <w:rFonts w:ascii="Times New Roman" w:hAnsi="Times New Roman" w:cs="Times New Roman"/>
          <w:color w:val="000000" w:themeColor="text1" w:themeTint="FF" w:themeShade="FF"/>
          <w:sz w:val="24"/>
          <w:szCs w:val="24"/>
        </w:rPr>
      </w:pPr>
      <w:r w:rsidRPr="5B8AB9C2" w:rsidR="0D9CAD4A">
        <w:rPr>
          <w:rFonts w:ascii="Times New Roman" w:hAnsi="Times New Roman" w:cs="Times New Roman"/>
          <w:color w:val="000000" w:themeColor="text1" w:themeTint="FF" w:themeShade="FF"/>
          <w:sz w:val="24"/>
          <w:szCs w:val="24"/>
        </w:rPr>
        <w:t>......................................................................................................................................................</w:t>
      </w:r>
    </w:p>
    <w:p w:rsidRPr="00293FC1" w:rsidR="005E49B8" w:rsidP="005E49B8" w:rsidRDefault="005E49B8" w14:paraId="0B353AEC" w14:textId="77777777">
      <w:pPr>
        <w:jc w:val="both"/>
        <w:rPr>
          <w:rFonts w:ascii="Times New Roman" w:hAnsi="Times New Roman" w:cs="Times New Roman"/>
          <w:bCs/>
          <w:sz w:val="24"/>
          <w:szCs w:val="24"/>
        </w:rPr>
      </w:pPr>
      <w:r w:rsidRPr="00293FC1">
        <w:rPr>
          <w:rFonts w:ascii="Times New Roman" w:hAnsi="Times New Roman" w:cs="Times New Roman"/>
          <w:color w:val="000000"/>
          <w:sz w:val="24"/>
          <w:szCs w:val="24"/>
        </w:rPr>
        <w:t xml:space="preserve"> </w:t>
      </w:r>
    </w:p>
    <w:p w:rsidRPr="00293FC1" w:rsidR="005E49B8" w:rsidP="005E49B8" w:rsidRDefault="005E49B8" w14:paraId="7BB66B68" w14:textId="6E404F8E">
      <w:pPr>
        <w:jc w:val="both"/>
        <w:rPr>
          <w:rFonts w:ascii="Times New Roman" w:hAnsi="Times New Roman" w:cs="Times New Roman"/>
          <w:bCs/>
          <w:sz w:val="24"/>
          <w:szCs w:val="24"/>
        </w:rPr>
      </w:pPr>
      <w:r w:rsidRPr="00293FC1">
        <w:rPr>
          <w:rFonts w:ascii="Times New Roman" w:hAnsi="Times New Roman" w:cs="Times New Roman"/>
          <w:bCs/>
          <w:sz w:val="24"/>
          <w:szCs w:val="24"/>
        </w:rPr>
        <w:t xml:space="preserve">Resulta evidente que la </w:t>
      </w:r>
      <w:proofErr w:type="spellStart"/>
      <w:r w:rsidRPr="00293FC1">
        <w:rPr>
          <w:rFonts w:ascii="Times New Roman" w:hAnsi="Times New Roman" w:cs="Times New Roman"/>
          <w:bCs/>
          <w:sz w:val="24"/>
          <w:szCs w:val="24"/>
        </w:rPr>
        <w:t>Septoplastía</w:t>
      </w:r>
      <w:proofErr w:type="spellEnd"/>
      <w:r w:rsidRPr="00293FC1">
        <w:rPr>
          <w:rStyle w:val="Refdenotaalpie"/>
          <w:rFonts w:ascii="Times New Roman" w:hAnsi="Times New Roman" w:cs="Times New Roman"/>
          <w:bCs/>
          <w:sz w:val="24"/>
          <w:szCs w:val="24"/>
        </w:rPr>
        <w:footnoteReference w:id="1"/>
      </w:r>
      <w:r w:rsidRPr="00293FC1">
        <w:rPr>
          <w:rFonts w:ascii="Times New Roman" w:hAnsi="Times New Roman" w:cs="Times New Roman"/>
          <w:bCs/>
          <w:sz w:val="24"/>
          <w:szCs w:val="24"/>
        </w:rPr>
        <w:t xml:space="preserve"> para reparar el tabique nasal fracturado como consecuencia del accidente de tránsito sí está cubierta por el SOAT.</w:t>
      </w:r>
    </w:p>
    <w:p w:rsidRPr="00293FC1" w:rsidR="005E49B8" w:rsidP="005E49B8" w:rsidRDefault="005E49B8" w14:paraId="58392A4A" w14:textId="6DCF9FE1">
      <w:pPr>
        <w:jc w:val="both"/>
        <w:rPr>
          <w:rFonts w:ascii="Times New Roman" w:hAnsi="Times New Roman" w:cs="Times New Roman"/>
          <w:sz w:val="24"/>
          <w:szCs w:val="24"/>
        </w:rPr>
      </w:pPr>
      <w:r w:rsidRPr="5B8AB9C2" w:rsidR="005E49B8">
        <w:rPr>
          <w:rFonts w:ascii="Times New Roman" w:hAnsi="Times New Roman" w:cs="Times New Roman"/>
          <w:sz w:val="24"/>
          <w:szCs w:val="24"/>
        </w:rPr>
        <w:t xml:space="preserve">Ahora bien, el reclamante ha precisado que del </w:t>
      </w:r>
      <w:r w:rsidRPr="5B8AB9C2" w:rsidR="005E49B8">
        <w:rPr>
          <w:rFonts w:ascii="Times New Roman" w:hAnsi="Times New Roman" w:cs="Times New Roman"/>
          <w:sz w:val="24"/>
          <w:szCs w:val="24"/>
        </w:rPr>
        <w:t xml:space="preserve">monto total de la boleta de venta </w:t>
      </w:r>
      <w:r w:rsidRPr="5B8AB9C2" w:rsidR="005E49B8">
        <w:rPr>
          <w:rFonts w:ascii="Times New Roman" w:hAnsi="Times New Roman" w:cs="Times New Roman"/>
          <w:color w:val="000000" w:themeColor="text1" w:themeTint="FF" w:themeShade="FF"/>
          <w:sz w:val="24"/>
          <w:szCs w:val="24"/>
        </w:rPr>
        <w:t>S/. 26,997.00 (</w:t>
      </w:r>
      <w:r w:rsidRPr="5B8AB9C2" w:rsidR="005E49B8">
        <w:rPr>
          <w:rFonts w:ascii="Times New Roman" w:hAnsi="Times New Roman" w:cs="Times New Roman"/>
          <w:sz w:val="24"/>
          <w:szCs w:val="24"/>
        </w:rPr>
        <w:t xml:space="preserve">el monto total pagado que incluye la cirugía estética y la cirugía funcional) sólo está reclamando a </w:t>
      </w:r>
      <w:r w:rsidRPr="5B8AB9C2" w:rsidR="37BC6FA7">
        <w:rPr>
          <w:rFonts w:ascii="Times New Roman" w:hAnsi="Times New Roman" w:cs="Times New Roman"/>
          <w:sz w:val="24"/>
          <w:szCs w:val="24"/>
        </w:rPr>
        <w:t>.................................</w:t>
      </w:r>
      <w:r w:rsidRPr="5B8AB9C2" w:rsidR="005E49B8">
        <w:rPr>
          <w:rFonts w:ascii="Times New Roman" w:hAnsi="Times New Roman" w:cs="Times New Roman"/>
          <w:sz w:val="24"/>
          <w:szCs w:val="24"/>
        </w:rPr>
        <w:t xml:space="preserve"> la suma de </w:t>
      </w:r>
      <w:r w:rsidRPr="5B8AB9C2" w:rsidR="005E49B8">
        <w:rPr>
          <w:rFonts w:ascii="Times New Roman" w:hAnsi="Times New Roman" w:cs="Times New Roman"/>
          <w:color w:val="000000" w:themeColor="text1" w:themeTint="FF" w:themeShade="FF"/>
          <w:sz w:val="24"/>
          <w:szCs w:val="24"/>
        </w:rPr>
        <w:t xml:space="preserve">S/. 14,468.53 </w:t>
      </w:r>
      <w:r w:rsidRPr="5B8AB9C2" w:rsidR="005E49B8">
        <w:rPr>
          <w:rFonts w:ascii="Times New Roman" w:hAnsi="Times New Roman" w:cs="Times New Roman"/>
          <w:sz w:val="24"/>
          <w:szCs w:val="24"/>
        </w:rPr>
        <w:t>que corresponde solo a la cirugía funcional y que está contenida en el total de la boleta de venta.</w:t>
      </w:r>
    </w:p>
    <w:p w:rsidRPr="00293FC1" w:rsidR="005E49B8" w:rsidP="005E49B8" w:rsidRDefault="005E49B8" w14:paraId="24184DEC" w14:textId="18DB75E6">
      <w:pPr>
        <w:jc w:val="both"/>
      </w:pPr>
    </w:p>
    <w:p w:rsidR="74086CB2" w:rsidP="5B8AB9C2" w:rsidRDefault="74086CB2" w14:paraId="377E77F4" w14:textId="01B3BA28">
      <w:pPr>
        <w:jc w:val="both"/>
      </w:pPr>
      <w:r w:rsidR="74086CB2">
        <w:rPr/>
        <w:t>..................................................................................................................................................................</w:t>
      </w:r>
    </w:p>
    <w:p w:rsidRPr="00293FC1" w:rsidR="005E49B8" w:rsidP="005E49B8" w:rsidRDefault="005E49B8" w14:paraId="5D261B70" w14:textId="44510C18">
      <w:pPr>
        <w:jc w:val="both"/>
        <w:rPr>
          <w:rFonts w:ascii="Times New Roman" w:hAnsi="Times New Roman" w:cs="Times New Roman"/>
          <w:sz w:val="24"/>
          <w:szCs w:val="24"/>
        </w:rPr>
      </w:pPr>
      <w:r w:rsidRPr="00293FC1">
        <w:rPr>
          <w:rFonts w:ascii="Times New Roman" w:hAnsi="Times New Roman" w:cs="Times New Roman"/>
          <w:sz w:val="24"/>
          <w:szCs w:val="24"/>
        </w:rPr>
        <w:t xml:space="preserve">Al evaluar dicho documento, se aprecia que no se establece el monto que corresponde al procedimiento de </w:t>
      </w:r>
      <w:proofErr w:type="spellStart"/>
      <w:r w:rsidRPr="00293FC1">
        <w:rPr>
          <w:rFonts w:ascii="Times New Roman" w:hAnsi="Times New Roman" w:cs="Times New Roman"/>
          <w:sz w:val="24"/>
          <w:szCs w:val="24"/>
        </w:rPr>
        <w:t>Septoplastía</w:t>
      </w:r>
      <w:proofErr w:type="spellEnd"/>
      <w:r w:rsidRPr="00293FC1">
        <w:rPr>
          <w:rFonts w:ascii="Times New Roman" w:hAnsi="Times New Roman" w:cs="Times New Roman"/>
          <w:sz w:val="24"/>
          <w:szCs w:val="24"/>
        </w:rPr>
        <w:t>, por lo que no puede determinarse verosímilmente que se haya incurrido en el gasto reclamado.</w:t>
      </w:r>
    </w:p>
    <w:p w:rsidRPr="00293FC1" w:rsidR="005E49B8" w:rsidP="005E49B8" w:rsidRDefault="005E49B8" w14:paraId="462F89AE" w14:textId="423112E5">
      <w:pPr>
        <w:jc w:val="both"/>
        <w:rPr>
          <w:rFonts w:ascii="Times New Roman" w:hAnsi="Times New Roman" w:cs="Times New Roman"/>
          <w:sz w:val="24"/>
          <w:szCs w:val="24"/>
        </w:rPr>
      </w:pPr>
      <w:r w:rsidRPr="00293FC1">
        <w:rPr>
          <w:rFonts w:ascii="Times New Roman" w:hAnsi="Times New Roman" w:cs="Times New Roman"/>
          <w:sz w:val="24"/>
          <w:szCs w:val="24"/>
        </w:rPr>
        <w:t xml:space="preserve">Sin perjuicio de lo anterior, tal como se identifica en la Resolución impugnada, de acuerdo con </w:t>
      </w:r>
      <w:r w:rsidRPr="00293FC1">
        <w:rPr>
          <w:rFonts w:ascii="Times New Roman" w:hAnsi="Times New Roman" w:cs="Times New Roman"/>
          <w:bCs/>
          <w:sz w:val="24"/>
          <w:szCs w:val="24"/>
        </w:rPr>
        <w:t xml:space="preserve">el artículo 33 del Reglamento del SOAT, </w:t>
      </w:r>
      <w:r w:rsidRPr="00293FC1">
        <w:rPr>
          <w:rFonts w:ascii="Times New Roman" w:hAnsi="Times New Roman" w:cs="Times New Roman"/>
          <w:sz w:val="24"/>
          <w:szCs w:val="24"/>
        </w:rPr>
        <w:t>las indemnizaciones se pagarán al beneficiario, dentro del plazo máximo de diez días siguientes a la presentación de “</w:t>
      </w:r>
      <w:r w:rsidRPr="00293FC1">
        <w:rPr>
          <w:rFonts w:ascii="Times New Roman" w:hAnsi="Times New Roman" w:cs="Times New Roman"/>
          <w:i/>
          <w:iCs/>
          <w:sz w:val="24"/>
          <w:szCs w:val="24"/>
        </w:rPr>
        <w:t>Comprobantes de pago con valor tributario y contable que acredite el valor o precio de los gastos médicos en que se haya incurrido para el tratamiento de la víctima como consecuencia de las lesiones sufridas”</w:t>
      </w:r>
      <w:r w:rsidRPr="00293FC1">
        <w:rPr>
          <w:rFonts w:ascii="Times New Roman" w:hAnsi="Times New Roman" w:cs="Times New Roman"/>
          <w:sz w:val="24"/>
          <w:szCs w:val="24"/>
        </w:rPr>
        <w:t>.</w:t>
      </w:r>
    </w:p>
    <w:p w:rsidRPr="00293FC1" w:rsidR="005E49B8" w:rsidP="005E49B8" w:rsidRDefault="005E49B8" w14:paraId="27EFC462" w14:textId="30819261">
      <w:pPr>
        <w:jc w:val="both"/>
        <w:rPr>
          <w:rFonts w:ascii="Times New Roman" w:hAnsi="Times New Roman" w:cs="Times New Roman"/>
          <w:bCs/>
          <w:sz w:val="24"/>
          <w:szCs w:val="24"/>
        </w:rPr>
      </w:pPr>
      <w:r w:rsidRPr="00293FC1">
        <w:rPr>
          <w:rFonts w:ascii="Times New Roman" w:hAnsi="Times New Roman" w:cs="Times New Roman"/>
          <w:sz w:val="24"/>
          <w:szCs w:val="24"/>
        </w:rPr>
        <w:t xml:space="preserve">En el presente caso, el comprobante presentado no acredita el valor o precio de los gastos médicos incurridos para la atención del procedimiento de </w:t>
      </w:r>
      <w:proofErr w:type="spellStart"/>
      <w:r w:rsidRPr="00293FC1">
        <w:rPr>
          <w:rFonts w:ascii="Times New Roman" w:hAnsi="Times New Roman" w:cs="Times New Roman"/>
          <w:sz w:val="24"/>
          <w:szCs w:val="24"/>
        </w:rPr>
        <w:t>Septoplastía</w:t>
      </w:r>
      <w:proofErr w:type="spellEnd"/>
      <w:r w:rsidRPr="00293FC1">
        <w:rPr>
          <w:rFonts w:ascii="Times New Roman" w:hAnsi="Times New Roman" w:cs="Times New Roman"/>
          <w:sz w:val="24"/>
          <w:szCs w:val="24"/>
        </w:rPr>
        <w:t>.</w:t>
      </w:r>
    </w:p>
    <w:p w:rsidRPr="00293FC1" w:rsidR="005E49B8" w:rsidP="005E49B8" w:rsidRDefault="005E49B8" w14:paraId="344DA0AB" w14:textId="77777777">
      <w:pPr>
        <w:tabs>
          <w:tab w:val="left" w:pos="709"/>
          <w:tab w:val="left" w:pos="2160"/>
        </w:tabs>
        <w:jc w:val="both"/>
        <w:rPr>
          <w:rFonts w:ascii="Times New Roman" w:hAnsi="Times New Roman" w:cs="Times New Roman"/>
          <w:sz w:val="24"/>
          <w:szCs w:val="24"/>
        </w:rPr>
      </w:pPr>
      <w:r w:rsidRPr="00293FC1">
        <w:rPr>
          <w:rFonts w:ascii="Times New Roman" w:hAnsi="Times New Roman" w:cs="Times New Roman"/>
          <w:bCs/>
          <w:sz w:val="24"/>
          <w:szCs w:val="24"/>
        </w:rPr>
        <w:t xml:space="preserve">En efecto, </w:t>
      </w:r>
      <w:r w:rsidRPr="00293FC1">
        <w:rPr>
          <w:rFonts w:ascii="Times New Roman" w:hAnsi="Times New Roman" w:cs="Times New Roman"/>
          <w:sz w:val="24"/>
          <w:szCs w:val="24"/>
        </w:rPr>
        <w:t xml:space="preserve">la solicitud de reembolso por Gastos Médicos se basa en la boleta electrónica Nro. EB01-2 emitida por la empresa EHV GLOBAL TRADE SAC con RUC 20610571655, por un monto global de S/ 26, 997.00. </w:t>
      </w:r>
    </w:p>
    <w:p w:rsidRPr="00293FC1" w:rsidR="005E49B8" w:rsidP="005E49B8" w:rsidRDefault="005E49B8" w14:paraId="21199B63" w14:textId="77777777">
      <w:pPr>
        <w:jc w:val="both"/>
        <w:rPr>
          <w:rFonts w:ascii="Times New Roman" w:hAnsi="Times New Roman" w:cs="Times New Roman"/>
          <w:bCs/>
          <w:sz w:val="24"/>
          <w:szCs w:val="24"/>
        </w:rPr>
      </w:pPr>
    </w:p>
    <w:p w:rsidRPr="00293FC1" w:rsidR="005E49B8" w:rsidP="005E49B8" w:rsidRDefault="005E49B8" w14:paraId="155CE8F3" w14:textId="27B3A320">
      <w:pPr>
        <w:tabs>
          <w:tab w:val="left" w:pos="709"/>
          <w:tab w:val="left" w:pos="2160"/>
        </w:tabs>
        <w:jc w:val="both"/>
        <w:rPr>
          <w:rFonts w:ascii="Times New Roman" w:hAnsi="Times New Roman" w:cs="Times New Roman"/>
          <w:sz w:val="24"/>
          <w:szCs w:val="24"/>
        </w:rPr>
      </w:pPr>
      <w:r w:rsidRPr="00293FC1">
        <w:rPr>
          <w:rFonts w:ascii="Times New Roman" w:hAnsi="Times New Roman" w:cs="Times New Roman"/>
          <w:bCs/>
          <w:sz w:val="24"/>
          <w:szCs w:val="24"/>
        </w:rPr>
        <w:t xml:space="preserve">Por todo lo expuesto, esta Defensoría encuentra que </w:t>
      </w:r>
      <w:r w:rsidRPr="00293FC1">
        <w:rPr>
          <w:rFonts w:ascii="Times New Roman" w:hAnsi="Times New Roman" w:cs="Times New Roman"/>
          <w:sz w:val="24"/>
          <w:szCs w:val="24"/>
        </w:rPr>
        <w:t xml:space="preserve">el referido comprobante de pago no genera convicción del valor tributario y contable para acreditar el valor o precio de los gastos médicos en reclamación, esto es, los que se habrían incurrido en la atención del procedimiento de </w:t>
      </w:r>
      <w:proofErr w:type="spellStart"/>
      <w:r w:rsidRPr="00293FC1">
        <w:rPr>
          <w:rFonts w:ascii="Times New Roman" w:hAnsi="Times New Roman" w:cs="Times New Roman"/>
          <w:sz w:val="24"/>
          <w:szCs w:val="24"/>
        </w:rPr>
        <w:t>Septoplastía</w:t>
      </w:r>
      <w:proofErr w:type="spellEnd"/>
      <w:r w:rsidRPr="00293FC1">
        <w:rPr>
          <w:rFonts w:ascii="Times New Roman" w:hAnsi="Times New Roman" w:cs="Times New Roman"/>
          <w:sz w:val="24"/>
          <w:szCs w:val="24"/>
        </w:rPr>
        <w:t xml:space="preserve">. </w:t>
      </w:r>
    </w:p>
    <w:p w:rsidRPr="00293FC1" w:rsidR="005E49B8" w:rsidP="005E49B8" w:rsidRDefault="005E49B8" w14:paraId="3ADCF68C" w14:textId="4670977F">
      <w:pPr>
        <w:jc w:val="both"/>
        <w:rPr>
          <w:rFonts w:ascii="Times New Roman" w:hAnsi="Times New Roman" w:cs="Times New Roman"/>
          <w:sz w:val="24"/>
          <w:szCs w:val="24"/>
        </w:rPr>
      </w:pPr>
      <w:r w:rsidRPr="00293FC1">
        <w:rPr>
          <w:rFonts w:ascii="Times New Roman" w:hAnsi="Times New Roman" w:cs="Times New Roman"/>
          <w:b/>
          <w:sz w:val="24"/>
          <w:szCs w:val="24"/>
          <w:u w:val="single"/>
        </w:rPr>
        <w:t>TERCERO</w:t>
      </w:r>
      <w:r w:rsidRPr="00293FC1">
        <w:rPr>
          <w:rFonts w:ascii="Times New Roman" w:hAnsi="Times New Roman" w:cs="Times New Roman"/>
          <w:b/>
          <w:sz w:val="24"/>
          <w:szCs w:val="24"/>
        </w:rPr>
        <w:t>:</w:t>
      </w:r>
      <w:r w:rsidRPr="00293FC1">
        <w:rPr>
          <w:rFonts w:ascii="Times New Roman" w:hAnsi="Times New Roman" w:cs="Times New Roman"/>
          <w:sz w:val="24"/>
          <w:szCs w:val="24"/>
        </w:rPr>
        <w:t xml:space="preserve"> En atención a las consideraciones precedentes, este colegiado aprecia finalmente que no se ha evidenciado error u omisión en la resolución recurrida, por lo que no existe mérito suficiente y razón objetiva para revocarla.</w:t>
      </w:r>
    </w:p>
    <w:p w:rsidRPr="00293FC1" w:rsidR="005E49B8" w:rsidP="005E49B8" w:rsidRDefault="005E49B8" w14:paraId="5BC33434" w14:textId="5466C4EC">
      <w:pPr>
        <w:jc w:val="both"/>
        <w:rPr>
          <w:rFonts w:ascii="Times New Roman" w:hAnsi="Times New Roman" w:cs="Times New Roman"/>
          <w:b/>
          <w:sz w:val="24"/>
          <w:szCs w:val="24"/>
        </w:rPr>
      </w:pPr>
      <w:r w:rsidRPr="00293FC1">
        <w:rPr>
          <w:rFonts w:ascii="Times New Roman" w:hAnsi="Times New Roman" w:cs="Times New Roman"/>
          <w:b/>
          <w:sz w:val="24"/>
          <w:szCs w:val="24"/>
        </w:rPr>
        <w:t>ATENDIENDO A LO EXPRESADO, CONFORME A SU REGLAMENTO, ESTE COLEGIADO RESUELVE:</w:t>
      </w:r>
    </w:p>
    <w:p w:rsidR="00C50492" w:rsidP="005E49B8" w:rsidRDefault="005E49B8" w14:paraId="3A8AD1F6" w14:textId="7BB1BBE3">
      <w:pPr>
        <w:pStyle w:val="Default"/>
        <w:jc w:val="both"/>
        <w:rPr>
          <w:rFonts w:ascii="Times New Roman" w:hAnsi="Times New Roman" w:cs="Times New Roman"/>
        </w:rPr>
      </w:pPr>
      <w:r w:rsidRPr="5B8AB9C2" w:rsidR="005E49B8">
        <w:rPr>
          <w:rFonts w:ascii="Times New Roman" w:hAnsi="Times New Roman" w:cs="Times New Roman"/>
          <w:b w:val="1"/>
          <w:bCs w:val="1"/>
        </w:rPr>
        <w:t xml:space="preserve">DECLARAR INFUNDADO </w:t>
      </w:r>
      <w:r w:rsidRPr="5B8AB9C2" w:rsidR="005E49B8">
        <w:rPr>
          <w:rFonts w:ascii="Times New Roman" w:hAnsi="Times New Roman" w:cs="Times New Roman"/>
        </w:rPr>
        <w:t xml:space="preserve">el recurso de impugnación interpuesto por </w:t>
      </w:r>
      <w:r w:rsidRPr="5B8AB9C2" w:rsidR="67FB588D">
        <w:rPr>
          <w:rFonts w:ascii="Times New Roman" w:hAnsi="Times New Roman" w:cs="Times New Roman"/>
          <w:b w:val="1"/>
          <w:bCs w:val="1"/>
          <w:lang w:eastAsia="es-ES"/>
        </w:rPr>
        <w:t>................................................</w:t>
      </w:r>
      <w:r w:rsidRPr="5B8AB9C2" w:rsidR="005E49B8">
        <w:rPr>
          <w:rFonts w:ascii="Times New Roman" w:hAnsi="Times New Roman" w:cs="Times New Roman"/>
          <w:lang w:eastAsia="es-ES"/>
        </w:rPr>
        <w:t>y</w:t>
      </w:r>
      <w:r w:rsidRPr="5B8AB9C2" w:rsidR="005E49B8">
        <w:rPr>
          <w:rFonts w:ascii="Times New Roman" w:hAnsi="Times New Roman" w:cs="Times New Roman"/>
        </w:rPr>
        <w:t xml:space="preserve">, por consiguiente, </w:t>
      </w:r>
      <w:r w:rsidRPr="5B8AB9C2" w:rsidR="005E49B8">
        <w:rPr>
          <w:rFonts w:ascii="Times New Roman" w:hAnsi="Times New Roman" w:cs="Times New Roman"/>
          <w:b w:val="1"/>
          <w:bCs w:val="1"/>
        </w:rPr>
        <w:t xml:space="preserve">CONFIRMAR </w:t>
      </w:r>
      <w:r w:rsidRPr="5B8AB9C2" w:rsidR="005E49B8">
        <w:rPr>
          <w:rFonts w:ascii="Times New Roman" w:hAnsi="Times New Roman" w:cs="Times New Roman"/>
        </w:rPr>
        <w:t xml:space="preserve">la Resolución </w:t>
      </w:r>
      <w:r w:rsidRPr="5B8AB9C2" w:rsidR="005E49B8">
        <w:rPr>
          <w:rFonts w:ascii="Times New Roman" w:hAnsi="Times New Roman" w:cs="Times New Roman"/>
        </w:rPr>
        <w:t>N°</w:t>
      </w:r>
      <w:r w:rsidRPr="5B8AB9C2" w:rsidR="005E49B8">
        <w:rPr>
          <w:rFonts w:ascii="Times New Roman" w:hAnsi="Times New Roman" w:cs="Times New Roman"/>
        </w:rPr>
        <w:t xml:space="preserve"> 194/24.</w:t>
      </w:r>
    </w:p>
    <w:p w:rsidRPr="00293FC1" w:rsidR="0043042E" w:rsidP="005E49B8" w:rsidRDefault="0043042E" w14:paraId="06060B73" w14:textId="77777777">
      <w:pPr>
        <w:pStyle w:val="Default"/>
        <w:jc w:val="both"/>
        <w:rPr>
          <w:rFonts w:ascii="Times New Roman" w:hAnsi="Times New Roman" w:cs="Times New Roman"/>
        </w:rPr>
      </w:pPr>
    </w:p>
    <w:p w:rsidRPr="00293FC1" w:rsidR="008B6A09" w:rsidP="00CF28D9" w:rsidRDefault="0091528B" w14:paraId="000A434B" w14:textId="629FFA9A">
      <w:pPr>
        <w:jc w:val="right"/>
        <w:rPr>
          <w:rFonts w:ascii="Times New Roman" w:hAnsi="Times New Roman" w:cs="Times New Roman"/>
          <w:bCs/>
          <w:sz w:val="24"/>
          <w:szCs w:val="24"/>
        </w:rPr>
      </w:pPr>
      <w:r w:rsidRPr="00293FC1">
        <w:rPr>
          <w:rFonts w:ascii="Times New Roman" w:hAnsi="Times New Roman" w:eastAsia="Arial Unicode MS" w:cs="Times New Roman"/>
          <w:bCs/>
          <w:sz w:val="24"/>
          <w:szCs w:val="24"/>
          <w:lang w:eastAsia="ar-SA"/>
        </w:rPr>
        <w:t xml:space="preserve">Lima, </w:t>
      </w:r>
      <w:r w:rsidRPr="00293FC1" w:rsidR="006C1321">
        <w:rPr>
          <w:rFonts w:ascii="Times New Roman" w:hAnsi="Times New Roman" w:eastAsia="Arial Unicode MS" w:cs="Times New Roman"/>
          <w:bCs/>
          <w:sz w:val="24"/>
          <w:szCs w:val="24"/>
          <w:lang w:eastAsia="ar-SA"/>
        </w:rPr>
        <w:t>25</w:t>
      </w:r>
      <w:r w:rsidRPr="00293FC1" w:rsidR="00F42C0D">
        <w:rPr>
          <w:rFonts w:ascii="Times New Roman" w:hAnsi="Times New Roman" w:eastAsia="Arial Unicode MS" w:cs="Times New Roman"/>
          <w:bCs/>
          <w:sz w:val="24"/>
          <w:szCs w:val="24"/>
          <w:lang w:eastAsia="ar-SA"/>
        </w:rPr>
        <w:t xml:space="preserve"> </w:t>
      </w:r>
      <w:r w:rsidRPr="00293FC1" w:rsidR="00707C99">
        <w:rPr>
          <w:rFonts w:ascii="Times New Roman" w:hAnsi="Times New Roman" w:eastAsia="Arial Unicode MS" w:cs="Times New Roman"/>
          <w:bCs/>
          <w:sz w:val="24"/>
          <w:szCs w:val="24"/>
          <w:lang w:eastAsia="ar-SA"/>
        </w:rPr>
        <w:t>de</w:t>
      </w:r>
      <w:r w:rsidRPr="00293FC1" w:rsidR="00A02CF2">
        <w:rPr>
          <w:rFonts w:ascii="Times New Roman" w:hAnsi="Times New Roman" w:eastAsia="Arial Unicode MS" w:cs="Times New Roman"/>
          <w:bCs/>
          <w:sz w:val="24"/>
          <w:szCs w:val="24"/>
          <w:lang w:eastAsia="ar-SA"/>
        </w:rPr>
        <w:t xml:space="preserve"> </w:t>
      </w:r>
      <w:r w:rsidRPr="00293FC1" w:rsidR="00ED590B">
        <w:rPr>
          <w:rFonts w:ascii="Times New Roman" w:hAnsi="Times New Roman" w:eastAsia="Arial Unicode MS" w:cs="Times New Roman"/>
          <w:bCs/>
          <w:sz w:val="24"/>
          <w:szCs w:val="24"/>
          <w:lang w:eastAsia="ar-SA"/>
        </w:rPr>
        <w:t>noviembre</w:t>
      </w:r>
      <w:r w:rsidRPr="00293FC1" w:rsidR="002F478E">
        <w:rPr>
          <w:rFonts w:ascii="Times New Roman" w:hAnsi="Times New Roman" w:eastAsia="Arial Unicode MS" w:cs="Times New Roman"/>
          <w:bCs/>
          <w:sz w:val="24"/>
          <w:szCs w:val="24"/>
          <w:lang w:eastAsia="ar-SA"/>
        </w:rPr>
        <w:t xml:space="preserve"> </w:t>
      </w:r>
      <w:r w:rsidRPr="00293FC1" w:rsidR="00F06498">
        <w:rPr>
          <w:rFonts w:ascii="Times New Roman" w:hAnsi="Times New Roman" w:eastAsia="Arial Unicode MS" w:cs="Times New Roman"/>
          <w:bCs/>
          <w:sz w:val="24"/>
          <w:szCs w:val="24"/>
          <w:lang w:eastAsia="ar-SA"/>
        </w:rPr>
        <w:t>de 202</w:t>
      </w:r>
      <w:r w:rsidRPr="00293FC1" w:rsidR="00543015">
        <w:rPr>
          <w:rFonts w:ascii="Times New Roman" w:hAnsi="Times New Roman" w:eastAsia="Arial Unicode MS" w:cs="Times New Roman"/>
          <w:bCs/>
          <w:sz w:val="24"/>
          <w:szCs w:val="24"/>
          <w:lang w:eastAsia="ar-SA"/>
        </w:rPr>
        <w:t>4</w:t>
      </w:r>
      <w:r w:rsidRPr="00293FC1" w:rsidR="00707C99">
        <w:rPr>
          <w:rFonts w:ascii="Times New Roman" w:hAnsi="Times New Roman" w:eastAsia="Times New Roman" w:cs="Times New Roman"/>
          <w:bCs/>
          <w:sz w:val="24"/>
          <w:szCs w:val="24"/>
          <w:lang w:eastAsia="ar-SA"/>
        </w:rPr>
        <w:t xml:space="preserve"> </w:t>
      </w:r>
    </w:p>
    <w:p w:rsidRPr="00293FC1" w:rsidR="00A323F4" w:rsidP="00A84003" w:rsidRDefault="00A323F4" w14:paraId="1B6988F6" w14:textId="77777777">
      <w:pPr>
        <w:spacing w:after="0" w:line="240" w:lineRule="auto"/>
        <w:jc w:val="both"/>
        <w:rPr>
          <w:rFonts w:ascii="Times New Roman" w:hAnsi="Times New Roman" w:cs="Times New Roman"/>
          <w:b/>
          <w:i/>
          <w:iCs/>
          <w:sz w:val="24"/>
          <w:szCs w:val="24"/>
        </w:rPr>
      </w:pPr>
      <w:r w:rsidRPr="00293FC1">
        <w:rPr>
          <w:rFonts w:ascii="Times New Roman" w:hAnsi="Times New Roman" w:cs="Times New Roman"/>
          <w:b/>
          <w:i/>
          <w:iCs/>
          <w:sz w:val="24"/>
          <w:szCs w:val="24"/>
        </w:rPr>
        <w:t>La Secretaría Técnica certifica que la presente resolución cuenta con el voto de los vocales cuyos nombres figuran en el presente documento.</w:t>
      </w:r>
    </w:p>
    <w:p w:rsidRPr="00293FC1" w:rsidR="00A323F4" w:rsidP="00A84003" w:rsidRDefault="00A323F4" w14:paraId="3AB80116" w14:textId="77777777">
      <w:pPr>
        <w:spacing w:after="0" w:line="360" w:lineRule="auto"/>
        <w:jc w:val="both"/>
        <w:rPr>
          <w:rFonts w:ascii="Times New Roman" w:hAnsi="Times New Roman" w:cs="Times New Roman"/>
          <w:b/>
          <w:i/>
          <w:iCs/>
          <w:sz w:val="24"/>
          <w:szCs w:val="24"/>
        </w:rPr>
      </w:pPr>
    </w:p>
    <w:p w:rsidRPr="00293FC1" w:rsidR="00600E7F" w:rsidP="00861BDD" w:rsidRDefault="00600E7F" w14:paraId="7680FD70" w14:textId="40A434AA">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 xml:space="preserve">Rolando Eyzaguirre </w:t>
      </w:r>
      <w:proofErr w:type="spellStart"/>
      <w:r w:rsidRPr="00293FC1">
        <w:rPr>
          <w:rFonts w:ascii="Times New Roman" w:hAnsi="Times New Roman" w:cs="Times New Roman"/>
          <w:b/>
          <w:sz w:val="24"/>
          <w:szCs w:val="24"/>
        </w:rPr>
        <w:t>Maccan</w:t>
      </w:r>
      <w:proofErr w:type="spellEnd"/>
      <w:r w:rsidRPr="00293FC1">
        <w:rPr>
          <w:rFonts w:ascii="Times New Roman" w:hAnsi="Times New Roman" w:cs="Times New Roman"/>
          <w:b/>
          <w:sz w:val="24"/>
          <w:szCs w:val="24"/>
        </w:rPr>
        <w:t xml:space="preserve"> – </w:t>
      </w:r>
      <w:proofErr w:type="gramStart"/>
      <w:r w:rsidRPr="00293FC1">
        <w:rPr>
          <w:rFonts w:ascii="Times New Roman" w:hAnsi="Times New Roman" w:cs="Times New Roman"/>
          <w:b/>
          <w:sz w:val="24"/>
          <w:szCs w:val="24"/>
        </w:rPr>
        <w:t>Presidente</w:t>
      </w:r>
      <w:proofErr w:type="gramEnd"/>
    </w:p>
    <w:p w:rsidRPr="00293FC1" w:rsidR="007543CD" w:rsidP="007543CD" w:rsidRDefault="00543015" w14:paraId="220AA7AD" w14:textId="5B40BC33">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 xml:space="preserve">María Eugenia Valdez Fernández Baca </w:t>
      </w:r>
      <w:r w:rsidRPr="00293FC1" w:rsidR="007543CD">
        <w:rPr>
          <w:rFonts w:ascii="Times New Roman" w:hAnsi="Times New Roman" w:cs="Times New Roman"/>
          <w:b/>
          <w:sz w:val="24"/>
          <w:szCs w:val="24"/>
        </w:rPr>
        <w:t xml:space="preserve">– </w:t>
      </w:r>
      <w:r w:rsidRPr="00293FC1" w:rsidR="00950F53">
        <w:rPr>
          <w:rFonts w:ascii="Times New Roman" w:hAnsi="Times New Roman" w:cs="Times New Roman"/>
          <w:b/>
          <w:sz w:val="24"/>
          <w:szCs w:val="24"/>
        </w:rPr>
        <w:t>Vocal</w:t>
      </w:r>
    </w:p>
    <w:p w:rsidRPr="00293FC1" w:rsidR="00600E7F" w:rsidP="00600E7F" w:rsidRDefault="00600E7F" w14:paraId="3155F74E" w14:textId="30D2E817">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Omar Alfaro Villanueva – Vocal</w:t>
      </w:r>
    </w:p>
    <w:p w:rsidRPr="00293FC1" w:rsidR="007543CD" w:rsidP="007543CD" w:rsidRDefault="007543CD" w14:paraId="69BFE54F" w14:textId="77777777">
      <w:pPr>
        <w:spacing w:after="0" w:line="360" w:lineRule="auto"/>
        <w:jc w:val="center"/>
        <w:rPr>
          <w:rFonts w:ascii="Times New Roman" w:hAnsi="Times New Roman" w:cs="Times New Roman"/>
          <w:b/>
          <w:sz w:val="24"/>
          <w:szCs w:val="24"/>
        </w:rPr>
      </w:pPr>
      <w:r w:rsidRPr="00293FC1">
        <w:rPr>
          <w:rFonts w:ascii="Times New Roman" w:hAnsi="Times New Roman" w:cs="Times New Roman"/>
          <w:b/>
          <w:sz w:val="24"/>
          <w:szCs w:val="24"/>
        </w:rPr>
        <w:t>Gonzalo Abad del Busto – Vocal</w:t>
      </w:r>
    </w:p>
    <w:p w:rsidRPr="00293FC1"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293FC1" w:rsidR="00C6662D" w:rsidP="00C6662D" w:rsidRDefault="00C6662D" w14:paraId="14DFBF1F" w14:textId="77777777">
      <w:pPr>
        <w:spacing w:after="0" w:line="360" w:lineRule="auto"/>
        <w:rPr>
          <w:rFonts w:ascii="Times New Roman" w:hAnsi="Times New Roman" w:cs="Times New Roman"/>
          <w:bCs/>
          <w:sz w:val="24"/>
          <w:szCs w:val="24"/>
        </w:rPr>
      </w:pPr>
    </w:p>
    <w:p w:rsidRPr="005E49B8"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AB367D" w:rsidP="00784355" w:rsidRDefault="00AB367D" w14:paraId="2867B4F9" w14:textId="77777777">
      <w:pPr>
        <w:spacing w:after="0" w:line="240" w:lineRule="auto"/>
      </w:pPr>
      <w:r w:rsidRPr="005E49B8">
        <w:separator/>
      </w:r>
    </w:p>
  </w:endnote>
  <w:endnote w:type="continuationSeparator" w:id="0">
    <w:p w:rsidRPr="005E49B8" w:rsidR="00AB367D" w:rsidP="00784355" w:rsidRDefault="00AB367D" w14:paraId="7F997C6C"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AB367D" w:rsidP="00784355" w:rsidRDefault="00AB367D" w14:paraId="15817452" w14:textId="77777777">
      <w:pPr>
        <w:spacing w:after="0" w:line="240" w:lineRule="auto"/>
      </w:pPr>
      <w:r w:rsidRPr="005E49B8">
        <w:separator/>
      </w:r>
    </w:p>
  </w:footnote>
  <w:footnote w:type="continuationSeparator" w:id="0">
    <w:p w:rsidRPr="005E49B8" w:rsidR="00AB367D" w:rsidP="00784355" w:rsidRDefault="00AB367D" w14:paraId="2A2C1D70" w14:textId="77777777">
      <w:pPr>
        <w:spacing w:after="0" w:line="240" w:lineRule="auto"/>
      </w:pPr>
      <w:r w:rsidRPr="005E49B8">
        <w:continuationSeparator/>
      </w:r>
    </w:p>
  </w:footnote>
  <w:footnote w:id="1">
    <w:p w:rsidRPr="00253AFF" w:rsidR="005E49B8" w:rsidP="005E49B8" w:rsidRDefault="005E49B8" w14:paraId="7877364A" w14:textId="77777777">
      <w:pPr>
        <w:pStyle w:val="Textonotapie"/>
        <w:rPr>
          <w:rFonts w:ascii="Georgia" w:hAnsi="Georgia"/>
        </w:rPr>
      </w:pPr>
      <w:r w:rsidRPr="005E49B8">
        <w:rPr>
          <w:rStyle w:val="Refdenotaalpie"/>
          <w:rFonts w:ascii="Georgia" w:hAnsi="Georgia"/>
        </w:rPr>
        <w:footnoteRef/>
      </w:r>
      <w:r w:rsidRPr="005E49B8">
        <w:rPr>
          <w:rFonts w:ascii="Georgia" w:hAnsi="Georgia"/>
        </w:rPr>
        <w:t xml:space="preserve"> Es una cirugía que se lleva a cabo para corregir cualquier problema en el tabique nasal, la estructura en el interior de la nariz que separa la nariz en dos cámaras.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09315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3CCB"/>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726E"/>
    <w:rsid w:val="002C130C"/>
    <w:rsid w:val="002C2A0F"/>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D9CAD4A"/>
    <w:rsid w:val="14571A34"/>
    <w:rsid w:val="157008A1"/>
    <w:rsid w:val="29BAD059"/>
    <w:rsid w:val="37BC6FA7"/>
    <w:rsid w:val="3BB772BD"/>
    <w:rsid w:val="4A6BF402"/>
    <w:rsid w:val="4B0D0C4D"/>
    <w:rsid w:val="4FE396AF"/>
    <w:rsid w:val="5B8AB9C2"/>
    <w:rsid w:val="67FB588D"/>
    <w:rsid w:val="6C24640C"/>
    <w:rsid w:val="6C6EF007"/>
    <w:rsid w:val="7175F6D5"/>
    <w:rsid w:val="74086CB2"/>
    <w:rsid w:val="7506FD32"/>
    <w:rsid w:val="7920A2E4"/>
    <w:rsid w:val="7FD65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DE18420-7F4C-45B4-AB21-69516042752E}"/>
</file>

<file path=customXml/itemProps3.xml><?xml version="1.0" encoding="utf-8"?>
<ds:datastoreItem xmlns:ds="http://schemas.openxmlformats.org/officeDocument/2006/customXml" ds:itemID="{FFD74E2C-773B-4DC0-98F5-76442125EBCE}"/>
</file>

<file path=customXml/itemProps4.xml><?xml version="1.0" encoding="utf-8"?>
<ds:datastoreItem xmlns:ds="http://schemas.openxmlformats.org/officeDocument/2006/customXml" ds:itemID="{5B2F2BCD-7AE0-4866-8678-390E82432D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424</cp:revision>
  <cp:lastPrinted>2024-11-26T17:05:00Z</cp:lastPrinted>
  <dcterms:created xsi:type="dcterms:W3CDTF">2023-02-14T22:37:00Z</dcterms:created>
  <dcterms:modified xsi:type="dcterms:W3CDTF">2025-12-15T19:28:58Z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