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3565F" w:rsidR="004C26B3" w:rsidP="009D2AD7" w:rsidRDefault="00201C0D" w14:paraId="70E0358F" w14:textId="68BF3A77">
      <w:pPr>
        <w:spacing w:after="0" w:line="240" w:lineRule="auto"/>
        <w:jc w:val="center"/>
        <w:rPr>
          <w:rFonts w:ascii="Times New Roman" w:hAnsi="Times New Roman" w:cs="Times New Roman"/>
          <w:b/>
          <w:sz w:val="23"/>
          <w:szCs w:val="23"/>
          <w:lang w:eastAsia="ar-SA"/>
        </w:rPr>
      </w:pPr>
      <w:r w:rsidRPr="00F3565F">
        <w:rPr>
          <w:rFonts w:ascii="Times New Roman" w:hAnsi="Times New Roman" w:cs="Times New Roman"/>
          <w:b/>
          <w:sz w:val="23"/>
          <w:szCs w:val="23"/>
          <w:lang w:eastAsia="ar-SA"/>
        </w:rPr>
        <w:t xml:space="preserve">RESOLUCIÓN DE RECURSO IMPUGNATIVO </w:t>
      </w:r>
      <w:proofErr w:type="spellStart"/>
      <w:r w:rsidRPr="00F3565F" w:rsidR="00707C99">
        <w:rPr>
          <w:rFonts w:ascii="Times New Roman" w:hAnsi="Times New Roman" w:cs="Times New Roman"/>
          <w:b/>
          <w:sz w:val="23"/>
          <w:szCs w:val="23"/>
          <w:lang w:eastAsia="ar-SA"/>
        </w:rPr>
        <w:t>N°</w:t>
      </w:r>
      <w:proofErr w:type="spellEnd"/>
      <w:r w:rsidRPr="00F3565F" w:rsidR="00707C99">
        <w:rPr>
          <w:rFonts w:ascii="Times New Roman" w:hAnsi="Times New Roman" w:cs="Times New Roman"/>
          <w:b/>
          <w:sz w:val="23"/>
          <w:szCs w:val="23"/>
          <w:lang w:eastAsia="ar-SA"/>
        </w:rPr>
        <w:t xml:space="preserve"> </w:t>
      </w:r>
      <w:r w:rsidRPr="00F3565F" w:rsidR="00516293">
        <w:rPr>
          <w:rFonts w:ascii="Times New Roman" w:hAnsi="Times New Roman" w:cs="Times New Roman"/>
          <w:b/>
          <w:sz w:val="23"/>
          <w:szCs w:val="23"/>
          <w:lang w:eastAsia="ar-SA"/>
        </w:rPr>
        <w:t>0</w:t>
      </w:r>
      <w:r w:rsidRPr="00F3565F" w:rsidR="000C4FAF">
        <w:rPr>
          <w:rFonts w:ascii="Times New Roman" w:hAnsi="Times New Roman" w:cs="Times New Roman"/>
          <w:b/>
          <w:sz w:val="23"/>
          <w:szCs w:val="23"/>
          <w:lang w:eastAsia="ar-SA"/>
        </w:rPr>
        <w:t>4</w:t>
      </w:r>
      <w:r w:rsidRPr="00F3565F" w:rsidR="00440F50">
        <w:rPr>
          <w:rFonts w:ascii="Times New Roman" w:hAnsi="Times New Roman" w:cs="Times New Roman"/>
          <w:b/>
          <w:sz w:val="23"/>
          <w:szCs w:val="23"/>
          <w:lang w:eastAsia="ar-SA"/>
        </w:rPr>
        <w:t>7</w:t>
      </w:r>
      <w:r w:rsidRPr="00F3565F" w:rsidR="00C671F5">
        <w:rPr>
          <w:rFonts w:ascii="Times New Roman" w:hAnsi="Times New Roman" w:cs="Times New Roman"/>
          <w:b/>
          <w:sz w:val="23"/>
          <w:szCs w:val="23"/>
          <w:lang w:eastAsia="ar-SA"/>
        </w:rPr>
        <w:t>/2</w:t>
      </w:r>
      <w:r w:rsidRPr="00F3565F" w:rsidR="00543015">
        <w:rPr>
          <w:rFonts w:ascii="Times New Roman" w:hAnsi="Times New Roman" w:cs="Times New Roman"/>
          <w:b/>
          <w:sz w:val="23"/>
          <w:szCs w:val="23"/>
          <w:lang w:eastAsia="ar-SA"/>
        </w:rPr>
        <w:t>4</w:t>
      </w:r>
    </w:p>
    <w:p w:rsidRPr="00F3565F" w:rsidR="009D2AD7" w:rsidP="009D2AD7" w:rsidRDefault="009D2AD7" w14:paraId="1BA628E2" w14:textId="77777777">
      <w:pPr>
        <w:spacing w:after="0" w:line="240" w:lineRule="auto"/>
        <w:jc w:val="center"/>
        <w:rPr>
          <w:rFonts w:ascii="Times New Roman" w:hAnsi="Times New Roman" w:cs="Times New Roman"/>
          <w:b/>
          <w:sz w:val="23"/>
          <w:szCs w:val="23"/>
          <w:lang w:eastAsia="ar-SA"/>
        </w:rPr>
      </w:pPr>
    </w:p>
    <w:p w:rsidRPr="00F3565F" w:rsidR="00F3565F" w:rsidP="00F3565F" w:rsidRDefault="00F3565F" w14:paraId="21C7F405" w14:textId="77777777">
      <w:pPr>
        <w:jc w:val="both"/>
        <w:rPr>
          <w:rFonts w:ascii="Times New Roman" w:hAnsi="Times New Roman" w:eastAsia="Arial Unicode MS" w:cs="Times New Roman"/>
          <w:b/>
          <w:bCs/>
          <w:sz w:val="23"/>
          <w:szCs w:val="23"/>
          <w:lang w:val="es-MX" w:eastAsia="ar-SA"/>
        </w:rPr>
      </w:pPr>
      <w:r w:rsidRPr="00F3565F">
        <w:rPr>
          <w:rFonts w:ascii="Times New Roman" w:hAnsi="Times New Roman" w:eastAsia="Arial Unicode MS" w:cs="Times New Roman"/>
          <w:b/>
          <w:bCs/>
          <w:sz w:val="23"/>
          <w:szCs w:val="23"/>
          <w:lang w:val="es-MX" w:eastAsia="ar-SA"/>
        </w:rPr>
        <w:t>VISTOS:</w:t>
      </w:r>
    </w:p>
    <w:p w:rsidRPr="00F3565F" w:rsidR="00F3565F" w:rsidP="629428FF" w:rsidRDefault="00F3565F" w14:paraId="24680DC9" w14:textId="08FC4641">
      <w:pPr>
        <w:jc w:val="both"/>
        <w:rPr>
          <w:rFonts w:ascii="Times New Roman" w:hAnsi="Times New Roman" w:eastAsia="Arial Unicode MS" w:cs="Times New Roman"/>
          <w:sz w:val="23"/>
          <w:szCs w:val="23"/>
          <w:lang w:eastAsia="ar-SA"/>
        </w:rPr>
      </w:pPr>
      <w:r w:rsidRPr="629428FF" w:rsidR="00F3565F">
        <w:rPr>
          <w:rFonts w:ascii="Times New Roman" w:hAnsi="Times New Roman" w:eastAsia="Arial Unicode MS" w:cs="Times New Roman"/>
          <w:sz w:val="23"/>
          <w:szCs w:val="23"/>
          <w:lang w:eastAsia="ar-SA"/>
        </w:rPr>
        <w:t xml:space="preserve">El recurso de impugnación presentado por </w:t>
      </w:r>
      <w:r w:rsidRPr="629428FF" w:rsidR="0D717E6D">
        <w:rPr>
          <w:rFonts w:ascii="Times New Roman" w:hAnsi="Times New Roman" w:eastAsia="Arial Unicode MS" w:cs="Times New Roman"/>
          <w:b w:val="1"/>
          <w:bCs w:val="1"/>
          <w:sz w:val="23"/>
          <w:szCs w:val="23"/>
          <w:lang w:eastAsia="ar-SA"/>
        </w:rPr>
        <w:t>................................</w:t>
      </w:r>
      <w:r w:rsidRPr="629428FF" w:rsidR="00F3565F">
        <w:rPr>
          <w:rFonts w:ascii="Times New Roman" w:hAnsi="Times New Roman" w:eastAsia="Arial Unicode MS" w:cs="Times New Roman"/>
          <w:b w:val="1"/>
          <w:bCs w:val="1"/>
          <w:sz w:val="23"/>
          <w:szCs w:val="23"/>
          <w:lang w:eastAsia="ar-SA"/>
        </w:rPr>
        <w:t xml:space="preserve"> </w:t>
      </w:r>
      <w:r w:rsidRPr="629428FF" w:rsidR="00F3565F">
        <w:rPr>
          <w:rFonts w:ascii="Times New Roman" w:hAnsi="Times New Roman" w:eastAsia="Arial Unicode MS" w:cs="Times New Roman"/>
          <w:sz w:val="23"/>
          <w:szCs w:val="23"/>
          <w:lang w:eastAsia="ar-SA"/>
        </w:rPr>
        <w:t xml:space="preserve">respecto de la Resolución Nro. 238/24 de fecha 3 de diciembre de 2024, expedida por la DEFASEG, conforme a la cual se declaró FUNDADA la reclamación interpuesta por don </w:t>
      </w:r>
      <w:r w:rsidRPr="629428FF" w:rsidR="4F66A586">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 xml:space="preserve"> respecto de la cobertura de gastos de sepelio de la Póliza de Seguro Oncológico integral </w:t>
      </w:r>
      <w:r w:rsidRPr="629428FF" w:rsidR="71527572">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 xml:space="preserve">, contratada por quien fuera su cónyuge </w:t>
      </w:r>
      <w:r w:rsidRPr="629428FF" w:rsidR="747EB46B">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w:t>
      </w:r>
    </w:p>
    <w:p w:rsidRPr="00F3565F" w:rsidR="00F3565F" w:rsidP="629428FF" w:rsidRDefault="00F3565F" w14:paraId="6F5BF659" w14:textId="6C5A7033">
      <w:pPr>
        <w:jc w:val="both"/>
        <w:rPr>
          <w:rFonts w:ascii="Times New Roman" w:hAnsi="Times New Roman" w:eastAsia="Arial Unicode MS" w:cs="Times New Roman"/>
          <w:sz w:val="23"/>
          <w:szCs w:val="23"/>
          <w:lang w:val="es-MX" w:eastAsia="ar-SA"/>
        </w:rPr>
      </w:pPr>
      <w:r w:rsidRPr="629428FF" w:rsidR="00F3565F">
        <w:rPr>
          <w:rFonts w:ascii="Times New Roman" w:hAnsi="Times New Roman" w:eastAsia="Arial Unicode MS" w:cs="Times New Roman"/>
          <w:sz w:val="23"/>
          <w:szCs w:val="23"/>
          <w:lang w:val="es-MX" w:eastAsia="ar-SA"/>
        </w:rPr>
        <w:t xml:space="preserve">Que, el indicado recurso se sustenta en los mismos argumentos expresados al presentar sus descargos, los cuales resumimos a continuación, señalando  asimismo que la asegurada tenía contratada una póliza con </w:t>
      </w:r>
      <w:r w:rsidRPr="629428FF" w:rsidR="0483899D">
        <w:rPr>
          <w:rFonts w:ascii="Times New Roman" w:hAnsi="Times New Roman" w:eastAsia="Arial Unicode MS" w:cs="Times New Roman"/>
          <w:sz w:val="23"/>
          <w:szCs w:val="23"/>
          <w:lang w:val="es-MX" w:eastAsia="ar-SA"/>
        </w:rPr>
        <w:t>.....................</w:t>
      </w:r>
      <w:r w:rsidRPr="629428FF" w:rsidR="00F3565F">
        <w:rPr>
          <w:rFonts w:ascii="Times New Roman" w:hAnsi="Times New Roman" w:eastAsia="Arial Unicode MS" w:cs="Times New Roman"/>
          <w:sz w:val="23"/>
          <w:szCs w:val="23"/>
          <w:lang w:val="es-MX" w:eastAsia="ar-SA"/>
        </w:rPr>
        <w:t xml:space="preserve"> para lo cual en el año 2019 se realizó una cesión de pólizas a </w:t>
      </w:r>
      <w:r w:rsidRPr="629428FF" w:rsidR="0C31E338">
        <w:rPr>
          <w:rFonts w:ascii="Times New Roman" w:hAnsi="Times New Roman" w:eastAsia="Arial Unicode MS" w:cs="Times New Roman"/>
          <w:sz w:val="23"/>
          <w:szCs w:val="23"/>
          <w:lang w:val="es-MX" w:eastAsia="ar-SA"/>
        </w:rPr>
        <w:t>.....................</w:t>
      </w:r>
      <w:r w:rsidRPr="629428FF" w:rsidR="00F3565F">
        <w:rPr>
          <w:rFonts w:ascii="Times New Roman" w:hAnsi="Times New Roman" w:eastAsia="Arial Unicode MS" w:cs="Times New Roman"/>
          <w:sz w:val="23"/>
          <w:szCs w:val="23"/>
          <w:lang w:val="es-MX" w:eastAsia="ar-SA"/>
        </w:rPr>
        <w:t>, cesión que fue informada a la asegurada, indicándose como fecha de vigencia de la nueva póliza el 01 de agosto de 2019, póliza que adjuntan y que especifica de manera expresa y concreta la modalidad de crédito invocada y que no se aplicaría el reembolso; por lo que el rechazo de cobertura resulta legítimo.</w:t>
      </w:r>
    </w:p>
    <w:p w:rsidRPr="00F3565F" w:rsidR="00F3565F" w:rsidP="629428FF" w:rsidRDefault="00F3565F" w14:paraId="39FB20EF" w14:textId="2BAB7335">
      <w:pPr>
        <w:jc w:val="both"/>
        <w:rPr>
          <w:rFonts w:ascii="Times New Roman" w:hAnsi="Times New Roman" w:eastAsia="Arial Unicode MS" w:cs="Times New Roman"/>
          <w:sz w:val="23"/>
          <w:szCs w:val="23"/>
          <w:lang w:val="es-MX" w:eastAsia="ar-SA"/>
        </w:rPr>
      </w:pPr>
      <w:r w:rsidRPr="629428FF" w:rsidR="00F3565F">
        <w:rPr>
          <w:rFonts w:ascii="Times New Roman" w:hAnsi="Times New Roman" w:eastAsia="Arial Unicode MS" w:cs="Times New Roman"/>
          <w:sz w:val="23"/>
          <w:szCs w:val="23"/>
          <w:lang w:val="es-MX" w:eastAsia="ar-SA"/>
        </w:rPr>
        <w:t xml:space="preserve">Que, habiéndosele corrido traslado de la señalada impugnación, el reclamante reconoció haber recibido la póliza vigente a la fecha de fallecimiento </w:t>
      </w:r>
      <w:r w:rsidRPr="629428FF" w:rsidR="00F3565F">
        <w:rPr>
          <w:rFonts w:ascii="Times New Roman" w:hAnsi="Times New Roman" w:eastAsia="Arial Unicode MS" w:cs="Times New Roman"/>
          <w:sz w:val="23"/>
          <w:szCs w:val="23"/>
          <w:lang w:val="es-MX" w:eastAsia="ar-SA"/>
        </w:rPr>
        <w:t>via</w:t>
      </w:r>
      <w:r w:rsidRPr="629428FF" w:rsidR="00F3565F">
        <w:rPr>
          <w:rFonts w:ascii="Times New Roman" w:hAnsi="Times New Roman" w:eastAsia="Arial Unicode MS" w:cs="Times New Roman"/>
          <w:sz w:val="23"/>
          <w:szCs w:val="23"/>
          <w:lang w:val="es-MX" w:eastAsia="ar-SA"/>
        </w:rPr>
        <w:t xml:space="preserve"> correo electrónico el 11 de junio de 2023, esto es antes del fallecimiento de la asegurada, la cual en el Plan de Beneficios señala que el sepelio por causa oncológico se cubre hasta S/12,000 </w:t>
      </w:r>
      <w:r w:rsidRPr="629428FF" w:rsidR="00F3565F">
        <w:rPr>
          <w:rFonts w:ascii="Times New Roman" w:hAnsi="Times New Roman" w:eastAsia="Arial Unicode MS" w:cs="Times New Roman"/>
          <w:sz w:val="23"/>
          <w:szCs w:val="23"/>
          <w:lang w:val="es-MX" w:eastAsia="ar-SA"/>
        </w:rPr>
        <w:t>credito</w:t>
      </w:r>
      <w:r w:rsidRPr="629428FF" w:rsidR="00F3565F">
        <w:rPr>
          <w:rFonts w:ascii="Times New Roman" w:hAnsi="Times New Roman" w:eastAsia="Arial Unicode MS" w:cs="Times New Roman"/>
          <w:sz w:val="23"/>
          <w:szCs w:val="23"/>
          <w:lang w:val="es-MX" w:eastAsia="ar-SA"/>
        </w:rPr>
        <w:t xml:space="preserve"> 100%. El reclamante sostiene que la definición de crédito solo está definida para servicios de salud, mas no así para sepelio, lo que confunde a los asegurados y sus familiares por lo que debe tenerse en cuenta que de acuerdo a la ley del contrato de seguro, en caso de duda las disposiciones se interpretan a favor del asegurado; </w:t>
      </w:r>
      <w:r w:rsidRPr="629428FF" w:rsidR="00F3565F">
        <w:rPr>
          <w:rFonts w:ascii="Times New Roman" w:hAnsi="Times New Roman" w:eastAsia="Arial Unicode MS" w:cs="Times New Roman"/>
          <w:sz w:val="23"/>
          <w:szCs w:val="23"/>
          <w:lang w:val="es-MX" w:eastAsia="ar-SA"/>
        </w:rPr>
        <w:t>mas</w:t>
      </w:r>
      <w:r w:rsidRPr="629428FF" w:rsidR="00F3565F">
        <w:rPr>
          <w:rFonts w:ascii="Times New Roman" w:hAnsi="Times New Roman" w:eastAsia="Arial Unicode MS" w:cs="Times New Roman"/>
          <w:sz w:val="23"/>
          <w:szCs w:val="23"/>
          <w:lang w:val="es-MX" w:eastAsia="ar-SA"/>
        </w:rPr>
        <w:t xml:space="preserve"> aun teniendo en cuenta que el artículo 26 de la Ley 29946 señala que las condiciones deben cumplir con los requisitos de concreción, claridad y sencillas en su redacción, sin reenvíos a cláusulas y pactos no contenidos en la póliza. </w:t>
      </w:r>
      <w:r w:rsidRPr="629428FF" w:rsidR="00F3565F">
        <w:rPr>
          <w:rFonts w:ascii="Times New Roman" w:hAnsi="Times New Roman" w:eastAsia="Arial Unicode MS" w:cs="Times New Roman"/>
          <w:sz w:val="23"/>
          <w:szCs w:val="23"/>
          <w:lang w:val="es-MX" w:eastAsia="ar-SA"/>
        </w:rPr>
        <w:t>Asimismo</w:t>
      </w:r>
      <w:r w:rsidRPr="629428FF" w:rsidR="00F3565F">
        <w:rPr>
          <w:rFonts w:ascii="Times New Roman" w:hAnsi="Times New Roman" w:eastAsia="Arial Unicode MS" w:cs="Times New Roman"/>
          <w:sz w:val="23"/>
          <w:szCs w:val="23"/>
          <w:lang w:val="es-MX" w:eastAsia="ar-SA"/>
        </w:rPr>
        <w:t xml:space="preserve"> añade que en la póliza recibida no existe el párrafo que cita la aseguradora en su escrito de impugnación “no aplica reembolso para esta cobertura (…)”, suponen que si en pólizas anteriores no vigentes existía un párrafo así debió haber sido quitado por la aseguradora en atención al principio de máxima buena fe, al constituir una cláusula abusiva. Señalan que </w:t>
      </w:r>
      <w:r w:rsidRPr="629428FF" w:rsidR="0C31E338">
        <w:rPr>
          <w:rFonts w:ascii="Times New Roman" w:hAnsi="Times New Roman" w:eastAsia="Arial Unicode MS" w:cs="Times New Roman"/>
          <w:sz w:val="23"/>
          <w:szCs w:val="23"/>
          <w:lang w:val="es-MX" w:eastAsia="ar-SA"/>
        </w:rPr>
        <w:t>.....................</w:t>
      </w:r>
      <w:r w:rsidRPr="629428FF" w:rsidR="00F3565F">
        <w:rPr>
          <w:rFonts w:ascii="Times New Roman" w:hAnsi="Times New Roman" w:eastAsia="Arial Unicode MS" w:cs="Times New Roman"/>
          <w:sz w:val="23"/>
          <w:szCs w:val="23"/>
          <w:lang w:val="es-MX" w:eastAsia="ar-SA"/>
        </w:rPr>
        <w:t xml:space="preserve"> no estaría cumpliendo con la idoneidad del servicio de seguro oncológico, al negarse a cumplir con la cobertura de gastos de sepelio, pues en el plan de beneficios solo ofrecen los servicios de 3 agencias funeraria ubicadas en la ciudad de Lima, para los asegurados de todo el país, siendo que la asegurada falleció en Cusco, se hubiera tenido que trasladar los restaos a Lima para acceder a los servicios funerarios. Esta circunstancia no puedes </w:t>
      </w:r>
      <w:r w:rsidRPr="629428FF" w:rsidR="00F3565F">
        <w:rPr>
          <w:rFonts w:ascii="Times New Roman" w:hAnsi="Times New Roman" w:eastAsia="Arial Unicode MS" w:cs="Times New Roman"/>
          <w:sz w:val="23"/>
          <w:szCs w:val="23"/>
          <w:lang w:val="es-MX" w:eastAsia="ar-SA"/>
        </w:rPr>
        <w:t>e</w:t>
      </w:r>
      <w:r w:rsidRPr="629428FF" w:rsidR="00F3565F">
        <w:rPr>
          <w:rFonts w:ascii="Times New Roman" w:hAnsi="Times New Roman" w:eastAsia="Arial Unicode MS" w:cs="Times New Roman"/>
          <w:sz w:val="23"/>
          <w:szCs w:val="23"/>
          <w:lang w:val="es-MX" w:eastAsia="ar-SA"/>
        </w:rPr>
        <w:t xml:space="preserve"> aprovechada para desconocer el derecho a la cobertura contratada, negar el reembolso de los gastos de sepelio constituye una cláusula abusiva, pues no existe ninguna exclusión en la póliza para asegurados que residan en la ciudad del Cusco.</w:t>
      </w:r>
    </w:p>
    <w:p w:rsidRPr="00F3565F" w:rsidR="00F3565F" w:rsidP="00F3565F" w:rsidRDefault="00F3565F" w14:paraId="013854CE" w14:textId="37105A5B">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
          <w:bCs/>
          <w:sz w:val="23"/>
          <w:szCs w:val="23"/>
          <w:u w:val="single"/>
          <w:lang w:eastAsia="ar-SA"/>
        </w:rPr>
        <w:t>PRIMERO</w:t>
      </w:r>
      <w:r w:rsidRPr="00F3565F">
        <w:rPr>
          <w:rFonts w:ascii="Times New Roman" w:hAnsi="Times New Roman" w:eastAsia="Arial Unicode MS" w:cs="Times New Roman"/>
          <w:b/>
          <w:bCs/>
          <w:sz w:val="23"/>
          <w:szCs w:val="23"/>
          <w:lang w:eastAsia="ar-SA"/>
        </w:rPr>
        <w:t>:</w:t>
      </w:r>
      <w:r w:rsidRPr="00F3565F">
        <w:rPr>
          <w:rFonts w:ascii="Times New Roman" w:hAnsi="Times New Roman" w:eastAsia="Arial Unicode MS" w:cs="Times New Roman"/>
          <w:bCs/>
          <w:sz w:val="23"/>
          <w:szCs w:val="23"/>
          <w:lang w:eastAsia="ar-SA"/>
        </w:rPr>
        <w:t xml:space="preserve">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rsidR="00F3565F" w:rsidP="00F3565F" w:rsidRDefault="00F3565F" w14:paraId="297D853C" w14:textId="4A5EEFBF">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Conforme a ello, en el caso concreto, al interponer el recurso de impugnación la aseguradora ha ejercido formalmente su derecho a contradecir lo resuelto por esta Defensoría.</w:t>
      </w:r>
    </w:p>
    <w:p w:rsidRPr="00F3565F" w:rsidR="00BA4B6B" w:rsidP="00F3565F" w:rsidRDefault="00BA4B6B" w14:paraId="54DE31FA" w14:textId="77777777">
      <w:pPr>
        <w:jc w:val="both"/>
        <w:rPr>
          <w:rFonts w:ascii="Times New Roman" w:hAnsi="Times New Roman" w:eastAsia="Arial Unicode MS" w:cs="Times New Roman"/>
          <w:bCs/>
          <w:sz w:val="23"/>
          <w:szCs w:val="23"/>
          <w:lang w:eastAsia="ar-SA"/>
        </w:rPr>
      </w:pPr>
    </w:p>
    <w:p w:rsidRPr="00F3565F" w:rsidR="00F3565F" w:rsidP="00F3565F" w:rsidRDefault="00F3565F" w14:paraId="2A102323" w14:textId="6B303350">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lastRenderedPageBreak/>
        <w:t>Cabe señalar que la resolución impugnada señaló lo siguiente:</w:t>
      </w:r>
    </w:p>
    <w:p w:rsidRPr="00F3565F" w:rsidR="00F3565F" w:rsidP="00F3565F" w:rsidRDefault="00F3565F" w14:paraId="2D0C74AA" w14:textId="332D68B1">
      <w:pPr>
        <w:jc w:val="both"/>
        <w:rPr>
          <w:rFonts w:ascii="Times New Roman" w:hAnsi="Times New Roman" w:eastAsia="Arial Unicode MS" w:cs="Times New Roman"/>
          <w:bCs/>
          <w:i/>
          <w:iCs/>
          <w:sz w:val="23"/>
          <w:szCs w:val="23"/>
          <w:lang w:eastAsia="ar-SA"/>
        </w:rPr>
      </w:pPr>
      <w:r w:rsidRPr="00F3565F">
        <w:rPr>
          <w:rFonts w:ascii="Times New Roman" w:hAnsi="Times New Roman" w:eastAsia="Arial Unicode MS" w:cs="Times New Roman"/>
          <w:bCs/>
          <w:i/>
          <w:iCs/>
          <w:sz w:val="23"/>
          <w:szCs w:val="23"/>
          <w:lang w:eastAsia="ar-SA"/>
        </w:rPr>
        <w:t>“A efectos de poder resolver el presente reclamo, se solicitó a la aseguradora: (i) confirmar desde cuándo tenía la asegurada contratada la póliza, (</w:t>
      </w:r>
      <w:proofErr w:type="spellStart"/>
      <w:r w:rsidRPr="00F3565F">
        <w:rPr>
          <w:rFonts w:ascii="Times New Roman" w:hAnsi="Times New Roman" w:eastAsia="Arial Unicode MS" w:cs="Times New Roman"/>
          <w:bCs/>
          <w:i/>
          <w:iCs/>
          <w:sz w:val="23"/>
          <w:szCs w:val="23"/>
          <w:lang w:eastAsia="ar-SA"/>
        </w:rPr>
        <w:t>ii</w:t>
      </w:r>
      <w:proofErr w:type="spellEnd"/>
      <w:r w:rsidRPr="00F3565F">
        <w:rPr>
          <w:rFonts w:ascii="Times New Roman" w:hAnsi="Times New Roman" w:eastAsia="Arial Unicode MS" w:cs="Times New Roman"/>
          <w:bCs/>
          <w:i/>
          <w:iCs/>
          <w:sz w:val="23"/>
          <w:szCs w:val="23"/>
          <w:lang w:eastAsia="ar-SA"/>
        </w:rPr>
        <w:t>) presentar el cargo de entrega de la póliza inicialmente contratada; (</w:t>
      </w:r>
      <w:proofErr w:type="spellStart"/>
      <w:r w:rsidRPr="00F3565F">
        <w:rPr>
          <w:rFonts w:ascii="Times New Roman" w:hAnsi="Times New Roman" w:eastAsia="Arial Unicode MS" w:cs="Times New Roman"/>
          <w:bCs/>
          <w:i/>
          <w:iCs/>
          <w:sz w:val="23"/>
          <w:szCs w:val="23"/>
          <w:lang w:eastAsia="ar-SA"/>
        </w:rPr>
        <w:t>iii</w:t>
      </w:r>
      <w:proofErr w:type="spellEnd"/>
      <w:r w:rsidRPr="00F3565F">
        <w:rPr>
          <w:rFonts w:ascii="Times New Roman" w:hAnsi="Times New Roman" w:eastAsia="Arial Unicode MS" w:cs="Times New Roman"/>
          <w:bCs/>
          <w:i/>
          <w:iCs/>
          <w:sz w:val="23"/>
          <w:szCs w:val="23"/>
          <w:lang w:eastAsia="ar-SA"/>
        </w:rPr>
        <w:t>) la póliza completa entregada a la asegurada, al inicio de la contratación; y, (</w:t>
      </w:r>
      <w:proofErr w:type="spellStart"/>
      <w:r w:rsidRPr="00F3565F">
        <w:rPr>
          <w:rFonts w:ascii="Times New Roman" w:hAnsi="Times New Roman" w:eastAsia="Arial Unicode MS" w:cs="Times New Roman"/>
          <w:bCs/>
          <w:i/>
          <w:iCs/>
          <w:sz w:val="23"/>
          <w:szCs w:val="23"/>
          <w:lang w:eastAsia="ar-SA"/>
        </w:rPr>
        <w:t>iv</w:t>
      </w:r>
      <w:proofErr w:type="spellEnd"/>
      <w:r w:rsidRPr="00F3565F">
        <w:rPr>
          <w:rFonts w:ascii="Times New Roman" w:hAnsi="Times New Roman" w:eastAsia="Arial Unicode MS" w:cs="Times New Roman"/>
          <w:bCs/>
          <w:i/>
          <w:iCs/>
          <w:sz w:val="23"/>
          <w:szCs w:val="23"/>
          <w:lang w:eastAsia="ar-SA"/>
        </w:rPr>
        <w:t>) la póliza vigente a la fecha de fallecimiento.</w:t>
      </w:r>
    </w:p>
    <w:p w:rsidRPr="00F3565F" w:rsidR="00F3565F" w:rsidP="00F3565F" w:rsidRDefault="00F3565F" w14:paraId="44A1DC32" w14:textId="5E01C3C0">
      <w:pPr>
        <w:jc w:val="both"/>
        <w:rPr>
          <w:rFonts w:ascii="Times New Roman" w:hAnsi="Times New Roman" w:eastAsia="Arial Unicode MS" w:cs="Times New Roman"/>
          <w:bCs/>
          <w:i/>
          <w:iCs/>
          <w:sz w:val="23"/>
          <w:szCs w:val="23"/>
          <w:lang w:eastAsia="ar-SA"/>
        </w:rPr>
      </w:pPr>
      <w:r w:rsidRPr="00F3565F">
        <w:rPr>
          <w:rFonts w:ascii="Times New Roman" w:hAnsi="Times New Roman" w:eastAsia="Arial Unicode MS" w:cs="Times New Roman"/>
          <w:bCs/>
          <w:i/>
          <w:iCs/>
          <w:sz w:val="23"/>
          <w:szCs w:val="23"/>
          <w:lang w:eastAsia="ar-SA"/>
        </w:rPr>
        <w:t xml:space="preserve">A la fecha ha vencido en exceso el plazo otorgado para que cumpla con lo solicitado, por lo </w:t>
      </w:r>
      <w:proofErr w:type="gramStart"/>
      <w:r w:rsidRPr="00F3565F">
        <w:rPr>
          <w:rFonts w:ascii="Times New Roman" w:hAnsi="Times New Roman" w:eastAsia="Arial Unicode MS" w:cs="Times New Roman"/>
          <w:bCs/>
          <w:i/>
          <w:iCs/>
          <w:sz w:val="23"/>
          <w:szCs w:val="23"/>
          <w:lang w:eastAsia="ar-SA"/>
        </w:rPr>
        <w:t>que  al</w:t>
      </w:r>
      <w:proofErr w:type="gramEnd"/>
      <w:r w:rsidRPr="00F3565F">
        <w:rPr>
          <w:rFonts w:ascii="Times New Roman" w:hAnsi="Times New Roman" w:eastAsia="Arial Unicode MS" w:cs="Times New Roman"/>
          <w:bCs/>
          <w:i/>
          <w:iCs/>
          <w:sz w:val="23"/>
          <w:szCs w:val="23"/>
          <w:lang w:eastAsia="ar-SA"/>
        </w:rPr>
        <w:t xml:space="preserve"> no haberse acreditado documentalmente que la póliza contratada vigente a la fecha de fallecimiento tuviera la limitación invocada, es decir, que solo cubre vía crédito, y no vía reembolso, el rechazo de cobertura no resulta legítimo.</w:t>
      </w:r>
    </w:p>
    <w:p w:rsidRPr="00F3565F" w:rsidR="00F3565F" w:rsidP="00F3565F" w:rsidRDefault="00F3565F" w14:paraId="7AB5668B" w14:textId="53F5CAC5">
      <w:pPr>
        <w:jc w:val="both"/>
        <w:rPr>
          <w:rFonts w:ascii="Times New Roman" w:hAnsi="Times New Roman" w:eastAsia="Arial Unicode MS" w:cs="Times New Roman"/>
          <w:bCs/>
          <w:i/>
          <w:iCs/>
          <w:sz w:val="23"/>
          <w:szCs w:val="23"/>
          <w:lang w:eastAsia="ar-SA"/>
        </w:rPr>
      </w:pPr>
      <w:r w:rsidRPr="00F3565F">
        <w:rPr>
          <w:rFonts w:ascii="Times New Roman" w:hAnsi="Times New Roman" w:eastAsia="Arial Unicode MS" w:cs="Times New Roman"/>
          <w:bCs/>
          <w:i/>
          <w:iCs/>
          <w:sz w:val="23"/>
          <w:szCs w:val="23"/>
          <w:lang w:eastAsia="ar-SA"/>
        </w:rPr>
        <w:t xml:space="preserve">Cabe señalar que si la aseguradora acreditara vía impugnación que la póliza inicialmente contratada y la vigente a la fecha de fallecimiento contenía dicha limitación; o, </w:t>
      </w:r>
      <w:proofErr w:type="gramStart"/>
      <w:r w:rsidRPr="00F3565F">
        <w:rPr>
          <w:rFonts w:ascii="Times New Roman" w:hAnsi="Times New Roman" w:eastAsia="Arial Unicode MS" w:cs="Times New Roman"/>
          <w:bCs/>
          <w:i/>
          <w:iCs/>
          <w:sz w:val="23"/>
          <w:szCs w:val="23"/>
          <w:lang w:eastAsia="ar-SA"/>
        </w:rPr>
        <w:t>que</w:t>
      </w:r>
      <w:proofErr w:type="gramEnd"/>
      <w:r w:rsidRPr="00F3565F">
        <w:rPr>
          <w:rFonts w:ascii="Times New Roman" w:hAnsi="Times New Roman" w:eastAsia="Arial Unicode MS" w:cs="Times New Roman"/>
          <w:bCs/>
          <w:i/>
          <w:iCs/>
          <w:sz w:val="23"/>
          <w:szCs w:val="23"/>
          <w:lang w:eastAsia="ar-SA"/>
        </w:rPr>
        <w:t xml:space="preserve"> de haberse modificado dicha condición durante la vigencia del seguro, se cumplió con lo establecido en la ley del contrato de seguro para realizar la correspondiente modificación; podría variar el sentido de lo resuelto.”</w:t>
      </w:r>
    </w:p>
    <w:p w:rsidRPr="00F3565F" w:rsidR="00F3565F" w:rsidP="629428FF" w:rsidRDefault="00F3565F" w14:paraId="5AB31E0D" w14:textId="63F2FC7C">
      <w:pPr>
        <w:jc w:val="both"/>
        <w:rPr>
          <w:rFonts w:ascii="Times New Roman" w:hAnsi="Times New Roman" w:eastAsia="Arial Unicode MS" w:cs="Times New Roman"/>
          <w:sz w:val="23"/>
          <w:szCs w:val="23"/>
          <w:lang w:eastAsia="ar-SA"/>
        </w:rPr>
      </w:pPr>
      <w:r w:rsidRPr="629428FF" w:rsidR="00F3565F">
        <w:rPr>
          <w:rFonts w:ascii="Times New Roman" w:hAnsi="Times New Roman" w:eastAsia="Arial Unicode MS" w:cs="Times New Roman"/>
          <w:b w:val="1"/>
          <w:bCs w:val="1"/>
          <w:sz w:val="23"/>
          <w:szCs w:val="23"/>
          <w:u w:val="single"/>
          <w:lang w:eastAsia="ar-SA"/>
        </w:rPr>
        <w:t>SEGUNDO</w:t>
      </w:r>
      <w:r w:rsidRPr="629428FF" w:rsidR="00F3565F">
        <w:rPr>
          <w:rFonts w:ascii="Times New Roman" w:hAnsi="Times New Roman" w:eastAsia="Arial Unicode MS" w:cs="Times New Roman"/>
          <w:b w:val="1"/>
          <w:bCs w:val="1"/>
          <w:sz w:val="23"/>
          <w:szCs w:val="23"/>
          <w:lang w:eastAsia="ar-SA"/>
        </w:rPr>
        <w:t>:</w:t>
      </w:r>
      <w:r w:rsidRPr="629428FF" w:rsidR="00F3565F">
        <w:rPr>
          <w:rFonts w:ascii="Times New Roman" w:hAnsi="Times New Roman" w:eastAsia="Arial Unicode MS" w:cs="Times New Roman"/>
          <w:sz w:val="23"/>
          <w:szCs w:val="23"/>
          <w:lang w:eastAsia="ar-SA"/>
        </w:rPr>
        <w:t xml:space="preserve"> Atendiendo a los fundamentos de la impugnación interpuesta, </w:t>
      </w:r>
      <w:r w:rsidRPr="629428FF" w:rsidR="0D717E6D">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 xml:space="preserve"> manifiesta su discrepancia con lo resuelto, reiterando su posición consistente en que la póliza solo cubre gastos de sepelio a crédito y no a reembolso; y, adjuntando la póliza con inicio de vigencia el 01/08/2019, así como señalando lo siguiente:</w:t>
      </w:r>
    </w:p>
    <w:p w:rsidRPr="00F3565F" w:rsidR="00F3565F" w:rsidP="629428FF" w:rsidRDefault="00F3565F" w14:paraId="2494C3DF" w14:textId="5D639F87">
      <w:pPr>
        <w:numPr>
          <w:ilvl w:val="0"/>
          <w:numId w:val="13"/>
        </w:numPr>
        <w:jc w:val="both"/>
        <w:rPr>
          <w:rFonts w:ascii="Times New Roman" w:hAnsi="Times New Roman" w:eastAsia="Arial Unicode MS" w:cs="Times New Roman"/>
          <w:sz w:val="23"/>
          <w:szCs w:val="23"/>
          <w:lang w:eastAsia="ar-SA"/>
        </w:rPr>
      </w:pPr>
      <w:r w:rsidRPr="629428FF" w:rsidR="00F3565F">
        <w:rPr>
          <w:rFonts w:ascii="Times New Roman" w:hAnsi="Times New Roman" w:eastAsia="Arial Unicode MS" w:cs="Times New Roman"/>
          <w:sz w:val="23"/>
          <w:szCs w:val="23"/>
          <w:lang w:eastAsia="ar-SA"/>
        </w:rPr>
        <w:t xml:space="preserve">La asegurada tenía contratada una póliza de seguros con </w:t>
      </w:r>
      <w:r w:rsidRPr="629428FF" w:rsidR="0483899D">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w:t>
      </w:r>
    </w:p>
    <w:p w:rsidRPr="00F3565F" w:rsidR="00F3565F" w:rsidP="629428FF" w:rsidRDefault="00F3565F" w14:paraId="7A2B121B" w14:textId="1447FFD7">
      <w:pPr>
        <w:numPr>
          <w:ilvl w:val="0"/>
          <w:numId w:val="13"/>
        </w:numPr>
        <w:jc w:val="both"/>
        <w:rPr>
          <w:rFonts w:ascii="Times New Roman" w:hAnsi="Times New Roman" w:eastAsia="Arial Unicode MS" w:cs="Times New Roman"/>
          <w:sz w:val="23"/>
          <w:szCs w:val="23"/>
          <w:lang w:eastAsia="ar-SA"/>
        </w:rPr>
      </w:pPr>
      <w:r w:rsidRPr="629428FF" w:rsidR="00F3565F">
        <w:rPr>
          <w:rFonts w:ascii="Times New Roman" w:hAnsi="Times New Roman" w:eastAsia="Arial Unicode MS" w:cs="Times New Roman"/>
          <w:sz w:val="23"/>
          <w:szCs w:val="23"/>
          <w:lang w:eastAsia="ar-SA"/>
        </w:rPr>
        <w:t xml:space="preserve">En el año 2019, se realizó una cesión de pólizas a </w:t>
      </w:r>
      <w:r w:rsidRPr="629428FF" w:rsidR="0C31E338">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 la cual incluía la póliza de la asegurada.</w:t>
      </w:r>
    </w:p>
    <w:p w:rsidRPr="00F3565F" w:rsidR="00F3565F" w:rsidP="00F3565F" w:rsidRDefault="00F3565F" w14:paraId="61629CAE" w14:textId="77777777">
      <w:pPr>
        <w:numPr>
          <w:ilvl w:val="0"/>
          <w:numId w:val="13"/>
        </w:num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Dicha cesión fue informada a la asegurada el 30 de abril de 2019, indicando la nueva fecha de vigencia, 01 de agosto de 2019. Dicha póliza fue renovada de manera anual y especifica la modalidad de crédito invocada y que no se aplicaría el reembolso.</w:t>
      </w:r>
    </w:p>
    <w:p w:rsidRPr="00F3565F" w:rsidR="00F3565F" w:rsidP="00F3565F" w:rsidRDefault="00F3565F" w14:paraId="66B45C7F" w14:textId="51C9D0AB">
      <w:pPr>
        <w:numPr>
          <w:ilvl w:val="0"/>
          <w:numId w:val="13"/>
        </w:num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Por lo tanto, la delimitación invocada se encuentra prevista tanto en la póliza cuya vigencia inició en agosto de 2024, como en la póliza enviada el 30 de abril de 2019.</w:t>
      </w:r>
    </w:p>
    <w:p w:rsidRPr="00F3565F" w:rsidR="00F3565F" w:rsidP="00F3565F" w:rsidRDefault="00F3565F" w14:paraId="23F6DBFD" w14:textId="4867DECC">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En su impugnación la aseguradora ha presentado una póliza anterior al siniestro, que data del año 2019, sin presentar la póliza vigente a la fecha del siniestro; sin embargo, el reclamante SI presentó dicha póliza, señalando que ésta les llegó por correo electrónico el 11 de junio de 2023, esto es, antes del fallecimiento del asegurado.</w:t>
      </w:r>
    </w:p>
    <w:p w:rsidRPr="00F3565F" w:rsidR="00F3565F" w:rsidP="00F3565F" w:rsidRDefault="00F3565F" w14:paraId="50624C74" w14:textId="77777777">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Revisada dicha póliza se constata que sí se señaló que la cobertura de sepelio operaba a crédito, a diferencia de otras coberturas que operaban a reembolso, como puede apreciarse a continuación:</w:t>
      </w:r>
    </w:p>
    <w:p w:rsidRPr="00F3565F" w:rsidR="00F3565F" w:rsidP="00F3565F" w:rsidRDefault="00F3565F" w14:paraId="661BEC49" w14:textId="77777777">
      <w:pPr>
        <w:jc w:val="both"/>
        <w:rPr>
          <w:rFonts w:ascii="Times New Roman" w:hAnsi="Times New Roman" w:eastAsia="Arial Unicode MS" w:cs="Times New Roman"/>
          <w:bCs/>
          <w:sz w:val="23"/>
          <w:szCs w:val="23"/>
          <w:lang w:eastAsia="ar-SA"/>
        </w:rPr>
      </w:pPr>
    </w:p>
    <w:p w:rsidR="00F3565F" w:rsidP="00F3565F" w:rsidRDefault="00F3565F" w14:paraId="584486CF" w14:textId="140DD0B1">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drawing>
          <wp:inline distT="0" distB="0" distL="0" distR="0" wp14:anchorId="4FE38A5E" wp14:editId="1CDFBACA">
            <wp:extent cx="5753100" cy="952500"/>
            <wp:effectExtent l="0" t="0" r="0" b="0"/>
            <wp:docPr id="1504182923" name="Imagen 8" descr="Tex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exto, 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952500"/>
                    </a:xfrm>
                    <a:prstGeom prst="rect">
                      <a:avLst/>
                    </a:prstGeom>
                    <a:noFill/>
                    <a:ln>
                      <a:noFill/>
                    </a:ln>
                  </pic:spPr>
                </pic:pic>
              </a:graphicData>
            </a:graphic>
          </wp:inline>
        </w:drawing>
      </w:r>
    </w:p>
    <w:p w:rsidRPr="00F3565F" w:rsidR="00F3565F" w:rsidP="00F3565F" w:rsidRDefault="00F3565F" w14:paraId="50C57E0C" w14:textId="77777777">
      <w:pPr>
        <w:jc w:val="both"/>
        <w:rPr>
          <w:rFonts w:ascii="Times New Roman" w:hAnsi="Times New Roman" w:eastAsia="Arial Unicode MS" w:cs="Times New Roman"/>
          <w:bCs/>
          <w:sz w:val="23"/>
          <w:szCs w:val="23"/>
          <w:lang w:eastAsia="ar-SA"/>
        </w:rPr>
      </w:pPr>
    </w:p>
    <w:p w:rsidRPr="00F3565F" w:rsidR="00F3565F" w:rsidP="00F3565F" w:rsidRDefault="00F3565F" w14:paraId="57F48851" w14:textId="77777777">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lastRenderedPageBreak/>
        <w:t>Asimismo, en la cobertura de gastos de sepelio se encuentra la siguiente disposición:</w:t>
      </w:r>
    </w:p>
    <w:p w:rsidRPr="00F3565F" w:rsidR="00F3565F" w:rsidP="00F3565F" w:rsidRDefault="00F3565F" w14:paraId="3A199C9D" w14:textId="001FE78A">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drawing>
          <wp:inline distT="0" distB="0" distL="0" distR="0" wp14:anchorId="67401DE6" wp14:editId="68986EA1">
            <wp:extent cx="4733925" cy="1400175"/>
            <wp:effectExtent l="0" t="0" r="9525" b="9525"/>
            <wp:docPr id="57653930" name="Imagen 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3925" cy="1400175"/>
                    </a:xfrm>
                    <a:prstGeom prst="rect">
                      <a:avLst/>
                    </a:prstGeom>
                    <a:noFill/>
                    <a:ln>
                      <a:noFill/>
                    </a:ln>
                  </pic:spPr>
                </pic:pic>
              </a:graphicData>
            </a:graphic>
          </wp:inline>
        </w:drawing>
      </w:r>
    </w:p>
    <w:p w:rsidRPr="00F3565F" w:rsidR="00F3565F" w:rsidP="00F3565F" w:rsidRDefault="00F3565F" w14:paraId="4865799D" w14:textId="5DFC8BFE">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El reclamante, sostiene que la póliza no contiene una definición de crédito para la cobertura de sepelio, pues dicha definición hace referencia únicamente a proveedores de salud; y que al existir únicamente proveedores funerarios para Lima, mal podrían negarse a otorgar el reembolso porque era imposible acceder a la cobertura en tanto la asegurada falleció en la ciudad del Cusco; por lo que negarse al reembolso implicaría un abuso y una falta de idoneidad del servicio, en tanto la póliza no excluye los gastos de sepelio en provincias.</w:t>
      </w:r>
    </w:p>
    <w:p w:rsidRPr="00F3565F" w:rsidR="00F3565F" w:rsidP="00F3565F" w:rsidRDefault="00F3565F" w14:paraId="6963A47D" w14:textId="6467C6DC">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 xml:space="preserve">Este colegiado respeta, pero no comparte dicha interpretación, pues al revisar la cobertura de sepelio que se indica es a crédito, se aprecia que, a continuación de </w:t>
      </w:r>
      <w:proofErr w:type="gramStart"/>
      <w:r w:rsidRPr="00F3565F">
        <w:rPr>
          <w:rFonts w:ascii="Times New Roman" w:hAnsi="Times New Roman" w:eastAsia="Arial Unicode MS" w:cs="Times New Roman"/>
          <w:bCs/>
          <w:sz w:val="23"/>
          <w:szCs w:val="23"/>
          <w:lang w:eastAsia="ar-SA"/>
        </w:rPr>
        <w:t>la misma</w:t>
      </w:r>
      <w:proofErr w:type="gramEnd"/>
      <w:r w:rsidRPr="00F3565F">
        <w:rPr>
          <w:rFonts w:ascii="Times New Roman" w:hAnsi="Times New Roman" w:eastAsia="Arial Unicode MS" w:cs="Times New Roman"/>
          <w:bCs/>
          <w:sz w:val="23"/>
          <w:szCs w:val="23"/>
          <w:lang w:eastAsia="ar-SA"/>
        </w:rPr>
        <w:t xml:space="preserve">, figura el término “reembolso” para otras coberturas, lo que evidencia que en el caso de sepelio la cobertura no era a reembolso sino a crédito (véase cuadro referido líneas arriba). Asimismo, la póliza era clara al señalar que se debía solicitar una carta de garantía adjuntando el presupuesto del proveedor elegido.  </w:t>
      </w:r>
      <w:proofErr w:type="gramStart"/>
      <w:r w:rsidRPr="00F3565F">
        <w:rPr>
          <w:rFonts w:ascii="Times New Roman" w:hAnsi="Times New Roman" w:eastAsia="Arial Unicode MS" w:cs="Times New Roman"/>
          <w:bCs/>
          <w:sz w:val="23"/>
          <w:szCs w:val="23"/>
          <w:lang w:eastAsia="ar-SA"/>
        </w:rPr>
        <w:t>De acuerdo a</w:t>
      </w:r>
      <w:proofErr w:type="gramEnd"/>
      <w:r w:rsidRPr="00F3565F">
        <w:rPr>
          <w:rFonts w:ascii="Times New Roman" w:hAnsi="Times New Roman" w:eastAsia="Arial Unicode MS" w:cs="Times New Roman"/>
          <w:bCs/>
          <w:sz w:val="23"/>
          <w:szCs w:val="23"/>
          <w:lang w:eastAsia="ar-SA"/>
        </w:rPr>
        <w:t xml:space="preserve"> ello, la familia de la asegurada no hubiera tenido que abonar pagos directos, sino solicitar a la compañía de seguros una carta de garantía para cubrir los gastos de sepelio. </w:t>
      </w:r>
    </w:p>
    <w:p w:rsidRPr="00F3565F" w:rsidR="00F3565F" w:rsidP="00F3565F" w:rsidRDefault="00F3565F" w14:paraId="557B1A31" w14:textId="022D8555">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 xml:space="preserve">En efecto, se ha revisado el Plan de Beneficios y si bien en él figuraba una red de agencias funerarias para Lima, dicho acápite no excluía el beneficio para provincias. Del mismo modo, el texto referido a la carta de garantía no remitía a dicha red de agencias de Lima, ni excluía el crédito para provincias, por lo que no se limitaba la elección del proveedor a una lista, y la familia de la asegurada hubiera podido presentar a su proveedor elegido de provincias y obtener una carta de garantía de la aseguradora. </w:t>
      </w:r>
    </w:p>
    <w:p w:rsidRPr="00F3565F" w:rsidR="00F3565F" w:rsidP="00F3565F" w:rsidRDefault="00F3565F" w14:paraId="56B75AF5" w14:textId="629154CD">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Si la aseguradora hubiera rechazado otorgar la carta de garantía respecto de alguno de los proveedores ubicados en la ciudad del Cusco, la situación hubiera sido distinta, pero en este caso no se acreditó que se hubiera solicitado dicha carta de garantía, conforme lo establecía la póliza.</w:t>
      </w:r>
    </w:p>
    <w:p w:rsidRPr="00F3565F" w:rsidR="00F3565F" w:rsidP="00F3565F" w:rsidRDefault="00F3565F" w14:paraId="7077AFD4" w14:textId="595541A1">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Cs/>
          <w:sz w:val="23"/>
          <w:szCs w:val="23"/>
          <w:lang w:eastAsia="ar-SA"/>
        </w:rPr>
        <w:t>De otro lado, se advierte que la nueva póliza (la que la aseguradora presentó adjunta a sus descargos) es expresa al señalar que esta cobertura no se cubre a reembolso. Sin embargo, el que no figurara dicha aclaración, en la póliza vigente a la fecha del siniestro, no quiere decir que dicha póliza hubiera otorgado la cobertura bajo la modalidad de reembolso, pues al decir únicamente a “crédito” se excluía el reembolso. Sin perjuicio de lo cual, es saludable que la nueva póliza sea más expresa aún.</w:t>
      </w:r>
    </w:p>
    <w:p w:rsidRPr="00F3565F" w:rsidR="00F3565F" w:rsidP="00F3565F" w:rsidRDefault="00F3565F" w14:paraId="591E80F9" w14:textId="6A0013D9">
      <w:pPr>
        <w:jc w:val="both"/>
        <w:rPr>
          <w:rFonts w:ascii="Times New Roman" w:hAnsi="Times New Roman" w:eastAsia="Arial Unicode MS" w:cs="Times New Roman"/>
          <w:bCs/>
          <w:sz w:val="23"/>
          <w:szCs w:val="23"/>
          <w:lang w:val="es-ES" w:eastAsia="ar-SA"/>
        </w:rPr>
      </w:pPr>
      <w:r w:rsidRPr="00F3565F">
        <w:rPr>
          <w:rFonts w:ascii="Times New Roman" w:hAnsi="Times New Roman" w:eastAsia="Arial Unicode MS" w:cs="Times New Roman"/>
          <w:b/>
          <w:bCs/>
          <w:sz w:val="23"/>
          <w:szCs w:val="23"/>
          <w:u w:val="single"/>
          <w:lang w:eastAsia="ar-SA"/>
        </w:rPr>
        <w:t>TERCERO:</w:t>
      </w:r>
      <w:r w:rsidRPr="00F3565F">
        <w:rPr>
          <w:rFonts w:ascii="Times New Roman" w:hAnsi="Times New Roman" w:eastAsia="Arial Unicode MS" w:cs="Times New Roman"/>
          <w:bCs/>
          <w:sz w:val="23"/>
          <w:szCs w:val="23"/>
          <w:lang w:eastAsia="ar-SA"/>
        </w:rPr>
        <w:t xml:space="preserve"> Por último, e</w:t>
      </w:r>
      <w:proofErr w:type="spellStart"/>
      <w:r w:rsidRPr="00F3565F">
        <w:rPr>
          <w:rFonts w:ascii="Times New Roman" w:hAnsi="Times New Roman" w:eastAsia="Arial Unicode MS" w:cs="Times New Roman"/>
          <w:bCs/>
          <w:sz w:val="23"/>
          <w:szCs w:val="23"/>
          <w:lang w:val="es-ES" w:eastAsia="ar-SA"/>
        </w:rPr>
        <w:t>ste</w:t>
      </w:r>
      <w:proofErr w:type="spellEnd"/>
      <w:r w:rsidRPr="00F3565F">
        <w:rPr>
          <w:rFonts w:ascii="Times New Roman" w:hAnsi="Times New Roman" w:eastAsia="Arial Unicode MS" w:cs="Times New Roman"/>
          <w:bCs/>
          <w:sz w:val="23"/>
          <w:szCs w:val="23"/>
          <w:lang w:val="es-ES" w:eastAsia="ar-SA"/>
        </w:rPr>
        <w:t xml:space="preserve"> colegiado tiene a bien precisar que </w:t>
      </w:r>
      <w:r w:rsidRPr="00F3565F">
        <w:rPr>
          <w:rFonts w:ascii="Times New Roman" w:hAnsi="Times New Roman" w:eastAsia="Arial Unicode MS" w:cs="Times New Roman"/>
          <w:bCs/>
          <w:sz w:val="23"/>
          <w:szCs w:val="23"/>
          <w:lang w:val="es-419" w:eastAsia="ar-SA"/>
        </w:rPr>
        <w:t xml:space="preserve">la Defensoría del Asegurado es una entidad privada y por ende no constituye una instancia administrativa regida por la ley del procedimiento administrativo general, siendo que se rige por su propio reglamento, conforme al cual </w:t>
      </w:r>
      <w:r w:rsidRPr="00F3565F">
        <w:rPr>
          <w:rFonts w:ascii="Times New Roman" w:hAnsi="Times New Roman" w:eastAsia="Arial Unicode MS" w:cs="Times New Roman"/>
          <w:bCs/>
          <w:sz w:val="23"/>
          <w:szCs w:val="23"/>
          <w:lang w:val="es-ES" w:eastAsia="ar-SA"/>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w:t>
      </w:r>
      <w:r w:rsidRPr="00F3565F">
        <w:rPr>
          <w:rFonts w:ascii="Times New Roman" w:hAnsi="Times New Roman" w:eastAsia="Arial Unicode MS" w:cs="Times New Roman"/>
          <w:bCs/>
          <w:sz w:val="23"/>
          <w:szCs w:val="23"/>
          <w:lang w:val="es-ES" w:eastAsia="ar-SA"/>
        </w:rPr>
        <w:lastRenderedPageBreak/>
        <w:t>necesario se deje sin efecto la resolución emitida. Ello debido a que las resoluciones que expide esta Defensoría no son vinculantes para el asegurado o reclamante cuando éstas les son desfavorables, siendo vinculantes para las aseguradoras cuando el fallo es favorable para el asegurado.  Sin perjuicio de ello, se deja constancia que esta Defensoría limita su competencia a las reclamaciones vinculadas al otorgamiento de cobertura de seguros, esto es a determinar si un rechazo de cobertura o la liquidación de un siniestro ha sido o no realizada conforme a derecho; por lo que carece de competencia funcional para pronunciarse sobre los reclamos referidos a idoneidad de servicios, materia que corresponde ser dilucidada en las instancias administrativas o jurisdiccionales correspondientes.</w:t>
      </w:r>
    </w:p>
    <w:p w:rsidRPr="00F3565F" w:rsidR="00F3565F" w:rsidP="00F3565F" w:rsidRDefault="00F3565F" w14:paraId="6B2860FA" w14:textId="3D9DCBF4">
      <w:pPr>
        <w:jc w:val="both"/>
        <w:rPr>
          <w:rFonts w:ascii="Times New Roman" w:hAnsi="Times New Roman" w:eastAsia="Arial Unicode MS" w:cs="Times New Roman"/>
          <w:bCs/>
          <w:sz w:val="23"/>
          <w:szCs w:val="23"/>
          <w:lang w:eastAsia="ar-SA"/>
        </w:rPr>
      </w:pPr>
      <w:r w:rsidRPr="00F3565F">
        <w:rPr>
          <w:rFonts w:ascii="Times New Roman" w:hAnsi="Times New Roman" w:eastAsia="Arial Unicode MS" w:cs="Times New Roman"/>
          <w:b/>
          <w:bCs/>
          <w:sz w:val="23"/>
          <w:szCs w:val="23"/>
          <w:u w:val="single"/>
          <w:lang w:eastAsia="ar-SA"/>
        </w:rPr>
        <w:t>CUARTO:</w:t>
      </w:r>
      <w:r w:rsidRPr="00F3565F">
        <w:rPr>
          <w:rFonts w:ascii="Times New Roman" w:hAnsi="Times New Roman" w:eastAsia="Arial Unicode MS" w:cs="Times New Roman"/>
          <w:bCs/>
          <w:sz w:val="23"/>
          <w:szCs w:val="23"/>
          <w:lang w:eastAsia="ar-SA"/>
        </w:rPr>
        <w:t xml:space="preserve"> En atención a las consideraciones precedentes, siendo que el contrato de seguro materia de esta reclamación no prevé el otorgamiento de la cobertura de sepelio vía reembolso, este Colegiado aprecia finalmente que se ha evidenciado la existencia de nuevos elementos que dan mérito suficiente y razón objetiva para revocar la resolución recurrida.</w:t>
      </w:r>
    </w:p>
    <w:p w:rsidRPr="00F3565F" w:rsidR="00F3565F" w:rsidP="00F3565F" w:rsidRDefault="00F3565F" w14:paraId="0BE286F5" w14:textId="4A397B78">
      <w:pPr>
        <w:jc w:val="both"/>
        <w:rPr>
          <w:rFonts w:ascii="Times New Roman" w:hAnsi="Times New Roman" w:eastAsia="Arial Unicode MS" w:cs="Times New Roman"/>
          <w:b/>
          <w:bCs/>
          <w:sz w:val="23"/>
          <w:szCs w:val="23"/>
          <w:lang w:eastAsia="ar-SA"/>
        </w:rPr>
      </w:pPr>
      <w:r w:rsidRPr="00F3565F">
        <w:rPr>
          <w:rFonts w:ascii="Times New Roman" w:hAnsi="Times New Roman" w:eastAsia="Arial Unicode MS" w:cs="Times New Roman"/>
          <w:b/>
          <w:bCs/>
          <w:sz w:val="23"/>
          <w:szCs w:val="23"/>
          <w:lang w:eastAsia="ar-SA"/>
        </w:rPr>
        <w:t xml:space="preserve">Atendiendo a lo expresado, conforme a su Reglamento, este colegiado </w:t>
      </w:r>
    </w:p>
    <w:p w:rsidRPr="00F3565F" w:rsidR="00F3565F" w:rsidP="00F3565F" w:rsidRDefault="00F3565F" w14:paraId="604139B4" w14:textId="502E7C24">
      <w:pPr>
        <w:jc w:val="both"/>
        <w:rPr>
          <w:rFonts w:ascii="Times New Roman" w:hAnsi="Times New Roman" w:eastAsia="Arial Unicode MS" w:cs="Times New Roman"/>
          <w:b/>
          <w:bCs/>
          <w:sz w:val="23"/>
          <w:szCs w:val="23"/>
          <w:lang w:eastAsia="ar-SA"/>
        </w:rPr>
      </w:pPr>
      <w:r w:rsidRPr="00F3565F">
        <w:rPr>
          <w:rFonts w:ascii="Times New Roman" w:hAnsi="Times New Roman" w:eastAsia="Arial Unicode MS" w:cs="Times New Roman"/>
          <w:b/>
          <w:bCs/>
          <w:sz w:val="23"/>
          <w:szCs w:val="23"/>
          <w:lang w:eastAsia="ar-SA"/>
        </w:rPr>
        <w:t>RESUELVE:</w:t>
      </w:r>
    </w:p>
    <w:p w:rsidRPr="00F3565F" w:rsidR="00F3565F" w:rsidP="629428FF" w:rsidRDefault="00F3565F" w14:paraId="414F9C89" w14:textId="172A57EC">
      <w:pPr>
        <w:jc w:val="both"/>
        <w:rPr>
          <w:rFonts w:ascii="Times New Roman" w:hAnsi="Times New Roman" w:eastAsia="Arial Unicode MS" w:cs="Times New Roman"/>
          <w:sz w:val="23"/>
          <w:szCs w:val="23"/>
          <w:lang w:eastAsia="ar-SA"/>
        </w:rPr>
      </w:pPr>
      <w:r w:rsidRPr="629428FF" w:rsidR="00F3565F">
        <w:rPr>
          <w:rFonts w:ascii="Times New Roman" w:hAnsi="Times New Roman" w:eastAsia="Arial Unicode MS" w:cs="Times New Roman"/>
          <w:sz w:val="23"/>
          <w:szCs w:val="23"/>
          <w:lang w:eastAsia="ar-SA"/>
        </w:rPr>
        <w:t xml:space="preserve">Declarar FUNDADO el recurso impugnativo interpuesto por </w:t>
      </w:r>
      <w:r w:rsidRPr="629428FF" w:rsidR="0D717E6D">
        <w:rPr>
          <w:rFonts w:ascii="Times New Roman" w:hAnsi="Times New Roman" w:eastAsia="Arial Unicode MS" w:cs="Times New Roman"/>
          <w:sz w:val="23"/>
          <w:szCs w:val="23"/>
          <w:lang w:eastAsia="ar-SA"/>
        </w:rPr>
        <w:t>................................</w:t>
      </w:r>
      <w:r w:rsidRPr="629428FF" w:rsidR="00F3565F">
        <w:rPr>
          <w:rFonts w:ascii="Times New Roman" w:hAnsi="Times New Roman" w:eastAsia="Arial Unicode MS" w:cs="Times New Roman"/>
          <w:sz w:val="23"/>
          <w:szCs w:val="23"/>
          <w:lang w:eastAsia="ar-SA"/>
        </w:rPr>
        <w:t xml:space="preserve"> y, por consiguiente, revocar la Resolución Nro. 238/</w:t>
      </w:r>
      <w:r w:rsidRPr="629428FF" w:rsidR="00F3565F">
        <w:rPr>
          <w:rFonts w:ascii="Times New Roman" w:hAnsi="Times New Roman" w:eastAsia="Arial Unicode MS" w:cs="Times New Roman"/>
          <w:sz w:val="23"/>
          <w:szCs w:val="23"/>
          <w:lang w:eastAsia="ar-SA"/>
        </w:rPr>
        <w:t>24,  que</w:t>
      </w:r>
      <w:r w:rsidRPr="629428FF" w:rsidR="00F3565F">
        <w:rPr>
          <w:rFonts w:ascii="Times New Roman" w:hAnsi="Times New Roman" w:eastAsia="Arial Unicode MS" w:cs="Times New Roman"/>
          <w:sz w:val="23"/>
          <w:szCs w:val="23"/>
          <w:lang w:eastAsia="ar-SA"/>
        </w:rPr>
        <w:t xml:space="preserve"> declaró fundada la reclamación; y en consecuencia declarar el reclamo INFUNDADO, dejando a salvo el derecho del reclamante de acudir ante las instancias que considere pertinentes.</w:t>
      </w:r>
    </w:p>
    <w:p w:rsidRPr="00F3565F" w:rsidR="008B6A09" w:rsidP="00CF28D9" w:rsidRDefault="0091528B" w14:paraId="000A434B" w14:textId="60A80972">
      <w:pPr>
        <w:jc w:val="right"/>
        <w:rPr>
          <w:rFonts w:ascii="Times New Roman" w:hAnsi="Times New Roman" w:cs="Times New Roman"/>
          <w:bCs/>
          <w:sz w:val="23"/>
          <w:szCs w:val="23"/>
        </w:rPr>
      </w:pPr>
      <w:r w:rsidRPr="00F3565F">
        <w:rPr>
          <w:rFonts w:ascii="Times New Roman" w:hAnsi="Times New Roman" w:eastAsia="Arial Unicode MS" w:cs="Times New Roman"/>
          <w:bCs/>
          <w:sz w:val="23"/>
          <w:szCs w:val="23"/>
          <w:lang w:eastAsia="ar-SA"/>
        </w:rPr>
        <w:t xml:space="preserve">Lima, </w:t>
      </w:r>
      <w:r w:rsidRPr="00F3565F" w:rsidR="00F3565F">
        <w:rPr>
          <w:rFonts w:ascii="Times New Roman" w:hAnsi="Times New Roman" w:eastAsia="Arial Unicode MS" w:cs="Times New Roman"/>
          <w:bCs/>
          <w:sz w:val="23"/>
          <w:szCs w:val="23"/>
          <w:lang w:eastAsia="ar-SA"/>
        </w:rPr>
        <w:t>17</w:t>
      </w:r>
      <w:r w:rsidRPr="00F3565F" w:rsidR="00F42C0D">
        <w:rPr>
          <w:rFonts w:ascii="Times New Roman" w:hAnsi="Times New Roman" w:eastAsia="Arial Unicode MS" w:cs="Times New Roman"/>
          <w:bCs/>
          <w:sz w:val="23"/>
          <w:szCs w:val="23"/>
          <w:lang w:eastAsia="ar-SA"/>
        </w:rPr>
        <w:t xml:space="preserve"> </w:t>
      </w:r>
      <w:r w:rsidRPr="00F3565F" w:rsidR="00707C99">
        <w:rPr>
          <w:rFonts w:ascii="Times New Roman" w:hAnsi="Times New Roman" w:eastAsia="Arial Unicode MS" w:cs="Times New Roman"/>
          <w:bCs/>
          <w:sz w:val="23"/>
          <w:szCs w:val="23"/>
          <w:lang w:eastAsia="ar-SA"/>
        </w:rPr>
        <w:t>de</w:t>
      </w:r>
      <w:r w:rsidRPr="00F3565F" w:rsidR="00A02CF2">
        <w:rPr>
          <w:rFonts w:ascii="Times New Roman" w:hAnsi="Times New Roman" w:eastAsia="Arial Unicode MS" w:cs="Times New Roman"/>
          <w:bCs/>
          <w:sz w:val="23"/>
          <w:szCs w:val="23"/>
          <w:lang w:eastAsia="ar-SA"/>
        </w:rPr>
        <w:t xml:space="preserve"> </w:t>
      </w:r>
      <w:r w:rsidRPr="00F3565F" w:rsidR="00AE05B6">
        <w:rPr>
          <w:rFonts w:ascii="Times New Roman" w:hAnsi="Times New Roman" w:eastAsia="Arial Unicode MS" w:cs="Times New Roman"/>
          <w:bCs/>
          <w:sz w:val="23"/>
          <w:szCs w:val="23"/>
          <w:lang w:eastAsia="ar-SA"/>
        </w:rPr>
        <w:t>diciembre</w:t>
      </w:r>
      <w:r w:rsidRPr="00F3565F" w:rsidR="002F478E">
        <w:rPr>
          <w:rFonts w:ascii="Times New Roman" w:hAnsi="Times New Roman" w:eastAsia="Arial Unicode MS" w:cs="Times New Roman"/>
          <w:bCs/>
          <w:sz w:val="23"/>
          <w:szCs w:val="23"/>
          <w:lang w:eastAsia="ar-SA"/>
        </w:rPr>
        <w:t xml:space="preserve"> </w:t>
      </w:r>
      <w:r w:rsidRPr="00F3565F" w:rsidR="00F06498">
        <w:rPr>
          <w:rFonts w:ascii="Times New Roman" w:hAnsi="Times New Roman" w:eastAsia="Arial Unicode MS" w:cs="Times New Roman"/>
          <w:bCs/>
          <w:sz w:val="23"/>
          <w:szCs w:val="23"/>
          <w:lang w:eastAsia="ar-SA"/>
        </w:rPr>
        <w:t>de 202</w:t>
      </w:r>
      <w:r w:rsidRPr="00F3565F" w:rsidR="00543015">
        <w:rPr>
          <w:rFonts w:ascii="Times New Roman" w:hAnsi="Times New Roman" w:eastAsia="Arial Unicode MS" w:cs="Times New Roman"/>
          <w:bCs/>
          <w:sz w:val="23"/>
          <w:szCs w:val="23"/>
          <w:lang w:eastAsia="ar-SA"/>
        </w:rPr>
        <w:t>4</w:t>
      </w:r>
      <w:r w:rsidRPr="00F3565F" w:rsidR="00707C99">
        <w:rPr>
          <w:rFonts w:ascii="Times New Roman" w:hAnsi="Times New Roman" w:eastAsia="Times New Roman" w:cs="Times New Roman"/>
          <w:bCs/>
          <w:sz w:val="23"/>
          <w:szCs w:val="23"/>
          <w:lang w:eastAsia="ar-SA"/>
        </w:rPr>
        <w:t xml:space="preserve"> </w:t>
      </w:r>
    </w:p>
    <w:p w:rsidRPr="00F3565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F3565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Pr="00F3565F" w:rsidR="00A323F4" w:rsidP="00A84003" w:rsidRDefault="00A323F4" w14:paraId="3AB80116" w14:textId="77777777">
      <w:pPr>
        <w:spacing w:after="0" w:line="360" w:lineRule="auto"/>
        <w:jc w:val="both"/>
        <w:rPr>
          <w:rFonts w:ascii="Times New Roman" w:hAnsi="Times New Roman" w:cs="Times New Roman"/>
          <w:b/>
          <w:i/>
          <w:iCs/>
          <w:sz w:val="23"/>
          <w:szCs w:val="23"/>
        </w:rPr>
      </w:pPr>
    </w:p>
    <w:p w:rsidRPr="00F3565F" w:rsidR="00600E7F" w:rsidP="00861BDD" w:rsidRDefault="00600E7F" w14:paraId="7680FD70" w14:textId="40A434AA">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Rolando Eyzaguirre </w:t>
      </w:r>
      <w:proofErr w:type="spellStart"/>
      <w:r w:rsidRPr="00F3565F">
        <w:rPr>
          <w:rFonts w:ascii="Times New Roman" w:hAnsi="Times New Roman" w:cs="Times New Roman"/>
          <w:b/>
          <w:sz w:val="23"/>
          <w:szCs w:val="23"/>
        </w:rPr>
        <w:t>Maccan</w:t>
      </w:r>
      <w:proofErr w:type="spellEnd"/>
      <w:r w:rsidRPr="00F3565F">
        <w:rPr>
          <w:rFonts w:ascii="Times New Roman" w:hAnsi="Times New Roman" w:cs="Times New Roman"/>
          <w:b/>
          <w:sz w:val="23"/>
          <w:szCs w:val="23"/>
        </w:rPr>
        <w:t xml:space="preserve"> – </w:t>
      </w:r>
      <w:proofErr w:type="gramStart"/>
      <w:r w:rsidRPr="00F3565F">
        <w:rPr>
          <w:rFonts w:ascii="Times New Roman" w:hAnsi="Times New Roman" w:cs="Times New Roman"/>
          <w:b/>
          <w:sz w:val="23"/>
          <w:szCs w:val="23"/>
        </w:rPr>
        <w:t>Presidente</w:t>
      </w:r>
      <w:proofErr w:type="gramEnd"/>
    </w:p>
    <w:p w:rsidRPr="00F3565F" w:rsidR="007543CD" w:rsidP="007543CD" w:rsidRDefault="00543015" w14:paraId="220AA7AD" w14:textId="5B40BC33">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María Eugenia Valdez Fernández Baca </w:t>
      </w:r>
      <w:r w:rsidRPr="00F3565F" w:rsidR="007543CD">
        <w:rPr>
          <w:rFonts w:ascii="Times New Roman" w:hAnsi="Times New Roman" w:cs="Times New Roman"/>
          <w:b/>
          <w:sz w:val="23"/>
          <w:szCs w:val="23"/>
        </w:rPr>
        <w:t xml:space="preserve">– </w:t>
      </w:r>
      <w:r w:rsidRPr="00F3565F" w:rsidR="00950F53">
        <w:rPr>
          <w:rFonts w:ascii="Times New Roman" w:hAnsi="Times New Roman" w:cs="Times New Roman"/>
          <w:b/>
          <w:sz w:val="23"/>
          <w:szCs w:val="23"/>
        </w:rPr>
        <w:t>Vocal</w:t>
      </w:r>
    </w:p>
    <w:p w:rsidRPr="00F3565F" w:rsidR="00600E7F" w:rsidP="00600E7F" w:rsidRDefault="00600E7F" w14:paraId="3155F74E" w14:textId="30D2E81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Omar Alfaro Villanueva – Vocal</w:t>
      </w:r>
    </w:p>
    <w:p w:rsidRPr="00F3565F" w:rsidR="007543CD" w:rsidP="007543CD" w:rsidRDefault="007543CD" w14:paraId="69BFE54F" w14:textId="7777777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Gonzalo Abad del Busto – Vocal</w:t>
      </w:r>
    </w:p>
    <w:p w:rsidRPr="00293FC1"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293FC1" w:rsidR="00C6662D" w:rsidP="00C6662D" w:rsidRDefault="00C6662D" w14:paraId="14DFBF1F" w14:textId="77777777">
      <w:pPr>
        <w:spacing w:after="0" w:line="360" w:lineRule="auto"/>
        <w:rPr>
          <w:rFonts w:ascii="Times New Roman" w:hAnsi="Times New Roman" w:cs="Times New Roman"/>
          <w:bCs/>
          <w:sz w:val="24"/>
          <w:szCs w:val="24"/>
        </w:rPr>
      </w:pPr>
    </w:p>
    <w:p w:rsidRPr="005E49B8"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815B8C" w:rsidP="00784355" w:rsidRDefault="00815B8C" w14:paraId="38E8C41E" w14:textId="77777777">
      <w:pPr>
        <w:spacing w:after="0" w:line="240" w:lineRule="auto"/>
      </w:pPr>
      <w:r w:rsidRPr="005E49B8">
        <w:separator/>
      </w:r>
    </w:p>
  </w:endnote>
  <w:endnote w:type="continuationSeparator" w:id="0">
    <w:p w:rsidRPr="005E49B8" w:rsidR="00815B8C" w:rsidP="00784355" w:rsidRDefault="00815B8C" w14:paraId="465547D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815B8C" w:rsidP="00784355" w:rsidRDefault="00815B8C" w14:paraId="4C92A71E" w14:textId="77777777">
      <w:pPr>
        <w:spacing w:after="0" w:line="240" w:lineRule="auto"/>
      </w:pPr>
      <w:r w:rsidRPr="005E49B8">
        <w:separator/>
      </w:r>
    </w:p>
  </w:footnote>
  <w:footnote w:type="continuationSeparator" w:id="0">
    <w:p w:rsidRPr="005E49B8" w:rsidR="00815B8C" w:rsidP="00784355" w:rsidRDefault="00815B8C" w14:paraId="037FDE1C"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483899D"/>
    <w:rsid w:val="0C31E338"/>
    <w:rsid w:val="0D717E6D"/>
    <w:rsid w:val="2FC41642"/>
    <w:rsid w:val="4F66A586"/>
    <w:rsid w:val="629428FF"/>
    <w:rsid w:val="71527572"/>
    <w:rsid w:val="747EB46B"/>
    <w:rsid w:val="7F76A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00CE338-AE86-4C04-B648-A305B355F861}"/>
</file>

<file path=customXml/itemProps3.xml><?xml version="1.0" encoding="utf-8"?>
<ds:datastoreItem xmlns:ds="http://schemas.openxmlformats.org/officeDocument/2006/customXml" ds:itemID="{4AF8CE47-4938-46BD-9F49-251685B68C96}"/>
</file>

<file path=customXml/itemProps4.xml><?xml version="1.0" encoding="utf-8"?>
<ds:datastoreItem xmlns:ds="http://schemas.openxmlformats.org/officeDocument/2006/customXml" ds:itemID="{DE52DF82-5712-42DD-A6A0-15BE6BAEE0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432</cp:revision>
  <cp:lastPrinted>2024-12-17T20:51:00Z</cp:lastPrinted>
  <dcterms:created xsi:type="dcterms:W3CDTF">2023-02-14T22:37:00Z</dcterms:created>
  <dcterms:modified xsi:type="dcterms:W3CDTF">2025-12-15T20:04:30Z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