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77AB4" w:rsidR="005B4DB2" w:rsidP="00D77AB4" w:rsidRDefault="00201C0D" w14:paraId="2EDD53BA" w14:textId="23B3969C">
      <w:pPr>
        <w:spacing w:after="0" w:line="240" w:lineRule="auto"/>
        <w:jc w:val="center"/>
        <w:rPr>
          <w:rFonts w:ascii="Times New Roman" w:hAnsi="Times New Roman" w:cs="Times New Roman"/>
          <w:b/>
          <w:sz w:val="24"/>
          <w:szCs w:val="24"/>
          <w:lang w:eastAsia="ar-SA"/>
        </w:rPr>
      </w:pPr>
      <w:r w:rsidRPr="00D77AB4">
        <w:rPr>
          <w:rFonts w:ascii="Times New Roman" w:hAnsi="Times New Roman" w:cs="Times New Roman"/>
          <w:b/>
          <w:sz w:val="24"/>
          <w:szCs w:val="24"/>
          <w:lang w:eastAsia="ar-SA"/>
        </w:rPr>
        <w:t xml:space="preserve">RESOLUCIÓN DE RECURSO IMPUGNATIVO </w:t>
      </w:r>
      <w:proofErr w:type="spellStart"/>
      <w:r w:rsidRPr="00D77AB4" w:rsidR="00707C99">
        <w:rPr>
          <w:rFonts w:ascii="Times New Roman" w:hAnsi="Times New Roman" w:cs="Times New Roman"/>
          <w:b/>
          <w:sz w:val="24"/>
          <w:szCs w:val="24"/>
          <w:lang w:eastAsia="ar-SA"/>
        </w:rPr>
        <w:t>N°</w:t>
      </w:r>
      <w:proofErr w:type="spellEnd"/>
      <w:r w:rsidRPr="00D77AB4" w:rsidR="00707C99">
        <w:rPr>
          <w:rFonts w:ascii="Times New Roman" w:hAnsi="Times New Roman" w:cs="Times New Roman"/>
          <w:b/>
          <w:sz w:val="24"/>
          <w:szCs w:val="24"/>
          <w:lang w:eastAsia="ar-SA"/>
        </w:rPr>
        <w:t xml:space="preserve"> </w:t>
      </w:r>
      <w:r w:rsidRPr="00D77AB4" w:rsidR="00516293">
        <w:rPr>
          <w:rFonts w:ascii="Times New Roman" w:hAnsi="Times New Roman" w:cs="Times New Roman"/>
          <w:b/>
          <w:sz w:val="24"/>
          <w:szCs w:val="24"/>
          <w:lang w:eastAsia="ar-SA"/>
        </w:rPr>
        <w:t>0</w:t>
      </w:r>
      <w:r w:rsidRPr="00D77AB4" w:rsidR="00560CBC">
        <w:rPr>
          <w:rFonts w:ascii="Times New Roman" w:hAnsi="Times New Roman" w:cs="Times New Roman"/>
          <w:b/>
          <w:sz w:val="24"/>
          <w:szCs w:val="24"/>
          <w:lang w:eastAsia="ar-SA"/>
        </w:rPr>
        <w:t>5</w:t>
      </w:r>
      <w:r w:rsidRPr="00D77AB4" w:rsidR="00EA2DD9">
        <w:rPr>
          <w:rFonts w:ascii="Times New Roman" w:hAnsi="Times New Roman" w:cs="Times New Roman"/>
          <w:b/>
          <w:sz w:val="24"/>
          <w:szCs w:val="24"/>
          <w:lang w:eastAsia="ar-SA"/>
        </w:rPr>
        <w:t>1</w:t>
      </w:r>
      <w:r w:rsidRPr="00D77AB4" w:rsidR="00C671F5">
        <w:rPr>
          <w:rFonts w:ascii="Times New Roman" w:hAnsi="Times New Roman" w:cs="Times New Roman"/>
          <w:b/>
          <w:sz w:val="24"/>
          <w:szCs w:val="24"/>
          <w:lang w:eastAsia="ar-SA"/>
        </w:rPr>
        <w:t>/2</w:t>
      </w:r>
      <w:r w:rsidRPr="00D77AB4" w:rsidR="00543015">
        <w:rPr>
          <w:rFonts w:ascii="Times New Roman" w:hAnsi="Times New Roman" w:cs="Times New Roman"/>
          <w:b/>
          <w:sz w:val="24"/>
          <w:szCs w:val="24"/>
          <w:lang w:eastAsia="ar-SA"/>
        </w:rPr>
        <w:t>4</w:t>
      </w:r>
    </w:p>
    <w:p w:rsidRPr="00D77AB4" w:rsidR="005B4DB2" w:rsidP="00D77AB4" w:rsidRDefault="005B4DB2" w14:paraId="20E14B0C" w14:textId="3F4B7B39">
      <w:pPr>
        <w:jc w:val="both"/>
        <w:outlineLvl w:val="0"/>
        <w:rPr>
          <w:rFonts w:ascii="Times New Roman" w:hAnsi="Times New Roman" w:cs="Times New Roman"/>
          <w:b/>
          <w:bCs/>
          <w:sz w:val="24"/>
          <w:szCs w:val="24"/>
          <w:lang w:val="es-MX"/>
        </w:rPr>
      </w:pPr>
      <w:r w:rsidRPr="00D77AB4">
        <w:rPr>
          <w:rFonts w:ascii="Times New Roman" w:hAnsi="Times New Roman" w:cs="Times New Roman"/>
          <w:b/>
          <w:bCs/>
          <w:sz w:val="24"/>
          <w:szCs w:val="24"/>
          <w:lang w:val="es-MX"/>
        </w:rPr>
        <w:t>VISTOS:</w:t>
      </w:r>
    </w:p>
    <w:p w:rsidR="005B4DB2" w:rsidP="00D77AB4" w:rsidRDefault="005B4DB2" w14:paraId="3214D7D4" w14:textId="61018E97">
      <w:pPr>
        <w:pStyle w:val="Default"/>
        <w:jc w:val="both"/>
        <w:rPr>
          <w:rFonts w:ascii="Times New Roman" w:hAnsi="Times New Roman" w:cs="Times New Roman"/>
        </w:rPr>
      </w:pPr>
      <w:r w:rsidRPr="7D563EFA" w:rsidR="005B4DB2">
        <w:rPr>
          <w:rFonts w:ascii="Times New Roman" w:hAnsi="Times New Roman" w:cs="Times New Roman"/>
        </w:rPr>
        <w:t xml:space="preserve">El recurso de impugnación presentado por </w:t>
      </w:r>
      <w:r w:rsidRPr="7D563EFA" w:rsidR="777978F4">
        <w:rPr>
          <w:rFonts w:ascii="Times New Roman" w:hAnsi="Times New Roman" w:cs="Times New Roman"/>
          <w:b w:val="1"/>
          <w:bCs w:val="1"/>
          <w:lang w:val="es-ES"/>
        </w:rPr>
        <w:t>............................</w:t>
      </w:r>
      <w:r w:rsidRPr="7D563EFA" w:rsidR="005B4DB2">
        <w:rPr>
          <w:rFonts w:ascii="Times New Roman" w:hAnsi="Times New Roman" w:cs="Times New Roman"/>
          <w:b w:val="1"/>
          <w:bCs w:val="1"/>
          <w:lang w:val="es-ES"/>
        </w:rPr>
        <w:t xml:space="preserve"> </w:t>
      </w:r>
      <w:r w:rsidRPr="7D563EFA" w:rsidR="005B4DB2">
        <w:rPr>
          <w:rFonts w:ascii="Times New Roman" w:hAnsi="Times New Roman" w:cs="Times New Roman"/>
        </w:rPr>
        <w:t xml:space="preserve">respecto de la Resolución Nro. 176/24, expedida por esta Defensoría del Asegurado (DEFASEG), conforme a la cual se declaró FUNDADA la reclamación interpuesta por </w:t>
      </w:r>
      <w:r w:rsidRPr="7D563EFA" w:rsidR="4720A44A">
        <w:rPr>
          <w:rFonts w:ascii="Times New Roman" w:hAnsi="Times New Roman" w:cs="Times New Roman"/>
          <w:b w:val="1"/>
          <w:bCs w:val="1"/>
          <w:lang w:val="es-ES"/>
        </w:rPr>
        <w:t>...............................................</w:t>
      </w:r>
      <w:r w:rsidRPr="7D563EFA" w:rsidR="005B4DB2">
        <w:rPr>
          <w:rFonts w:ascii="Times New Roman" w:hAnsi="Times New Roman" w:cs="Times New Roman"/>
          <w:b w:val="1"/>
          <w:bCs w:val="1"/>
          <w:lang w:val="es-ES"/>
        </w:rPr>
        <w:t xml:space="preserve"> </w:t>
      </w:r>
      <w:r w:rsidRPr="7D563EFA" w:rsidR="005B4DB2">
        <w:rPr>
          <w:rFonts w:ascii="Times New Roman" w:hAnsi="Times New Roman" w:cs="Times New Roman"/>
        </w:rPr>
        <w:t xml:space="preserve">respecto del </w:t>
      </w:r>
      <w:r w:rsidRPr="7D563EFA" w:rsidR="005B4DB2">
        <w:rPr>
          <w:rFonts w:ascii="Times New Roman" w:hAnsi="Times New Roman" w:cs="Times New Roman"/>
          <w:b w:val="1"/>
          <w:bCs w:val="1"/>
          <w:lang w:val="es-ES"/>
        </w:rPr>
        <w:t xml:space="preserve">SEGURO INCENDIO MULTIRIESGO – PÓLIZA No </w:t>
      </w:r>
      <w:r w:rsidRPr="7D563EFA" w:rsidR="72236811">
        <w:rPr>
          <w:rFonts w:ascii="Times New Roman" w:hAnsi="Times New Roman" w:cs="Times New Roman"/>
          <w:b w:val="1"/>
          <w:bCs w:val="1"/>
          <w:lang w:val="es-ES"/>
        </w:rPr>
        <w:t>............................</w:t>
      </w:r>
      <w:bookmarkStart w:name="OLE_LINK2" w:id="0"/>
      <w:r w:rsidRPr="7D563EFA" w:rsidR="005B4DB2">
        <w:rPr>
          <w:rFonts w:ascii="Times New Roman" w:hAnsi="Times New Roman" w:cs="Times New Roman"/>
        </w:rPr>
        <w:t>.</w:t>
      </w:r>
      <w:bookmarkEnd w:id="0"/>
    </w:p>
    <w:p w:rsidRPr="00D77AB4" w:rsidR="00D77AB4" w:rsidP="00D77AB4" w:rsidRDefault="00D77AB4" w14:paraId="079D5024" w14:textId="77777777">
      <w:pPr>
        <w:pStyle w:val="Default"/>
        <w:jc w:val="both"/>
        <w:rPr>
          <w:rFonts w:ascii="Times New Roman" w:hAnsi="Times New Roman" w:cs="Times New Roman"/>
        </w:rPr>
      </w:pPr>
    </w:p>
    <w:p w:rsidRPr="00D77AB4" w:rsidR="005B4DB2" w:rsidP="005B4DB2" w:rsidRDefault="005B4DB2" w14:paraId="64A8A22D" w14:textId="7C1CD58F">
      <w:pPr>
        <w:pStyle w:val="Default"/>
        <w:jc w:val="both"/>
        <w:rPr>
          <w:rFonts w:ascii="Times New Roman" w:hAnsi="Times New Roman" w:cs="Times New Roman"/>
        </w:rPr>
      </w:pPr>
      <w:r w:rsidRPr="7D563EFA" w:rsidR="005B4DB2">
        <w:rPr>
          <w:rFonts w:ascii="Times New Roman" w:hAnsi="Times New Roman" w:cs="Times New Roman"/>
        </w:rPr>
        <w:t xml:space="preserve">Que, el indicado recurso se sustenta resumidamente en lo siguiente: (1) se ha incurrido en un error de interpretación del artículo 93 de la Ley del Contrato de Seguro, que regula la cláusula de salvamento, lo que ha traído como consecuencia el nacimiento de una obligación que no estaría contemplada en el contrato de seguro ni en la Ley del Contrato de Seguro, al haber sido esta </w:t>
      </w:r>
      <w:r w:rsidRPr="7D563EFA" w:rsidR="005B4DB2">
        <w:rPr>
          <w:rFonts w:ascii="Times New Roman" w:hAnsi="Times New Roman" w:cs="Times New Roman"/>
          <w:lang w:val="es-ES"/>
        </w:rPr>
        <w:t xml:space="preserve">última distorsionada por la referida lectura anti técnica; (2) </w:t>
      </w:r>
      <w:r w:rsidRPr="7D563EFA" w:rsidR="005B4DB2">
        <w:rPr>
          <w:rFonts w:ascii="Times New Roman" w:hAnsi="Times New Roman" w:cs="Times New Roman"/>
        </w:rPr>
        <w:t xml:space="preserve">este dispositivo establece que, en caso de siniestro, el asegurado tiene la obligación de tomar las medidas necesarias y razonables para evitar o disminuir el daño, incluso si esto implica incurrir en gastos adicionales; siendo el caso que estos gastos, en principio, deberían ser reembolsados por el asegurador, ya que están destinados a proteger o mitigar el riesgo cubierto por la póliza; (3)  el artículo 93° de la Ley del Contrato de Seguro impone al asegurado la responsabilidad de actuar de manera diligente para reducir el impacto del siniestro, y, por su parte, el asegurador está obligado a cubrir los costos que resulten de este tipo de acciones, siempre </w:t>
      </w:r>
      <w:r w:rsidRPr="7D563EFA" w:rsidR="005B4DB2">
        <w:rPr>
          <w:rFonts w:ascii="Times New Roman" w:hAnsi="Times New Roman" w:cs="Times New Roman"/>
          <w:lang w:val="es-ES"/>
        </w:rPr>
        <w:t xml:space="preserve">que sean necesarios y justificados; (4) </w:t>
      </w:r>
      <w:r w:rsidRPr="7D563EFA" w:rsidR="005B4DB2">
        <w:rPr>
          <w:rFonts w:ascii="Times New Roman" w:hAnsi="Times New Roman" w:cs="Times New Roman"/>
        </w:rPr>
        <w:t xml:space="preserve">dicha previsión solo puede darse en situaciones de inminencia del perjuicio, hecho que en el presente caso no ha acontecido, pues en primer lugar ha mediado un tiempo necesario entre la primera afectación del cerco original y la implementación del cerco prefabricado y en segundo lugar debido a que </w:t>
      </w:r>
      <w:r w:rsidRPr="7D563EFA" w:rsidR="618DBE89">
        <w:rPr>
          <w:rFonts w:ascii="Times New Roman" w:hAnsi="Times New Roman" w:cs="Times New Roman"/>
        </w:rPr>
        <w:t>...............................................</w:t>
      </w:r>
      <w:r w:rsidRPr="7D563EFA" w:rsidR="005B4DB2">
        <w:rPr>
          <w:rFonts w:ascii="Times New Roman" w:hAnsi="Times New Roman" w:cs="Times New Roman"/>
        </w:rPr>
        <w:t xml:space="preserve"> tomó por propia decisión el costo de dicha implementación fuera del ámbito de la </w:t>
      </w:r>
      <w:r w:rsidRPr="7D563EFA" w:rsidR="005B4DB2">
        <w:rPr>
          <w:rFonts w:ascii="Times New Roman" w:hAnsi="Times New Roman" w:cs="Times New Roman"/>
          <w:lang w:val="es-ES"/>
        </w:rPr>
        <w:t xml:space="preserve">inminencia del eventual daño, pues este no era seguro; (5) </w:t>
      </w:r>
      <w:r w:rsidRPr="7D563EFA" w:rsidR="005B4DB2">
        <w:rPr>
          <w:rFonts w:ascii="Times New Roman" w:hAnsi="Times New Roman" w:cs="Times New Roman"/>
        </w:rPr>
        <w:t xml:space="preserve">dado que la instalación del cerco no fue consecuencia directa de un siniestro amparado por la póliza de seguro, luego, acontece que el artículo 93° de la Ley del Contrato de Seguro no deviene en relevante respecto al presente caso ya que no hubo un riesgo inminente o daño relacionado con el siniestro, y en tanto el perjuicio del cerco original es independiente de la decisión de implementación; (6) la instalación del cerco no fue una medida necesaria para mitigar un daño derivado de un siniestro, y, por lo tanto, no corresponde su reembolso bajo el artículo 93 de la Ley del Contrato de Seguro; (7) el dispositivo en cuestión no produce efectos para situaciones en las que el gasto no está vinculado directamente a la mitigación o prevención de un daño derivado de un siniestro; </w:t>
      </w:r>
    </w:p>
    <w:p w:rsidRPr="00D77AB4" w:rsidR="005B4DB2" w:rsidP="005B4DB2" w:rsidRDefault="005B4DB2" w14:paraId="34628119" w14:textId="77777777">
      <w:pPr>
        <w:pStyle w:val="Default"/>
        <w:jc w:val="both"/>
        <w:rPr>
          <w:rFonts w:ascii="Times New Roman" w:hAnsi="Times New Roman" w:cs="Times New Roman"/>
        </w:rPr>
      </w:pPr>
    </w:p>
    <w:p w:rsidR="005B4DB2" w:rsidP="00160C79" w:rsidRDefault="005B4DB2" w14:paraId="7FF9F4CD" w14:textId="14018EE5">
      <w:pPr>
        <w:pStyle w:val="Textoindependiente"/>
        <w:rPr>
          <w:lang w:val="es-PE"/>
        </w:rPr>
      </w:pPr>
      <w:r w:rsidR="005B4DB2">
        <w:rPr/>
        <w:t xml:space="preserve">Que, el reclamante absolvió el traslado del recurso interpuesto, manifestando en síntesis lo siguiente: (1) conforme al </w:t>
      </w:r>
      <w:r w:rsidRPr="7D563EFA" w:rsidR="005B4DB2">
        <w:rPr>
          <w:lang w:val="es-PE"/>
        </w:rPr>
        <w:t xml:space="preserve">concepto de “Salvamento”,  el asegurado tiene el derecho y deber de tomar todas las medidas necesarias y razonables para evitar o disminuir el daño, incluso si esto implica incurrir en gastos adicionales, siendo el caso que estos gastos, en principio, deberían ser reembolsados por el asegurador, ya que están destinados a proteger o mitigar el riesgo cubierto por la póliza; (2) el siniestro inicial se realizó el 24 de enero de 2023 (destrucción del cerco del fundo), a los dos días del inicio del Paro o Huelga general con corte de carretera en la entrada a la ciudad de ICA, es más el piquete de los manifestantes estaba justo frente a la puerta principal del Fundo o predio. Una vez quemado el cerco sólo había 5 metros entre el piquete y la puerta de la bodega del fundo, donde se guardaban los activos valorizados en 350,000 dólares, por lo cual había que proteger de inmediato porque los actos vandálicos recién empezaban y no se sabía, en ese momento cuando iban a durar; (3) en esa ventana de tiempo es que se protegió la bodega con el cerco prefabricado y se pudo contener hasta en dos oportunidades los </w:t>
      </w:r>
      <w:r w:rsidRPr="7D563EFA" w:rsidR="005B4DB2">
        <w:rPr>
          <w:lang w:val="es-PE"/>
        </w:rPr>
        <w:t xml:space="preserve">disturbios, impidiendo el ingreso de los manifestantes a robar los activos de la empresa, como si lo hicieron cuando se quemó el cerco robando activos menores, que se declararon en el siniestro, y dándole una golpiza a los trabajadores que defendían su centro de trabajo; (4) el evento (revuelta social) duró cerca de 20 días y en el día 2 se quemó el cerco, por lo que se tuvo que proteger la Bodega del Fundo para asegurar los activos asegurados en 350,000 dólares, que felizmente en dos oportunidades que se generaron actos vandálicos pudimos superarlos gracias al cerco prefabricado; (5) no es cierto que </w:t>
      </w:r>
      <w:r w:rsidRPr="7D563EFA" w:rsidR="1FDF07CA">
        <w:rPr>
          <w:lang w:val="es-PE"/>
        </w:rPr>
        <w:t>...............................................</w:t>
      </w:r>
      <w:r w:rsidRPr="7D563EFA" w:rsidR="005B4DB2">
        <w:rPr>
          <w:lang w:val="es-PE"/>
        </w:rPr>
        <w:t xml:space="preserve"> tomó la decisión de instalar el cerco prefabricado de manera unilateral, ya que al día siguiente del siniestro se contactó al Sr. </w:t>
      </w:r>
      <w:r w:rsidRPr="7D563EFA" w:rsidR="7241DDE3">
        <w:rPr>
          <w:lang w:val="es-PE"/>
        </w:rPr>
        <w:t>...............................................</w:t>
      </w:r>
      <w:r w:rsidRPr="7D563EFA" w:rsidR="005B4DB2">
        <w:rPr>
          <w:lang w:val="es-PE"/>
        </w:rPr>
        <w:t xml:space="preserve">, que se presentó como parte del seguro y coordinó para instalar de inmediato el cerco para proteger los activos asegurados, como se pudo probar en los chats entre la compañía y el Sr. </w:t>
      </w:r>
      <w:r w:rsidRPr="7D563EFA" w:rsidR="0DA35664">
        <w:rPr>
          <w:lang w:val="es-PE"/>
        </w:rPr>
        <w:t>......................</w:t>
      </w:r>
      <w:r w:rsidRPr="7D563EFA" w:rsidR="005B4DB2">
        <w:rPr>
          <w:lang w:val="es-PE"/>
        </w:rPr>
        <w:t xml:space="preserve">; (6) el Señor </w:t>
      </w:r>
      <w:r w:rsidRPr="7D563EFA" w:rsidR="0DA35664">
        <w:rPr>
          <w:lang w:val="es-PE"/>
        </w:rPr>
        <w:t>......................</w:t>
      </w:r>
      <w:r w:rsidRPr="7D563EFA" w:rsidR="005B4DB2">
        <w:rPr>
          <w:lang w:val="es-PE"/>
        </w:rPr>
        <w:t xml:space="preserve"> nunca realizó la inspección al predio porque por el cierre de la carretera no podía viajar desde Lima, pero se pudo realizar vía </w:t>
      </w:r>
      <w:r w:rsidRPr="7D563EFA" w:rsidR="005B4DB2">
        <w:rPr>
          <w:lang w:val="es-PE"/>
        </w:rPr>
        <w:t>zoom</w:t>
      </w:r>
      <w:r w:rsidRPr="7D563EFA" w:rsidR="005B4DB2">
        <w:rPr>
          <w:lang w:val="es-PE"/>
        </w:rPr>
        <w:t xml:space="preserve"> desde el fundo y se pudo validar que los activos estaban expuestos a nuevos actos vandálicos durante el paro nacional, insisto con el piquete de los manifestantes al frente de la puerta de entrada del fundo; (7) existen dos mensajes de correo tanto del </w:t>
      </w:r>
      <w:r w:rsidRPr="7D563EFA" w:rsidR="005B4DB2">
        <w:rPr>
          <w:lang w:val="es-PE"/>
        </w:rPr>
        <w:t>Broker</w:t>
      </w:r>
      <w:r w:rsidRPr="7D563EFA" w:rsidR="005B4DB2">
        <w:rPr>
          <w:lang w:val="es-PE"/>
        </w:rPr>
        <w:t xml:space="preserve"> de seguros como del Sr. </w:t>
      </w:r>
      <w:r w:rsidRPr="7D563EFA" w:rsidR="7241DDE3">
        <w:rPr>
          <w:lang w:val="es-PE"/>
        </w:rPr>
        <w:t>...............................................</w:t>
      </w:r>
      <w:r w:rsidRPr="7D563EFA" w:rsidR="005B4DB2">
        <w:rPr>
          <w:lang w:val="es-PE"/>
        </w:rPr>
        <w:t xml:space="preserve">. En el primero el mismo </w:t>
      </w:r>
      <w:r w:rsidRPr="7D563EFA" w:rsidR="005B4DB2">
        <w:rPr>
          <w:lang w:val="es-PE"/>
        </w:rPr>
        <w:t>Broker</w:t>
      </w:r>
      <w:r w:rsidRPr="7D563EFA" w:rsidR="005B4DB2">
        <w:rPr>
          <w:lang w:val="es-PE"/>
        </w:rPr>
        <w:t xml:space="preserve"> de Seguros le sustenta que el cerco colocado por el cliente tenía la finalidad de evitar un daño mayor, debido a que la zona estuvo un buen tiempo convulsionada y si no se colocaba este tipo de protección hubieran vuelto a ingresar los manifestantes y los daños hubieses sido considerables. </w:t>
      </w:r>
      <w:r w:rsidRPr="7D563EFA" w:rsidR="005B4DB2">
        <w:rPr>
          <w:lang w:val="es-PE"/>
        </w:rPr>
        <w:t xml:space="preserve">Este pedido del bróker de seguros, que de hecho estuvo de acuerdo, tampoco fue tomado en cuenta por </w:t>
      </w:r>
      <w:r w:rsidRPr="7D563EFA" w:rsidR="331612D6">
        <w:rPr>
          <w:lang w:val="es-PE"/>
        </w:rPr>
        <w:t>......................</w:t>
      </w:r>
      <w:r w:rsidRPr="7D563EFA" w:rsidR="005B4DB2">
        <w:rPr>
          <w:lang w:val="es-PE"/>
        </w:rPr>
        <w:t>.</w:t>
      </w:r>
      <w:r w:rsidRPr="7D563EFA" w:rsidR="005B4DB2">
        <w:rPr>
          <w:lang w:val="es-PE"/>
        </w:rPr>
        <w:t xml:space="preserve"> En el segundo correo presentado se refiere a un mensaje del Sr. </w:t>
      </w:r>
      <w:r w:rsidRPr="7D563EFA" w:rsidR="0DA35664">
        <w:rPr>
          <w:lang w:val="es-PE"/>
        </w:rPr>
        <w:t>......................</w:t>
      </w:r>
      <w:r w:rsidRPr="7D563EFA" w:rsidR="005B4DB2">
        <w:rPr>
          <w:lang w:val="es-PE"/>
        </w:rPr>
        <w:t xml:space="preserve"> donde menciona “” que debemos actuar de forma diligente ante el siniestro…..”, lo que implica la instalación del cerco para proteger los activos asegurados que alcanzan los 350,000 dólares; (8) El siniestro de la destrucción del cerco del predio generó que ante la mantención del riesgo inminente de otro siniestro fatal (entre los piquetes de manifestantes y la bodega había 5 metros sin ninguna protección), era necesario proteger los activos asegurados en 350,000 dólares instalando, de forma inmediata, un cerco que reemplace al destruido y que nos proteja, lo cual se cumplió toda vez que luego de la instalación del cerco prefabricado hubieron dos revueltas adicionales donde no tuvimos ningún daño que lamentar; (9) es falso que la instalación del cerco no fue una medida necesaria para mitigar un daño derivado de un siniestro; (10) el siniestro no es un solo acto sino es una ventana de tiempo de 20 días en los que se producían actos vandálicos frente a nuestro predio y que durante ese lapso de tiempo se tuvo el riesgo inminente de un incendio total de la bodega donde se guardaban los activos asegurados por 350,000 dólares; </w:t>
      </w:r>
    </w:p>
    <w:p w:rsidRPr="00160C79" w:rsidR="00160C79" w:rsidP="00160C79" w:rsidRDefault="00160C79" w14:paraId="37302938" w14:textId="77777777">
      <w:pPr>
        <w:pStyle w:val="Textoindependiente"/>
        <w:rPr>
          <w:lang w:val="es-PE"/>
        </w:rPr>
      </w:pPr>
    </w:p>
    <w:p w:rsidRPr="00D77AB4" w:rsidR="005B4DB2" w:rsidP="005B4DB2" w:rsidRDefault="005B4DB2" w14:paraId="05AC4265" w14:textId="785E24F7">
      <w:pPr>
        <w:jc w:val="both"/>
        <w:rPr>
          <w:rFonts w:ascii="Times New Roman" w:hAnsi="Times New Roman" w:cs="Times New Roman"/>
          <w:sz w:val="24"/>
          <w:szCs w:val="24"/>
        </w:rPr>
      </w:pPr>
      <w:r w:rsidRPr="00D77AB4">
        <w:rPr>
          <w:rFonts w:ascii="Times New Roman" w:hAnsi="Times New Roman" w:cs="Times New Roman"/>
          <w:b/>
          <w:sz w:val="24"/>
          <w:szCs w:val="24"/>
          <w:u w:val="single"/>
        </w:rPr>
        <w:t>PRIMERO</w:t>
      </w:r>
      <w:r w:rsidRPr="00D77AB4">
        <w:rPr>
          <w:rFonts w:ascii="Times New Roman" w:hAnsi="Times New Roman" w:cs="Times New Roman"/>
          <w:b/>
          <w:sz w:val="24"/>
          <w:szCs w:val="24"/>
        </w:rPr>
        <w:t>:</w:t>
      </w:r>
      <w:r w:rsidRPr="00D77AB4">
        <w:rPr>
          <w:rFonts w:ascii="Times New Roman" w:hAnsi="Times New Roman" w:cs="Times New Roman"/>
          <w:sz w:val="24"/>
          <w:szCs w:val="24"/>
        </w:rPr>
        <w:t xml:space="preserve"> El artículo 10 (Procedimiento) del Reglamento de la DEFASEG </w:t>
      </w:r>
      <w:r w:rsidRPr="00D77AB4">
        <w:rPr>
          <w:rFonts w:ascii="Times New Roman" w:hAnsi="Times New Roman" w:eastAsia="Arial Unicode MS" w:cs="Times New Roman"/>
          <w:sz w:val="24"/>
          <w:szCs w:val="24"/>
        </w:rPr>
        <w:t>(http://www.defaseg.com.pe/reglamento)</w:t>
      </w:r>
      <w:r w:rsidRPr="00D77AB4">
        <w:rPr>
          <w:rFonts w:ascii="Times New Roman" w:hAnsi="Times New Roman" w:cs="Times New Roman"/>
          <w:sz w:val="24"/>
          <w:szCs w:val="24"/>
        </w:rPr>
        <w:t xml:space="preserve"> establece que cualquiera de las partes que no se encuentre de acuerdo con la decisión adoptada por el colegiado sobre la materia reclamada, podrá impugnarla, interponiendo el correspondiente recurso de impugnación.  </w:t>
      </w:r>
    </w:p>
    <w:p w:rsidRPr="00D77AB4" w:rsidR="005B4DB2" w:rsidP="00CC6398" w:rsidRDefault="005B4DB2" w14:paraId="748EF78F" w14:textId="4F33B75A">
      <w:pPr>
        <w:jc w:val="both"/>
        <w:rPr>
          <w:rFonts w:ascii="Times New Roman" w:hAnsi="Times New Roman" w:cs="Times New Roman"/>
          <w:sz w:val="24"/>
          <w:szCs w:val="24"/>
        </w:rPr>
      </w:pPr>
      <w:r w:rsidRPr="00D77AB4">
        <w:rPr>
          <w:rFonts w:ascii="Times New Roman" w:hAnsi="Times New Roman" w:cs="Times New Roman"/>
          <w:sz w:val="24"/>
          <w:szCs w:val="24"/>
        </w:rPr>
        <w:t>Conforme a ello, en el caso concreto, al interponer el recurso de impugnación la aseguradora ha ejercido formalmente su derecho a contradecir lo resuelto por la Defensoría.</w:t>
      </w:r>
    </w:p>
    <w:p w:rsidRPr="00D77AB4" w:rsidR="005B4DB2" w:rsidP="005B4DB2" w:rsidRDefault="005B4DB2" w14:paraId="69D48DBF" w14:textId="3923B638">
      <w:pPr>
        <w:jc w:val="both"/>
        <w:rPr>
          <w:rFonts w:ascii="Times New Roman" w:hAnsi="Times New Roman" w:cs="Times New Roman"/>
          <w:sz w:val="24"/>
          <w:szCs w:val="24"/>
        </w:rPr>
      </w:pPr>
      <w:r w:rsidRPr="7D563EFA" w:rsidR="005B4DB2">
        <w:rPr>
          <w:rFonts w:ascii="Times New Roman" w:hAnsi="Times New Roman" w:cs="Times New Roman"/>
          <w:b w:val="1"/>
          <w:bCs w:val="1"/>
          <w:sz w:val="24"/>
          <w:szCs w:val="24"/>
          <w:u w:val="single"/>
        </w:rPr>
        <w:t>SEGUNDO</w:t>
      </w:r>
      <w:r w:rsidRPr="7D563EFA" w:rsidR="005B4DB2">
        <w:rPr>
          <w:rFonts w:ascii="Times New Roman" w:hAnsi="Times New Roman" w:cs="Times New Roman"/>
          <w:b w:val="1"/>
          <w:bCs w:val="1"/>
          <w:sz w:val="24"/>
          <w:szCs w:val="24"/>
        </w:rPr>
        <w:t>:</w:t>
      </w:r>
      <w:r w:rsidRPr="7D563EFA" w:rsidR="005B4DB2">
        <w:rPr>
          <w:rFonts w:ascii="Times New Roman" w:hAnsi="Times New Roman" w:cs="Times New Roman"/>
          <w:sz w:val="24"/>
          <w:szCs w:val="24"/>
        </w:rPr>
        <w:t xml:space="preserve"> Que el recurso de impugnación presentado por la aseguradora se sustenta en discrepar respecto a las razones por las que se declaró fundada la reclamación, así como por identificar que en el presente caso la instalación del cerco no fue consecuencia directa de un siniestro amparado por la póliza de seguro y que no hubo un riesgo inminente relacionado con el siniestro, por lo que a su criterio </w:t>
      </w:r>
      <w:r w:rsidRPr="7D563EFA" w:rsidR="331612D6">
        <w:rPr>
          <w:rFonts w:ascii="Times New Roman" w:hAnsi="Times New Roman" w:cs="Times New Roman"/>
          <w:sz w:val="24"/>
          <w:szCs w:val="24"/>
        </w:rPr>
        <w:t>......................</w:t>
      </w:r>
      <w:r w:rsidRPr="7D563EFA" w:rsidR="005B4DB2">
        <w:rPr>
          <w:rFonts w:ascii="Times New Roman" w:hAnsi="Times New Roman" w:cs="Times New Roman"/>
          <w:sz w:val="24"/>
          <w:szCs w:val="24"/>
        </w:rPr>
        <w:t xml:space="preserve"> asume que existe una interpretación errónea del</w:t>
      </w:r>
      <w:r w:rsidRPr="7D563EFA" w:rsidR="005B4DB2">
        <w:rPr>
          <w:rFonts w:ascii="Times New Roman" w:hAnsi="Times New Roman" w:cs="Times New Roman"/>
          <w:sz w:val="24"/>
          <w:szCs w:val="24"/>
        </w:rPr>
        <w:t xml:space="preserve"> artículo 93 de la Ley del Contrato de Seguro.</w:t>
      </w:r>
    </w:p>
    <w:p w:rsidRPr="00D77AB4" w:rsidR="005B4DB2" w:rsidP="005B4DB2" w:rsidRDefault="005B4DB2" w14:paraId="5BE6A0E6" w14:textId="10B2853A">
      <w:pPr>
        <w:jc w:val="both"/>
        <w:rPr>
          <w:rFonts w:ascii="Times New Roman" w:hAnsi="Times New Roman" w:cs="Times New Roman"/>
          <w:sz w:val="24"/>
          <w:szCs w:val="24"/>
        </w:rPr>
      </w:pPr>
      <w:r w:rsidRPr="00D77AB4">
        <w:rPr>
          <w:rFonts w:ascii="Times New Roman" w:hAnsi="Times New Roman" w:cs="Times New Roman"/>
          <w:sz w:val="24"/>
          <w:szCs w:val="24"/>
        </w:rPr>
        <w:lastRenderedPageBreak/>
        <w:t>Al respecto, la DEFASEG no comparte la apreciación de la aseguradora. En efecto, no se advierte una interpretación errónea del articulado legal ni de la valoración de las circunstancias fácticas que han sido valoradas y encuadradas dentro del supuesto normativo aplicado al caso.</w:t>
      </w:r>
    </w:p>
    <w:p w:rsidRPr="00D77AB4" w:rsidR="005B4DB2" w:rsidP="005B4DB2" w:rsidRDefault="005B4DB2" w14:paraId="50D03B78" w14:textId="2A62FE75">
      <w:pPr>
        <w:jc w:val="both"/>
        <w:rPr>
          <w:rFonts w:ascii="Times New Roman" w:hAnsi="Times New Roman" w:cs="Times New Roman"/>
          <w:sz w:val="24"/>
          <w:szCs w:val="24"/>
        </w:rPr>
      </w:pPr>
      <w:r w:rsidRPr="7D563EFA" w:rsidR="005B4DB2">
        <w:rPr>
          <w:rFonts w:ascii="Times New Roman" w:hAnsi="Times New Roman" w:cs="Times New Roman"/>
          <w:sz w:val="24"/>
          <w:szCs w:val="24"/>
        </w:rPr>
        <w:t xml:space="preserve">En ese sentido, se reitera la apreciación de que, en el presente caso, ante los actos de vandalismo sucedidos en la ciudad de Ica (Barrio Chino) frente al Fundo </w:t>
      </w:r>
      <w:r w:rsidRPr="7D563EFA" w:rsidR="1FDF07CA">
        <w:rPr>
          <w:rFonts w:ascii="Times New Roman" w:hAnsi="Times New Roman" w:cs="Times New Roman"/>
          <w:sz w:val="24"/>
          <w:szCs w:val="24"/>
        </w:rPr>
        <w:t>...............................................</w:t>
      </w:r>
      <w:r w:rsidRPr="7D563EFA" w:rsidR="005B4DB2">
        <w:rPr>
          <w:rFonts w:ascii="Times New Roman" w:hAnsi="Times New Roman" w:cs="Times New Roman"/>
          <w:sz w:val="24"/>
          <w:szCs w:val="24"/>
        </w:rPr>
        <w:t xml:space="preserve"> Viejo Tonel, resultaba necesario y razonable reponer el cerco perimétrico quemado con la finalidad de evitar que tales actos vandálicos se extendieran a la Bodega del referido fundo. </w:t>
      </w:r>
      <w:r w:rsidRPr="7D563EFA" w:rsidR="005B4DB2">
        <w:rPr>
          <w:rFonts w:ascii="Times New Roman" w:hAnsi="Times New Roman" w:cs="Times New Roman"/>
          <w:sz w:val="24"/>
          <w:szCs w:val="24"/>
        </w:rPr>
        <w:t xml:space="preserve">Asimismo, se deber reiterar que, se advierte la urgencia de proveer una seguridad inmediata, por lo que se considera razonable que, para la protección de los activos de la Bodega, la asegurada haya adoptado como medida de salvamento la instalación de un cerco perimétrico prefabricado, cuyo propósito fue evitar que los manifestantes ingresen al Fundo </w:t>
      </w:r>
      <w:r w:rsidRPr="7D563EFA" w:rsidR="1FDF07CA">
        <w:rPr>
          <w:rFonts w:ascii="Times New Roman" w:hAnsi="Times New Roman" w:cs="Times New Roman"/>
          <w:sz w:val="24"/>
          <w:szCs w:val="24"/>
        </w:rPr>
        <w:t>...............................................</w:t>
      </w:r>
      <w:r w:rsidRPr="7D563EFA" w:rsidR="005B4DB2">
        <w:rPr>
          <w:rFonts w:ascii="Times New Roman" w:hAnsi="Times New Roman" w:cs="Times New Roman"/>
          <w:sz w:val="24"/>
          <w:szCs w:val="24"/>
        </w:rPr>
        <w:t xml:space="preserve"> Viejo Tonel.</w:t>
      </w:r>
      <w:r w:rsidRPr="7D563EFA" w:rsidR="005B4DB2">
        <w:rPr>
          <w:rFonts w:ascii="Times New Roman" w:hAnsi="Times New Roman" w:cs="Times New Roman"/>
          <w:sz w:val="24"/>
          <w:szCs w:val="24"/>
        </w:rPr>
        <w:t xml:space="preserve"> </w:t>
      </w:r>
    </w:p>
    <w:p w:rsidRPr="00D77AB4" w:rsidR="005B4DB2" w:rsidP="005B4DB2" w:rsidRDefault="005B4DB2" w14:paraId="3FF025FC" w14:textId="486DF413">
      <w:pPr>
        <w:jc w:val="both"/>
        <w:rPr>
          <w:rFonts w:ascii="Times New Roman" w:hAnsi="Times New Roman" w:cs="Times New Roman"/>
          <w:sz w:val="24"/>
          <w:szCs w:val="24"/>
        </w:rPr>
      </w:pPr>
      <w:r w:rsidRPr="00D77AB4">
        <w:rPr>
          <w:rFonts w:ascii="Times New Roman" w:hAnsi="Times New Roman" w:cs="Times New Roman"/>
          <w:sz w:val="24"/>
          <w:szCs w:val="24"/>
        </w:rPr>
        <w:t>Por esas consideraciones, para esta Defensoría se reitera que la instalación del cerco perimétrico prefabricado califica como una medida necesaria para evitar o disminuir daños en los bienes asegurados, por lo que fue adoptada de urgencia por la asegurada en el cumplimiento de su carga de evitar o disminuir pérdidas (artículo 7.5 de las cláusulas generales de contratación del Seguro de Daños Patrimoniales), así como de la carga de salvamento establecida en el artículo 92 de la Ley del Contrato de Seguro.</w:t>
      </w:r>
    </w:p>
    <w:p w:rsidRPr="00D77AB4" w:rsidR="005B4DB2" w:rsidP="005B4DB2" w:rsidRDefault="005B4DB2" w14:paraId="1826AF19" w14:textId="0A566DEF">
      <w:pPr>
        <w:jc w:val="both"/>
        <w:rPr>
          <w:rFonts w:ascii="Times New Roman" w:hAnsi="Times New Roman" w:cs="Times New Roman"/>
          <w:sz w:val="24"/>
          <w:szCs w:val="24"/>
        </w:rPr>
      </w:pPr>
      <w:r w:rsidRPr="00D77AB4">
        <w:rPr>
          <w:rFonts w:ascii="Times New Roman" w:hAnsi="Times New Roman" w:cs="Times New Roman"/>
          <w:b/>
          <w:sz w:val="24"/>
          <w:szCs w:val="24"/>
          <w:u w:val="single"/>
        </w:rPr>
        <w:t>TERCERO</w:t>
      </w:r>
      <w:r w:rsidRPr="00D77AB4">
        <w:rPr>
          <w:rFonts w:ascii="Times New Roman" w:hAnsi="Times New Roman" w:cs="Times New Roman"/>
          <w:b/>
          <w:sz w:val="24"/>
          <w:szCs w:val="24"/>
        </w:rPr>
        <w:t>:</w:t>
      </w:r>
      <w:r w:rsidRPr="00D77AB4">
        <w:rPr>
          <w:rFonts w:ascii="Times New Roman" w:hAnsi="Times New Roman" w:cs="Times New Roman"/>
          <w:sz w:val="24"/>
          <w:szCs w:val="24"/>
        </w:rPr>
        <w:t xml:space="preserve"> En atención a las consideraciones precedentes, este colegiado aprecia finalmente que no existe mérito suficiente y razón objetiva para revocarla.</w:t>
      </w:r>
    </w:p>
    <w:p w:rsidRPr="00160C79" w:rsidR="005B4DB2" w:rsidP="005B4DB2" w:rsidRDefault="005B4DB2" w14:paraId="7A6E7007" w14:textId="2253C041">
      <w:pPr>
        <w:jc w:val="both"/>
        <w:rPr>
          <w:rFonts w:ascii="Times New Roman" w:hAnsi="Times New Roman" w:cs="Times New Roman"/>
          <w:b/>
          <w:sz w:val="24"/>
          <w:szCs w:val="24"/>
        </w:rPr>
      </w:pPr>
      <w:r w:rsidRPr="00D77AB4">
        <w:rPr>
          <w:rFonts w:ascii="Times New Roman" w:hAnsi="Times New Roman" w:cs="Times New Roman"/>
          <w:b/>
          <w:sz w:val="24"/>
          <w:szCs w:val="24"/>
        </w:rPr>
        <w:t>ATENDIENDO A LO EXPRESADO, CONFORME A SU REGLAMENTO, ESTE COLEGIADO RESUELVE:</w:t>
      </w:r>
    </w:p>
    <w:p w:rsidRPr="00D77AB4" w:rsidR="005B4DB2" w:rsidP="005B4DB2" w:rsidRDefault="005B4DB2" w14:paraId="79CCB998" w14:textId="48049F39">
      <w:pPr>
        <w:pStyle w:val="Default"/>
        <w:jc w:val="both"/>
        <w:rPr>
          <w:rFonts w:ascii="Times New Roman" w:hAnsi="Times New Roman" w:cs="Times New Roman"/>
        </w:rPr>
      </w:pPr>
      <w:r w:rsidRPr="7D563EFA" w:rsidR="005B4DB2">
        <w:rPr>
          <w:rFonts w:ascii="Times New Roman" w:hAnsi="Times New Roman" w:cs="Times New Roman"/>
          <w:b w:val="1"/>
          <w:bCs w:val="1"/>
        </w:rPr>
        <w:t xml:space="preserve">DECLARAR INFUNDADO </w:t>
      </w:r>
      <w:r w:rsidRPr="7D563EFA" w:rsidR="005B4DB2">
        <w:rPr>
          <w:rFonts w:ascii="Times New Roman" w:hAnsi="Times New Roman" w:cs="Times New Roman"/>
        </w:rPr>
        <w:t>el recurso de impugnación interpuesto por</w:t>
      </w:r>
      <w:r w:rsidRPr="7D563EFA" w:rsidR="005B4DB2">
        <w:rPr>
          <w:rFonts w:ascii="Times New Roman" w:hAnsi="Times New Roman" w:cs="Times New Roman"/>
          <w:b w:val="1"/>
          <w:bCs w:val="1"/>
          <w:lang w:val="es-ES"/>
        </w:rPr>
        <w:t xml:space="preserve"> </w:t>
      </w:r>
      <w:r w:rsidRPr="7D563EFA" w:rsidR="777978F4">
        <w:rPr>
          <w:rFonts w:ascii="Times New Roman" w:hAnsi="Times New Roman" w:cs="Times New Roman"/>
          <w:b w:val="1"/>
          <w:bCs w:val="1"/>
          <w:lang w:val="es-ES"/>
        </w:rPr>
        <w:t>............................</w:t>
      </w:r>
      <w:r w:rsidRPr="7D563EFA" w:rsidR="005B4DB2">
        <w:rPr>
          <w:rFonts w:ascii="Times New Roman" w:hAnsi="Times New Roman" w:cs="Times New Roman"/>
          <w:b w:val="1"/>
          <w:bCs w:val="1"/>
          <w:lang w:val="es-ES"/>
        </w:rPr>
        <w:t xml:space="preserve"> </w:t>
      </w:r>
      <w:r w:rsidRPr="7D563EFA" w:rsidR="005B4DB2">
        <w:rPr>
          <w:rFonts w:ascii="Times New Roman" w:hAnsi="Times New Roman" w:cs="Times New Roman"/>
        </w:rPr>
        <w:t xml:space="preserve">y, por consiguiente, </w:t>
      </w:r>
      <w:r w:rsidRPr="7D563EFA" w:rsidR="005B4DB2">
        <w:rPr>
          <w:rFonts w:ascii="Times New Roman" w:hAnsi="Times New Roman" w:cs="Times New Roman"/>
          <w:b w:val="1"/>
          <w:bCs w:val="1"/>
        </w:rPr>
        <w:t xml:space="preserve">CONFIRMAR </w:t>
      </w:r>
      <w:r w:rsidRPr="7D563EFA" w:rsidR="005B4DB2">
        <w:rPr>
          <w:rFonts w:ascii="Times New Roman" w:hAnsi="Times New Roman" w:cs="Times New Roman"/>
        </w:rPr>
        <w:t xml:space="preserve">la Resolución </w:t>
      </w:r>
      <w:r w:rsidRPr="7D563EFA" w:rsidR="005B4DB2">
        <w:rPr>
          <w:rFonts w:ascii="Times New Roman" w:hAnsi="Times New Roman" w:cs="Times New Roman"/>
        </w:rPr>
        <w:t>N°</w:t>
      </w:r>
      <w:r w:rsidRPr="7D563EFA" w:rsidR="005B4DB2">
        <w:rPr>
          <w:rFonts w:ascii="Times New Roman" w:hAnsi="Times New Roman" w:cs="Times New Roman"/>
        </w:rPr>
        <w:t xml:space="preserve"> 176/24.</w:t>
      </w:r>
    </w:p>
    <w:p w:rsidRPr="00D77AB4" w:rsidR="008B6A09" w:rsidP="00CF28D9" w:rsidRDefault="0091528B" w14:paraId="000A434B" w14:textId="10FEB940">
      <w:pPr>
        <w:jc w:val="right"/>
        <w:rPr>
          <w:rFonts w:ascii="Times New Roman" w:hAnsi="Times New Roman" w:cs="Times New Roman"/>
          <w:bCs/>
          <w:sz w:val="24"/>
          <w:szCs w:val="24"/>
        </w:rPr>
      </w:pPr>
      <w:r w:rsidRPr="00D77AB4">
        <w:rPr>
          <w:rFonts w:ascii="Times New Roman" w:hAnsi="Times New Roman" w:eastAsia="Arial Unicode MS" w:cs="Times New Roman"/>
          <w:bCs/>
          <w:sz w:val="24"/>
          <w:szCs w:val="24"/>
          <w:lang w:eastAsia="ar-SA"/>
        </w:rPr>
        <w:t xml:space="preserve">Lima, </w:t>
      </w:r>
      <w:r w:rsidRPr="00D77AB4" w:rsidR="00F3565F">
        <w:rPr>
          <w:rFonts w:ascii="Times New Roman" w:hAnsi="Times New Roman" w:eastAsia="Arial Unicode MS" w:cs="Times New Roman"/>
          <w:bCs/>
          <w:sz w:val="24"/>
          <w:szCs w:val="24"/>
          <w:lang w:eastAsia="ar-SA"/>
        </w:rPr>
        <w:t>1</w:t>
      </w:r>
      <w:r w:rsidRPr="00D77AB4" w:rsidR="005A013C">
        <w:rPr>
          <w:rFonts w:ascii="Times New Roman" w:hAnsi="Times New Roman" w:eastAsia="Arial Unicode MS" w:cs="Times New Roman"/>
          <w:bCs/>
          <w:sz w:val="24"/>
          <w:szCs w:val="24"/>
          <w:lang w:eastAsia="ar-SA"/>
        </w:rPr>
        <w:t>9</w:t>
      </w:r>
      <w:r w:rsidRPr="00D77AB4" w:rsidR="00F42C0D">
        <w:rPr>
          <w:rFonts w:ascii="Times New Roman" w:hAnsi="Times New Roman" w:eastAsia="Arial Unicode MS" w:cs="Times New Roman"/>
          <w:bCs/>
          <w:sz w:val="24"/>
          <w:szCs w:val="24"/>
          <w:lang w:eastAsia="ar-SA"/>
        </w:rPr>
        <w:t xml:space="preserve"> </w:t>
      </w:r>
      <w:r w:rsidRPr="00D77AB4" w:rsidR="00707C99">
        <w:rPr>
          <w:rFonts w:ascii="Times New Roman" w:hAnsi="Times New Roman" w:eastAsia="Arial Unicode MS" w:cs="Times New Roman"/>
          <w:bCs/>
          <w:sz w:val="24"/>
          <w:szCs w:val="24"/>
          <w:lang w:eastAsia="ar-SA"/>
        </w:rPr>
        <w:t>de</w:t>
      </w:r>
      <w:r w:rsidRPr="00D77AB4" w:rsidR="00A02CF2">
        <w:rPr>
          <w:rFonts w:ascii="Times New Roman" w:hAnsi="Times New Roman" w:eastAsia="Arial Unicode MS" w:cs="Times New Roman"/>
          <w:bCs/>
          <w:sz w:val="24"/>
          <w:szCs w:val="24"/>
          <w:lang w:eastAsia="ar-SA"/>
        </w:rPr>
        <w:t xml:space="preserve"> </w:t>
      </w:r>
      <w:r w:rsidRPr="00D77AB4" w:rsidR="00AE05B6">
        <w:rPr>
          <w:rFonts w:ascii="Times New Roman" w:hAnsi="Times New Roman" w:eastAsia="Arial Unicode MS" w:cs="Times New Roman"/>
          <w:bCs/>
          <w:sz w:val="24"/>
          <w:szCs w:val="24"/>
          <w:lang w:eastAsia="ar-SA"/>
        </w:rPr>
        <w:t>diciembre</w:t>
      </w:r>
      <w:r w:rsidRPr="00D77AB4" w:rsidR="002F478E">
        <w:rPr>
          <w:rFonts w:ascii="Times New Roman" w:hAnsi="Times New Roman" w:eastAsia="Arial Unicode MS" w:cs="Times New Roman"/>
          <w:bCs/>
          <w:sz w:val="24"/>
          <w:szCs w:val="24"/>
          <w:lang w:eastAsia="ar-SA"/>
        </w:rPr>
        <w:t xml:space="preserve"> </w:t>
      </w:r>
      <w:r w:rsidRPr="00D77AB4" w:rsidR="00F06498">
        <w:rPr>
          <w:rFonts w:ascii="Times New Roman" w:hAnsi="Times New Roman" w:eastAsia="Arial Unicode MS" w:cs="Times New Roman"/>
          <w:bCs/>
          <w:sz w:val="24"/>
          <w:szCs w:val="24"/>
          <w:lang w:eastAsia="ar-SA"/>
        </w:rPr>
        <w:t>de 202</w:t>
      </w:r>
      <w:r w:rsidRPr="00D77AB4" w:rsidR="00543015">
        <w:rPr>
          <w:rFonts w:ascii="Times New Roman" w:hAnsi="Times New Roman" w:eastAsia="Arial Unicode MS" w:cs="Times New Roman"/>
          <w:bCs/>
          <w:sz w:val="24"/>
          <w:szCs w:val="24"/>
          <w:lang w:eastAsia="ar-SA"/>
        </w:rPr>
        <w:t>4</w:t>
      </w:r>
      <w:r w:rsidRPr="00D77AB4" w:rsidR="00707C99">
        <w:rPr>
          <w:rFonts w:ascii="Times New Roman" w:hAnsi="Times New Roman" w:eastAsia="Times New Roman" w:cs="Times New Roman"/>
          <w:bCs/>
          <w:sz w:val="24"/>
          <w:szCs w:val="24"/>
          <w:lang w:eastAsia="ar-SA"/>
        </w:rPr>
        <w:t xml:space="preserve"> </w:t>
      </w:r>
    </w:p>
    <w:p w:rsidRPr="00D77AB4" w:rsidR="00A323F4" w:rsidP="00A84003" w:rsidRDefault="00A323F4" w14:paraId="1B6988F6" w14:textId="77777777">
      <w:pPr>
        <w:spacing w:after="0" w:line="240" w:lineRule="auto"/>
        <w:jc w:val="both"/>
        <w:rPr>
          <w:rFonts w:ascii="Times New Roman" w:hAnsi="Times New Roman" w:cs="Times New Roman"/>
          <w:b/>
          <w:i/>
          <w:iCs/>
          <w:sz w:val="24"/>
          <w:szCs w:val="24"/>
        </w:rPr>
      </w:pPr>
      <w:r w:rsidRPr="00D77AB4">
        <w:rPr>
          <w:rFonts w:ascii="Times New Roman" w:hAnsi="Times New Roman" w:cs="Times New Roman"/>
          <w:b/>
          <w:i/>
          <w:iCs/>
          <w:sz w:val="24"/>
          <w:szCs w:val="24"/>
        </w:rPr>
        <w:t>La Secretaría Técnica certifica que la presente resolución cuenta con el voto de los vocales cuyos nombres figuran en el presente documento.</w:t>
      </w:r>
    </w:p>
    <w:p w:rsidRPr="00D77AB4" w:rsidR="00A323F4" w:rsidP="00A84003" w:rsidRDefault="00A323F4" w14:paraId="3AB80116" w14:textId="77777777">
      <w:pPr>
        <w:spacing w:after="0" w:line="360" w:lineRule="auto"/>
        <w:jc w:val="both"/>
        <w:rPr>
          <w:rFonts w:ascii="Times New Roman" w:hAnsi="Times New Roman" w:cs="Times New Roman"/>
          <w:b/>
          <w:i/>
          <w:iCs/>
          <w:sz w:val="24"/>
          <w:szCs w:val="24"/>
        </w:rPr>
      </w:pPr>
    </w:p>
    <w:p w:rsidRPr="00D77AB4" w:rsidR="00600E7F" w:rsidP="00861BDD" w:rsidRDefault="00600E7F" w14:paraId="7680FD70" w14:textId="40A434AA">
      <w:pPr>
        <w:spacing w:after="0" w:line="360" w:lineRule="auto"/>
        <w:jc w:val="center"/>
        <w:rPr>
          <w:rFonts w:ascii="Times New Roman" w:hAnsi="Times New Roman" w:cs="Times New Roman"/>
          <w:b/>
          <w:sz w:val="24"/>
          <w:szCs w:val="24"/>
        </w:rPr>
      </w:pPr>
      <w:r w:rsidRPr="00D77AB4">
        <w:rPr>
          <w:rFonts w:ascii="Times New Roman" w:hAnsi="Times New Roman" w:cs="Times New Roman"/>
          <w:b/>
          <w:sz w:val="24"/>
          <w:szCs w:val="24"/>
        </w:rPr>
        <w:t xml:space="preserve">Rolando Eyzaguirre </w:t>
      </w:r>
      <w:proofErr w:type="spellStart"/>
      <w:r w:rsidRPr="00D77AB4">
        <w:rPr>
          <w:rFonts w:ascii="Times New Roman" w:hAnsi="Times New Roman" w:cs="Times New Roman"/>
          <w:b/>
          <w:sz w:val="24"/>
          <w:szCs w:val="24"/>
        </w:rPr>
        <w:t>Maccan</w:t>
      </w:r>
      <w:proofErr w:type="spellEnd"/>
      <w:r w:rsidRPr="00D77AB4">
        <w:rPr>
          <w:rFonts w:ascii="Times New Roman" w:hAnsi="Times New Roman" w:cs="Times New Roman"/>
          <w:b/>
          <w:sz w:val="24"/>
          <w:szCs w:val="24"/>
        </w:rPr>
        <w:t xml:space="preserve"> – </w:t>
      </w:r>
      <w:proofErr w:type="gramStart"/>
      <w:r w:rsidRPr="00D77AB4">
        <w:rPr>
          <w:rFonts w:ascii="Times New Roman" w:hAnsi="Times New Roman" w:cs="Times New Roman"/>
          <w:b/>
          <w:sz w:val="24"/>
          <w:szCs w:val="24"/>
        </w:rPr>
        <w:t>Presidente</w:t>
      </w:r>
      <w:proofErr w:type="gramEnd"/>
    </w:p>
    <w:p w:rsidRPr="00D77AB4" w:rsidR="007543CD" w:rsidP="007543CD" w:rsidRDefault="00543015" w14:paraId="220AA7AD" w14:textId="5B40BC33">
      <w:pPr>
        <w:spacing w:after="0" w:line="360" w:lineRule="auto"/>
        <w:jc w:val="center"/>
        <w:rPr>
          <w:rFonts w:ascii="Times New Roman" w:hAnsi="Times New Roman" w:cs="Times New Roman"/>
          <w:b/>
          <w:sz w:val="24"/>
          <w:szCs w:val="24"/>
        </w:rPr>
      </w:pPr>
      <w:r w:rsidRPr="00D77AB4">
        <w:rPr>
          <w:rFonts w:ascii="Times New Roman" w:hAnsi="Times New Roman" w:cs="Times New Roman"/>
          <w:b/>
          <w:sz w:val="24"/>
          <w:szCs w:val="24"/>
        </w:rPr>
        <w:t xml:space="preserve">María Eugenia Valdez Fernández Baca </w:t>
      </w:r>
      <w:r w:rsidRPr="00D77AB4" w:rsidR="007543CD">
        <w:rPr>
          <w:rFonts w:ascii="Times New Roman" w:hAnsi="Times New Roman" w:cs="Times New Roman"/>
          <w:b/>
          <w:sz w:val="24"/>
          <w:szCs w:val="24"/>
        </w:rPr>
        <w:t xml:space="preserve">– </w:t>
      </w:r>
      <w:r w:rsidRPr="00D77AB4" w:rsidR="00950F53">
        <w:rPr>
          <w:rFonts w:ascii="Times New Roman" w:hAnsi="Times New Roman" w:cs="Times New Roman"/>
          <w:b/>
          <w:sz w:val="24"/>
          <w:szCs w:val="24"/>
        </w:rPr>
        <w:t>Vocal</w:t>
      </w:r>
    </w:p>
    <w:p w:rsidRPr="00D77AB4" w:rsidR="00600E7F" w:rsidP="00600E7F" w:rsidRDefault="00600E7F" w14:paraId="3155F74E" w14:textId="30D2E817">
      <w:pPr>
        <w:spacing w:after="0" w:line="360" w:lineRule="auto"/>
        <w:jc w:val="center"/>
        <w:rPr>
          <w:rFonts w:ascii="Times New Roman" w:hAnsi="Times New Roman" w:cs="Times New Roman"/>
          <w:b/>
          <w:sz w:val="24"/>
          <w:szCs w:val="24"/>
        </w:rPr>
      </w:pPr>
      <w:r w:rsidRPr="00D77AB4">
        <w:rPr>
          <w:rFonts w:ascii="Times New Roman" w:hAnsi="Times New Roman" w:cs="Times New Roman"/>
          <w:b/>
          <w:sz w:val="24"/>
          <w:szCs w:val="24"/>
        </w:rPr>
        <w:t>Omar Alfaro Villanueva – Vocal</w:t>
      </w:r>
    </w:p>
    <w:p w:rsidRPr="00D77AB4" w:rsidR="007543CD" w:rsidP="007543CD" w:rsidRDefault="007543CD" w14:paraId="69BFE54F" w14:textId="77777777">
      <w:pPr>
        <w:spacing w:after="0" w:line="360" w:lineRule="auto"/>
        <w:jc w:val="center"/>
        <w:rPr>
          <w:rFonts w:ascii="Times New Roman" w:hAnsi="Times New Roman" w:cs="Times New Roman"/>
          <w:b/>
          <w:sz w:val="24"/>
          <w:szCs w:val="24"/>
        </w:rPr>
      </w:pPr>
      <w:r w:rsidRPr="00D77AB4">
        <w:rPr>
          <w:rFonts w:ascii="Times New Roman" w:hAnsi="Times New Roman" w:cs="Times New Roman"/>
          <w:b/>
          <w:sz w:val="24"/>
          <w:szCs w:val="24"/>
        </w:rPr>
        <w:t>Gonzalo Abad del Busto – Vocal</w:t>
      </w:r>
    </w:p>
    <w:p w:rsidRPr="00D77AB4"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D77AB4" w:rsidR="00C6662D" w:rsidP="00C6662D" w:rsidRDefault="00C6662D" w14:paraId="14DFBF1F" w14:textId="77777777">
      <w:pPr>
        <w:spacing w:after="0" w:line="360" w:lineRule="auto"/>
        <w:rPr>
          <w:rFonts w:ascii="Times New Roman" w:hAnsi="Times New Roman" w:cs="Times New Roman"/>
          <w:bCs/>
          <w:sz w:val="24"/>
          <w:szCs w:val="24"/>
        </w:rPr>
      </w:pPr>
    </w:p>
    <w:p w:rsidRPr="00D77AB4"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1B378C" w:rsidP="00784355" w:rsidRDefault="001B378C" w14:paraId="3C87D907" w14:textId="77777777">
      <w:pPr>
        <w:spacing w:after="0" w:line="240" w:lineRule="auto"/>
      </w:pPr>
      <w:r w:rsidRPr="005E49B8">
        <w:separator/>
      </w:r>
    </w:p>
  </w:endnote>
  <w:endnote w:type="continuationSeparator" w:id="0">
    <w:p w:rsidRPr="005E49B8" w:rsidR="001B378C" w:rsidP="00784355" w:rsidRDefault="001B378C" w14:paraId="370AFD35"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
    </w:sdtContent>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1B378C" w:rsidP="00784355" w:rsidRDefault="001B378C" w14:paraId="2E491B0F" w14:textId="77777777">
      <w:pPr>
        <w:spacing w:after="0" w:line="240" w:lineRule="auto"/>
      </w:pPr>
      <w:r w:rsidRPr="005E49B8">
        <w:separator/>
      </w:r>
    </w:p>
  </w:footnote>
  <w:footnote w:type="continuationSeparator" w:id="0">
    <w:p w:rsidRPr="005E49B8" w:rsidR="001B378C" w:rsidP="00784355" w:rsidRDefault="001B378C" w14:paraId="1F4C56D6" w14:textId="77777777">
      <w:pPr>
        <w:spacing w:after="0" w:line="240" w:lineRule="auto"/>
      </w:pPr>
      <w:r w:rsidRPr="005E4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6F041A"/>
    <w:multiLevelType w:val="hybridMultilevel"/>
    <w:tmpl w:val="CF6E43C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 w15:restartNumberingAfterBreak="0">
    <w:nsid w:val="19260E7E"/>
    <w:multiLevelType w:val="hybridMultilevel"/>
    <w:tmpl w:val="1658A382"/>
    <w:lvl w:ilvl="0" w:tplc="5B30A26C">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9A09E1"/>
    <w:multiLevelType w:val="hybridMultilevel"/>
    <w:tmpl w:val="4DAC230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C944D3C"/>
    <w:multiLevelType w:val="hybridMultilevel"/>
    <w:tmpl w:val="06C61E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56F047E"/>
    <w:multiLevelType w:val="hybridMultilevel"/>
    <w:tmpl w:val="B1408B12"/>
    <w:lvl w:ilvl="0" w:tplc="D818973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2F2E63"/>
    <w:multiLevelType w:val="hybridMultilevel"/>
    <w:tmpl w:val="F4A054E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8683557"/>
    <w:multiLevelType w:val="hybridMultilevel"/>
    <w:tmpl w:val="16B8D4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CB10433"/>
    <w:multiLevelType w:val="hybridMultilevel"/>
    <w:tmpl w:val="85D49EE2"/>
    <w:lvl w:ilvl="0" w:tplc="D9426C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6D4E2A0E"/>
    <w:multiLevelType w:val="hybridMultilevel"/>
    <w:tmpl w:val="E8CC6D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0931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768510">
    <w:abstractNumId w:val="8"/>
  </w:num>
  <w:num w:numId="6" w16cid:durableId="669941158">
    <w:abstractNumId w:val="10"/>
  </w:num>
  <w:num w:numId="7" w16cid:durableId="768355813">
    <w:abstractNumId w:val="4"/>
  </w:num>
  <w:num w:numId="8" w16cid:durableId="1265191326">
    <w:abstractNumId w:val="7"/>
  </w:num>
  <w:num w:numId="9" w16cid:durableId="912393528">
    <w:abstractNumId w:val="2"/>
  </w:num>
  <w:num w:numId="10" w16cid:durableId="724915745">
    <w:abstractNumId w:val="11"/>
  </w:num>
  <w:num w:numId="11" w16cid:durableId="802118194">
    <w:abstractNumId w:val="12"/>
  </w:num>
  <w:num w:numId="12" w16cid:durableId="1848013628">
    <w:abstractNumId w:val="5"/>
  </w:num>
  <w:num w:numId="13" w16cid:durableId="1280798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6CD"/>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3CCB"/>
    <w:rsid w:val="000D5F00"/>
    <w:rsid w:val="000E4569"/>
    <w:rsid w:val="000E483A"/>
    <w:rsid w:val="000E6CBA"/>
    <w:rsid w:val="000F17DA"/>
    <w:rsid w:val="000F1B4B"/>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04E5"/>
    <w:rsid w:val="0014650D"/>
    <w:rsid w:val="001468B0"/>
    <w:rsid w:val="00150874"/>
    <w:rsid w:val="001508BC"/>
    <w:rsid w:val="00151F82"/>
    <w:rsid w:val="0015215E"/>
    <w:rsid w:val="001529FE"/>
    <w:rsid w:val="001562DF"/>
    <w:rsid w:val="00157979"/>
    <w:rsid w:val="00160361"/>
    <w:rsid w:val="00160C79"/>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78C"/>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E15"/>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2FD0"/>
    <w:rsid w:val="002B726E"/>
    <w:rsid w:val="002C130C"/>
    <w:rsid w:val="002C2A0F"/>
    <w:rsid w:val="002C4416"/>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2A5C"/>
    <w:rsid w:val="003E450C"/>
    <w:rsid w:val="003E7664"/>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042E"/>
    <w:rsid w:val="00433E6D"/>
    <w:rsid w:val="00440BC2"/>
    <w:rsid w:val="00440F50"/>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26B3"/>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D19"/>
    <w:rsid w:val="00547EE5"/>
    <w:rsid w:val="00547F11"/>
    <w:rsid w:val="00556526"/>
    <w:rsid w:val="00557E74"/>
    <w:rsid w:val="00560CBC"/>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13C"/>
    <w:rsid w:val="005A0A0B"/>
    <w:rsid w:val="005A0B70"/>
    <w:rsid w:val="005A40A4"/>
    <w:rsid w:val="005A76CB"/>
    <w:rsid w:val="005A782D"/>
    <w:rsid w:val="005B0224"/>
    <w:rsid w:val="005B2924"/>
    <w:rsid w:val="005B4DB2"/>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600E7F"/>
    <w:rsid w:val="006043E9"/>
    <w:rsid w:val="00605902"/>
    <w:rsid w:val="00606105"/>
    <w:rsid w:val="00613A39"/>
    <w:rsid w:val="006226DC"/>
    <w:rsid w:val="00622ABC"/>
    <w:rsid w:val="00623204"/>
    <w:rsid w:val="00624034"/>
    <w:rsid w:val="006266F4"/>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4EC0"/>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2987"/>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3611"/>
    <w:rsid w:val="00815B8C"/>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57EC1"/>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631"/>
    <w:rsid w:val="00974D2D"/>
    <w:rsid w:val="009754DD"/>
    <w:rsid w:val="00975745"/>
    <w:rsid w:val="0098136F"/>
    <w:rsid w:val="00986F0C"/>
    <w:rsid w:val="00992626"/>
    <w:rsid w:val="0099320E"/>
    <w:rsid w:val="00993409"/>
    <w:rsid w:val="00997863"/>
    <w:rsid w:val="00997FC6"/>
    <w:rsid w:val="009A11D5"/>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2AD7"/>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7BFE"/>
    <w:rsid w:val="00AC07E0"/>
    <w:rsid w:val="00AC3F97"/>
    <w:rsid w:val="00AC4C86"/>
    <w:rsid w:val="00AC4CF3"/>
    <w:rsid w:val="00AC5A9E"/>
    <w:rsid w:val="00AD1FEC"/>
    <w:rsid w:val="00AD2DF1"/>
    <w:rsid w:val="00AD5CBE"/>
    <w:rsid w:val="00AE05B6"/>
    <w:rsid w:val="00AE3EA8"/>
    <w:rsid w:val="00AE4125"/>
    <w:rsid w:val="00AE58A1"/>
    <w:rsid w:val="00AE6BD5"/>
    <w:rsid w:val="00AF1C99"/>
    <w:rsid w:val="00AF5E87"/>
    <w:rsid w:val="00B00552"/>
    <w:rsid w:val="00B02BEE"/>
    <w:rsid w:val="00B033A5"/>
    <w:rsid w:val="00B0460C"/>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4B6B"/>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398"/>
    <w:rsid w:val="00CC6C0C"/>
    <w:rsid w:val="00CC719D"/>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AB4"/>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565F"/>
    <w:rsid w:val="00F36BF0"/>
    <w:rsid w:val="00F423F5"/>
    <w:rsid w:val="00F42C0D"/>
    <w:rsid w:val="00F42F97"/>
    <w:rsid w:val="00F439B5"/>
    <w:rsid w:val="00F52E75"/>
    <w:rsid w:val="00F54C75"/>
    <w:rsid w:val="00F57DED"/>
    <w:rsid w:val="00F60A18"/>
    <w:rsid w:val="00F63F49"/>
    <w:rsid w:val="00F65837"/>
    <w:rsid w:val="00F713A4"/>
    <w:rsid w:val="00F72D00"/>
    <w:rsid w:val="00F74748"/>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75"/>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1EE14EE"/>
    <w:rsid w:val="0A9BC07A"/>
    <w:rsid w:val="0DA35664"/>
    <w:rsid w:val="1FDF07CA"/>
    <w:rsid w:val="331612D6"/>
    <w:rsid w:val="34253293"/>
    <w:rsid w:val="3A099C85"/>
    <w:rsid w:val="4720A44A"/>
    <w:rsid w:val="4EF804BD"/>
    <w:rsid w:val="618DBE89"/>
    <w:rsid w:val="72236811"/>
    <w:rsid w:val="7241DDE3"/>
    <w:rsid w:val="777978F4"/>
    <w:rsid w:val="7D56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7350507">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0926193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592391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31144897">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069578118">
      <w:bodyDiv w:val="1"/>
      <w:marLeft w:val="0"/>
      <w:marRight w:val="0"/>
      <w:marTop w:val="0"/>
      <w:marBottom w:val="0"/>
      <w:divBdr>
        <w:top w:val="none" w:sz="0" w:space="0" w:color="auto"/>
        <w:left w:val="none" w:sz="0" w:space="0" w:color="auto"/>
        <w:bottom w:val="none" w:sz="0" w:space="0" w:color="auto"/>
        <w:right w:val="none" w:sz="0" w:space="0" w:color="auto"/>
      </w:divBdr>
    </w:div>
    <w:div w:id="107651542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5922955">
      <w:bodyDiv w:val="1"/>
      <w:marLeft w:val="0"/>
      <w:marRight w:val="0"/>
      <w:marTop w:val="0"/>
      <w:marBottom w:val="0"/>
      <w:divBdr>
        <w:top w:val="none" w:sz="0" w:space="0" w:color="auto"/>
        <w:left w:val="none" w:sz="0" w:space="0" w:color="auto"/>
        <w:bottom w:val="none" w:sz="0" w:space="0" w:color="auto"/>
        <w:right w:val="none" w:sz="0" w:space="0" w:color="auto"/>
      </w:divBdr>
    </w:div>
    <w:div w:id="1627270601">
      <w:bodyDiv w:val="1"/>
      <w:marLeft w:val="0"/>
      <w:marRight w:val="0"/>
      <w:marTop w:val="0"/>
      <w:marBottom w:val="0"/>
      <w:divBdr>
        <w:top w:val="none" w:sz="0" w:space="0" w:color="auto"/>
        <w:left w:val="none" w:sz="0" w:space="0" w:color="auto"/>
        <w:bottom w:val="none" w:sz="0" w:space="0" w:color="auto"/>
        <w:right w:val="none" w:sz="0" w:space="0" w:color="auto"/>
      </w:divBdr>
    </w:div>
    <w:div w:id="1637832371">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36486780">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23B61CD-AC4D-4E04-B3DD-11940523802C}"/>
</file>

<file path=customXml/itemProps3.xml><?xml version="1.0" encoding="utf-8"?>
<ds:datastoreItem xmlns:ds="http://schemas.openxmlformats.org/officeDocument/2006/customXml" ds:itemID="{015A9C82-36BC-4B7E-81E1-13CCB9E523CE}"/>
</file>

<file path=customXml/itemProps4.xml><?xml version="1.0" encoding="utf-8"?>
<ds:datastoreItem xmlns:ds="http://schemas.openxmlformats.org/officeDocument/2006/customXml" ds:itemID="{D6527233-C1BE-4E5A-9C04-583CB0E4E0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453</cp:revision>
  <cp:lastPrinted>2024-12-19T19:48:00Z</cp:lastPrinted>
  <dcterms:created xsi:type="dcterms:W3CDTF">2023-02-14T22:37:00Z</dcterms:created>
  <dcterms:modified xsi:type="dcterms:W3CDTF">2025-12-15T20:44:12Z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