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A2C0F" w:rsidR="005B4DB2" w:rsidP="00D77AB4" w:rsidRDefault="00201C0D" w14:paraId="2EDD53BA" w14:textId="64FA1AF5">
      <w:pPr>
        <w:spacing w:after="0" w:line="240" w:lineRule="auto"/>
        <w:jc w:val="center"/>
        <w:rPr>
          <w:rFonts w:ascii="Times New Roman" w:hAnsi="Times New Roman" w:cs="Times New Roman"/>
          <w:b/>
          <w:sz w:val="23"/>
          <w:szCs w:val="23"/>
          <w:lang w:eastAsia="ar-SA"/>
        </w:rPr>
      </w:pPr>
      <w:r w:rsidRPr="00BA2C0F">
        <w:rPr>
          <w:rFonts w:ascii="Times New Roman" w:hAnsi="Times New Roman" w:cs="Times New Roman"/>
          <w:b/>
          <w:sz w:val="23"/>
          <w:szCs w:val="23"/>
          <w:lang w:eastAsia="ar-SA"/>
        </w:rPr>
        <w:t xml:space="preserve">RESOLUCIÓN DE RECURSO IMPUGNATIVO </w:t>
      </w:r>
      <w:proofErr w:type="spellStart"/>
      <w:r w:rsidRPr="00BA2C0F" w:rsidR="00707C99">
        <w:rPr>
          <w:rFonts w:ascii="Times New Roman" w:hAnsi="Times New Roman" w:cs="Times New Roman"/>
          <w:b/>
          <w:sz w:val="23"/>
          <w:szCs w:val="23"/>
          <w:lang w:eastAsia="ar-SA"/>
        </w:rPr>
        <w:t>N°</w:t>
      </w:r>
      <w:proofErr w:type="spellEnd"/>
      <w:r w:rsidRPr="00BA2C0F" w:rsidR="00707C99">
        <w:rPr>
          <w:rFonts w:ascii="Times New Roman" w:hAnsi="Times New Roman" w:cs="Times New Roman"/>
          <w:b/>
          <w:sz w:val="23"/>
          <w:szCs w:val="23"/>
          <w:lang w:eastAsia="ar-SA"/>
        </w:rPr>
        <w:t xml:space="preserve"> </w:t>
      </w:r>
      <w:r w:rsidRPr="00BA2C0F" w:rsidR="00516293">
        <w:rPr>
          <w:rFonts w:ascii="Times New Roman" w:hAnsi="Times New Roman" w:cs="Times New Roman"/>
          <w:b/>
          <w:sz w:val="23"/>
          <w:szCs w:val="23"/>
          <w:lang w:eastAsia="ar-SA"/>
        </w:rPr>
        <w:t>0</w:t>
      </w:r>
      <w:r w:rsidRPr="00BA2C0F" w:rsidR="00560CBC">
        <w:rPr>
          <w:rFonts w:ascii="Times New Roman" w:hAnsi="Times New Roman" w:cs="Times New Roman"/>
          <w:b/>
          <w:sz w:val="23"/>
          <w:szCs w:val="23"/>
          <w:lang w:eastAsia="ar-SA"/>
        </w:rPr>
        <w:t>5</w:t>
      </w:r>
      <w:r w:rsidRPr="00BA2C0F" w:rsidR="000C00A6">
        <w:rPr>
          <w:rFonts w:ascii="Times New Roman" w:hAnsi="Times New Roman" w:cs="Times New Roman"/>
          <w:b/>
          <w:sz w:val="23"/>
          <w:szCs w:val="23"/>
          <w:lang w:eastAsia="ar-SA"/>
        </w:rPr>
        <w:t>3</w:t>
      </w:r>
      <w:r w:rsidRPr="00BA2C0F" w:rsidR="0073131D">
        <w:rPr>
          <w:rFonts w:ascii="Times New Roman" w:hAnsi="Times New Roman" w:cs="Times New Roman"/>
          <w:b/>
          <w:sz w:val="23"/>
          <w:szCs w:val="23"/>
          <w:lang w:eastAsia="ar-SA"/>
        </w:rPr>
        <w:t>/</w:t>
      </w:r>
      <w:r w:rsidRPr="00BA2C0F" w:rsidR="00C671F5">
        <w:rPr>
          <w:rFonts w:ascii="Times New Roman" w:hAnsi="Times New Roman" w:cs="Times New Roman"/>
          <w:b/>
          <w:sz w:val="23"/>
          <w:szCs w:val="23"/>
          <w:lang w:eastAsia="ar-SA"/>
        </w:rPr>
        <w:t>/2</w:t>
      </w:r>
      <w:r w:rsidRPr="00BA2C0F" w:rsidR="00543015">
        <w:rPr>
          <w:rFonts w:ascii="Times New Roman" w:hAnsi="Times New Roman" w:cs="Times New Roman"/>
          <w:b/>
          <w:sz w:val="23"/>
          <w:szCs w:val="23"/>
          <w:lang w:eastAsia="ar-SA"/>
        </w:rPr>
        <w:t>4</w:t>
      </w:r>
    </w:p>
    <w:p w:rsidRPr="00BA2C0F" w:rsidR="000B7200" w:rsidP="00CF28D9" w:rsidRDefault="000B7200" w14:paraId="458B867E" w14:textId="77777777">
      <w:pPr>
        <w:jc w:val="right"/>
        <w:rPr>
          <w:rFonts w:ascii="Times New Roman" w:hAnsi="Times New Roman" w:cs="Times New Roman"/>
          <w:b/>
          <w:bCs/>
          <w:sz w:val="23"/>
          <w:szCs w:val="23"/>
          <w:lang w:val="es-MX"/>
        </w:rPr>
      </w:pPr>
    </w:p>
    <w:p w:rsidRPr="00EA697A" w:rsidR="00EA697A" w:rsidP="00EA697A" w:rsidRDefault="00EA697A" w14:paraId="47CAF8C8" w14:textId="6CD2E88B">
      <w:pPr>
        <w:jc w:val="both"/>
        <w:rPr>
          <w:rFonts w:ascii="Times New Roman" w:hAnsi="Times New Roman" w:eastAsia="Arial Unicode MS" w:cs="Times New Roman"/>
          <w:b/>
          <w:bCs/>
          <w:sz w:val="23"/>
          <w:szCs w:val="23"/>
          <w:lang w:val="es-MX" w:eastAsia="ar-SA"/>
        </w:rPr>
      </w:pPr>
      <w:r w:rsidRPr="00EA697A">
        <w:rPr>
          <w:rFonts w:ascii="Times New Roman" w:hAnsi="Times New Roman" w:eastAsia="Arial Unicode MS" w:cs="Times New Roman"/>
          <w:b/>
          <w:bCs/>
          <w:sz w:val="23"/>
          <w:szCs w:val="23"/>
          <w:lang w:val="es-MX" w:eastAsia="ar-SA"/>
        </w:rPr>
        <w:t>VISTOS:</w:t>
      </w:r>
    </w:p>
    <w:p w:rsidRPr="00EA697A" w:rsidR="00EA697A" w:rsidP="1FC51A65" w:rsidRDefault="00EA697A" w14:paraId="50B6FD00" w14:textId="2AE4E00C">
      <w:pPr>
        <w:jc w:val="both"/>
        <w:rPr>
          <w:rFonts w:ascii="Times New Roman" w:hAnsi="Times New Roman" w:eastAsia="Arial Unicode MS" w:cs="Times New Roman"/>
          <w:sz w:val="23"/>
          <w:szCs w:val="23"/>
          <w:lang w:eastAsia="ar-SA"/>
        </w:rPr>
      </w:pPr>
      <w:r w:rsidRPr="1FC51A65" w:rsidR="00EA697A">
        <w:rPr>
          <w:rFonts w:ascii="Times New Roman" w:hAnsi="Times New Roman" w:eastAsia="Arial Unicode MS" w:cs="Times New Roman"/>
          <w:sz w:val="23"/>
          <w:szCs w:val="23"/>
          <w:lang w:eastAsia="ar-SA"/>
        </w:rPr>
        <w:t xml:space="preserve">El recurso de impugnación presentado por </w:t>
      </w:r>
      <w:r w:rsidRPr="1FC51A65" w:rsidR="00EA697A">
        <w:rPr>
          <w:rFonts w:ascii="Times New Roman" w:hAnsi="Times New Roman" w:eastAsia="Arial Unicode MS" w:cs="Times New Roman"/>
          <w:sz w:val="23"/>
          <w:szCs w:val="23"/>
          <w:lang w:val="es-ES" w:eastAsia="ar-SA"/>
        </w:rPr>
        <w:t xml:space="preserve">la </w:t>
      </w:r>
      <w:r w:rsidRPr="1FC51A65" w:rsidR="5FE93C79">
        <w:rPr>
          <w:rFonts w:ascii="Times New Roman" w:hAnsi="Times New Roman" w:eastAsia="Arial Unicode MS" w:cs="Times New Roman"/>
          <w:b w:val="1"/>
          <w:bCs w:val="1"/>
          <w:sz w:val="23"/>
          <w:szCs w:val="23"/>
          <w:lang w:val="es-ES" w:eastAsia="ar-SA"/>
        </w:rPr>
        <w:t>.........................................</w:t>
      </w:r>
      <w:r w:rsidRPr="1FC51A65" w:rsidR="00EA697A">
        <w:rPr>
          <w:rFonts w:ascii="Times New Roman" w:hAnsi="Times New Roman" w:eastAsia="Arial Unicode MS" w:cs="Times New Roman"/>
          <w:b w:val="1"/>
          <w:bCs w:val="1"/>
          <w:sz w:val="23"/>
          <w:szCs w:val="23"/>
          <w:lang w:val="es-ES" w:eastAsia="ar-SA"/>
        </w:rPr>
        <w:t xml:space="preserve"> </w:t>
      </w:r>
      <w:r w:rsidRPr="1FC51A65" w:rsidR="00EA697A">
        <w:rPr>
          <w:rFonts w:ascii="Times New Roman" w:hAnsi="Times New Roman" w:eastAsia="Arial Unicode MS" w:cs="Times New Roman"/>
          <w:sz w:val="23"/>
          <w:szCs w:val="23"/>
          <w:lang w:eastAsia="ar-SA"/>
        </w:rPr>
        <w:t xml:space="preserve">respecto de la Resolución Nro. 154/24, expedida por esta Defensoría del Asegurado (DEFASEG), conforme a la cual se declaró </w:t>
      </w:r>
      <w:r w:rsidRPr="1FC51A65" w:rsidR="00EA697A">
        <w:rPr>
          <w:rFonts w:ascii="Times New Roman" w:hAnsi="Times New Roman" w:eastAsia="Arial Unicode MS" w:cs="Times New Roman"/>
          <w:b w:val="1"/>
          <w:bCs w:val="1"/>
          <w:sz w:val="23"/>
          <w:szCs w:val="23"/>
          <w:lang w:eastAsia="ar-SA"/>
        </w:rPr>
        <w:t>INFUNDADA</w:t>
      </w:r>
      <w:r w:rsidRPr="1FC51A65" w:rsidR="00EA697A">
        <w:rPr>
          <w:rFonts w:ascii="Times New Roman" w:hAnsi="Times New Roman" w:eastAsia="Arial Unicode MS" w:cs="Times New Roman"/>
          <w:sz w:val="23"/>
          <w:szCs w:val="23"/>
          <w:lang w:eastAsia="ar-SA"/>
        </w:rPr>
        <w:t xml:space="preserve"> la reclamación interpuesta </w:t>
      </w:r>
      <w:r w:rsidRPr="1FC51A65" w:rsidR="00EA697A">
        <w:rPr>
          <w:rFonts w:ascii="Times New Roman" w:hAnsi="Times New Roman" w:eastAsia="Arial Unicode MS" w:cs="Times New Roman"/>
          <w:sz w:val="23"/>
          <w:szCs w:val="23"/>
          <w:lang w:eastAsia="ar-SA"/>
        </w:rPr>
        <w:t xml:space="preserve">contra </w:t>
      </w:r>
      <w:r w:rsidRPr="1FC51A65" w:rsidR="00EA697A">
        <w:rPr>
          <w:rFonts w:ascii="Times New Roman" w:hAnsi="Times New Roman" w:eastAsia="Arial Unicode MS" w:cs="Times New Roman"/>
          <w:sz w:val="23"/>
          <w:szCs w:val="23"/>
          <w:lang w:val="es-ES" w:eastAsia="ar-SA"/>
        </w:rPr>
        <w:t xml:space="preserve"> </w:t>
      </w:r>
      <w:r w:rsidRPr="1FC51A65" w:rsidR="0EB04109">
        <w:rPr>
          <w:rFonts w:ascii="Times New Roman" w:hAnsi="Times New Roman" w:eastAsia="Arial Unicode MS" w:cs="Times New Roman"/>
          <w:b w:val="1"/>
          <w:bCs w:val="1"/>
          <w:sz w:val="23"/>
          <w:szCs w:val="23"/>
          <w:lang w:val="es-ES" w:eastAsia="ar-SA"/>
        </w:rPr>
        <w:t>.........................................</w:t>
      </w:r>
      <w:r w:rsidRPr="1FC51A65" w:rsidR="00EA697A">
        <w:rPr>
          <w:rFonts w:ascii="Times New Roman" w:hAnsi="Times New Roman" w:eastAsia="Arial Unicode MS" w:cs="Times New Roman"/>
          <w:b w:val="1"/>
          <w:bCs w:val="1"/>
          <w:sz w:val="23"/>
          <w:szCs w:val="23"/>
          <w:lang w:val="es-ES" w:eastAsia="ar-SA"/>
        </w:rPr>
        <w:t xml:space="preserve"> </w:t>
      </w:r>
      <w:r w:rsidRPr="1FC51A65" w:rsidR="00EA697A">
        <w:rPr>
          <w:rFonts w:ascii="Times New Roman" w:hAnsi="Times New Roman" w:eastAsia="Arial Unicode MS" w:cs="Times New Roman"/>
          <w:sz w:val="23"/>
          <w:szCs w:val="23"/>
          <w:lang w:val="es-ES" w:eastAsia="ar-SA"/>
        </w:rPr>
        <w:t xml:space="preserve">respecto al </w:t>
      </w:r>
      <w:r w:rsidRPr="1FC51A65" w:rsidR="00EA697A">
        <w:rPr>
          <w:rFonts w:ascii="Times New Roman" w:hAnsi="Times New Roman" w:eastAsia="Arial Unicode MS" w:cs="Times New Roman"/>
          <w:b w:val="1"/>
          <w:bCs w:val="1"/>
          <w:sz w:val="23"/>
          <w:szCs w:val="23"/>
          <w:lang w:val="es-ES" w:eastAsia="ar-SA"/>
        </w:rPr>
        <w:t>SEGURO DE ACCIDENTES PERSONALES – PÓLIZA No</w:t>
      </w:r>
      <w:r w:rsidRPr="1FC51A65" w:rsidR="143AD0E6">
        <w:rPr>
          <w:rFonts w:ascii="Times New Roman" w:hAnsi="Times New Roman" w:eastAsia="Arial Unicode MS" w:cs="Times New Roman"/>
          <w:b w:val="1"/>
          <w:bCs w:val="1"/>
          <w:sz w:val="23"/>
          <w:szCs w:val="23"/>
          <w:lang w:val="es-ES" w:eastAsia="ar-SA"/>
        </w:rPr>
        <w:t>.........................................</w:t>
      </w:r>
      <w:r w:rsidRPr="1FC51A65" w:rsidR="00EA697A">
        <w:rPr>
          <w:rFonts w:ascii="Times New Roman" w:hAnsi="Times New Roman" w:eastAsia="Arial Unicode MS" w:cs="Times New Roman"/>
          <w:b w:val="1"/>
          <w:bCs w:val="1"/>
          <w:sz w:val="23"/>
          <w:szCs w:val="23"/>
          <w:lang w:val="es-ES" w:eastAsia="ar-SA"/>
        </w:rPr>
        <w:t>.</w:t>
      </w:r>
      <w:bookmarkStart w:name="OLE_LINK2" w:id="0"/>
    </w:p>
    <w:bookmarkEnd w:id="0"/>
    <w:p w:rsidRPr="00EA697A" w:rsidR="00EA697A" w:rsidP="1FC51A65" w:rsidRDefault="00EA697A" w14:paraId="3A416A2A" w14:textId="1DA2E2E2">
      <w:pPr>
        <w:jc w:val="both"/>
        <w:rPr>
          <w:rFonts w:ascii="Times New Roman" w:hAnsi="Times New Roman" w:eastAsia="Arial Unicode MS" w:cs="Times New Roman"/>
          <w:sz w:val="23"/>
          <w:szCs w:val="23"/>
          <w:lang w:val="es-ES" w:eastAsia="ar-SA"/>
        </w:rPr>
      </w:pPr>
      <w:r w:rsidRPr="1FC51A65" w:rsidR="00EA697A">
        <w:rPr>
          <w:rFonts w:ascii="Times New Roman" w:hAnsi="Times New Roman" w:eastAsia="Arial Unicode MS" w:cs="Times New Roman"/>
          <w:sz w:val="23"/>
          <w:szCs w:val="23"/>
          <w:lang w:eastAsia="ar-SA"/>
        </w:rPr>
        <w:t xml:space="preserve">Que, el indicado recurso se sustenta resumidamente en lo siguiente: (1) el razonamiento expresado en la resolución apelada no </w:t>
      </w:r>
      <w:r w:rsidRPr="1FC51A65" w:rsidR="00EA697A">
        <w:rPr>
          <w:rFonts w:ascii="Times New Roman" w:hAnsi="Times New Roman" w:eastAsia="Arial Unicode MS" w:cs="Times New Roman"/>
          <w:sz w:val="23"/>
          <w:szCs w:val="23"/>
          <w:lang w:val="es-ES" w:eastAsia="ar-SA"/>
        </w:rPr>
        <w:t>resulta aplicable en el presente caso</w:t>
      </w:r>
      <w:r w:rsidRPr="1FC51A65" w:rsidR="00EA697A">
        <w:rPr>
          <w:rFonts w:ascii="Times New Roman" w:hAnsi="Times New Roman" w:eastAsia="Arial Unicode MS" w:cs="Times New Roman"/>
          <w:sz w:val="23"/>
          <w:szCs w:val="23"/>
          <w:lang w:eastAsia="ar-SA"/>
        </w:rPr>
        <w:t>; (2) si bien es cierto que en la póliza de seguros se establece que esta resulta aplicable a “</w:t>
      </w:r>
      <w:r w:rsidRPr="1FC51A65" w:rsidR="00EA697A">
        <w:rPr>
          <w:rFonts w:ascii="Times New Roman" w:hAnsi="Times New Roman" w:eastAsia="Arial Unicode MS" w:cs="Times New Roman"/>
          <w:i w:val="1"/>
          <w:iCs w:val="1"/>
          <w:sz w:val="23"/>
          <w:szCs w:val="23"/>
          <w:lang w:eastAsia="ar-SA"/>
        </w:rPr>
        <w:t xml:space="preserve">funcionarios, empleados, personal bajo contrato administrativo de servicio (CAS) y el personal autorizado especialmente por </w:t>
      </w:r>
      <w:r w:rsidRPr="1FC51A65" w:rsidR="3D5015BB">
        <w:rPr>
          <w:rFonts w:ascii="Times New Roman" w:hAnsi="Times New Roman" w:eastAsia="Arial Unicode MS" w:cs="Times New Roman"/>
          <w:i w:val="1"/>
          <w:iCs w:val="1"/>
          <w:sz w:val="23"/>
          <w:szCs w:val="23"/>
          <w:lang w:eastAsia="ar-SA"/>
        </w:rPr>
        <w:t>.........................................</w:t>
      </w:r>
      <w:r w:rsidRPr="1FC51A65" w:rsidR="00EA697A">
        <w:rPr>
          <w:rFonts w:ascii="Times New Roman" w:hAnsi="Times New Roman" w:eastAsia="Arial Unicode MS" w:cs="Times New Roman"/>
          <w:i w:val="1"/>
          <w:iCs w:val="1"/>
          <w:sz w:val="23"/>
          <w:szCs w:val="23"/>
          <w:lang w:eastAsia="ar-SA"/>
        </w:rPr>
        <w:t xml:space="preserve"> que realice actividades vinculadas al giro de la entidad -</w:t>
      </w:r>
      <w:r w:rsidRPr="1FC51A65" w:rsidR="3D5015BB">
        <w:rPr>
          <w:rFonts w:ascii="Times New Roman" w:hAnsi="Times New Roman" w:eastAsia="Arial Unicode MS" w:cs="Times New Roman"/>
          <w:i w:val="1"/>
          <w:iCs w:val="1"/>
          <w:sz w:val="23"/>
          <w:szCs w:val="23"/>
          <w:lang w:eastAsia="ar-SA"/>
        </w:rPr>
        <w:t>.........................................</w:t>
      </w:r>
      <w:r w:rsidRPr="1FC51A65" w:rsidR="00EA697A">
        <w:rPr>
          <w:rFonts w:ascii="Times New Roman" w:hAnsi="Times New Roman" w:eastAsia="Arial Unicode MS" w:cs="Times New Roman"/>
          <w:i w:val="1"/>
          <w:iCs w:val="1"/>
          <w:sz w:val="23"/>
          <w:szCs w:val="23"/>
          <w:lang w:eastAsia="ar-SA"/>
        </w:rPr>
        <w:t xml:space="preserve"> y/o subsidiarias y/o instituciones asociadas, existentes, por crearse, constituirse o adquirirse, que efectúan viajes por comisiones de servicio dentro del territorio nacional, por cuenta y orden de </w:t>
      </w:r>
      <w:r w:rsidRPr="1FC51A65" w:rsidR="3D5015BB">
        <w:rPr>
          <w:rFonts w:ascii="Times New Roman" w:hAnsi="Times New Roman" w:eastAsia="Arial Unicode MS" w:cs="Times New Roman"/>
          <w:i w:val="1"/>
          <w:iCs w:val="1"/>
          <w:sz w:val="23"/>
          <w:szCs w:val="23"/>
          <w:lang w:eastAsia="ar-SA"/>
        </w:rPr>
        <w:t>.........................................</w:t>
      </w:r>
      <w:r w:rsidRPr="1FC51A65" w:rsidR="00EA697A">
        <w:rPr>
          <w:rFonts w:ascii="Times New Roman" w:hAnsi="Times New Roman" w:eastAsia="Arial Unicode MS" w:cs="Times New Roman"/>
          <w:i w:val="1"/>
          <w:iCs w:val="1"/>
          <w:sz w:val="23"/>
          <w:szCs w:val="23"/>
          <w:lang w:eastAsia="ar-SA"/>
        </w:rPr>
        <w:t>, según declaraciones mensuales</w:t>
      </w:r>
      <w:r w:rsidRPr="1FC51A65" w:rsidR="00EA697A">
        <w:rPr>
          <w:rFonts w:ascii="Times New Roman" w:hAnsi="Times New Roman" w:eastAsia="Arial Unicode MS" w:cs="Times New Roman"/>
          <w:sz w:val="23"/>
          <w:szCs w:val="23"/>
          <w:lang w:eastAsia="ar-SA"/>
        </w:rPr>
        <w:t xml:space="preserve">”, de la redacción señalada no se desprende de manera inequívoca que esta se aplique tan solo a “trabajadores” de la entidad; (3) no se encuentra expresamente establecido que su aplicación sea para un grupo cerrado y taxativo sobre la base de una vinculación </w:t>
      </w:r>
      <w:r w:rsidRPr="1FC51A65" w:rsidR="00EA697A">
        <w:rPr>
          <w:rFonts w:ascii="Times New Roman" w:hAnsi="Times New Roman" w:eastAsia="Arial Unicode MS" w:cs="Times New Roman"/>
          <w:sz w:val="23"/>
          <w:szCs w:val="23"/>
          <w:lang w:val="es-ES" w:eastAsia="ar-SA"/>
        </w:rPr>
        <w:t xml:space="preserve">laboral preexistente con la entidad; (4) </w:t>
      </w:r>
      <w:r w:rsidRPr="1FC51A65" w:rsidR="00EA697A">
        <w:rPr>
          <w:rFonts w:ascii="Times New Roman" w:hAnsi="Times New Roman" w:eastAsia="Arial Unicode MS" w:cs="Times New Roman"/>
          <w:sz w:val="23"/>
          <w:szCs w:val="23"/>
          <w:lang w:eastAsia="ar-SA"/>
        </w:rPr>
        <w:t xml:space="preserve">el extremo referido a “el personal autorizado especialmente por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que realice actividades vinculadas al giro de la entidad (…)” fue constituido de dicha manera considerando que en dicho supuesto se encuentran incluidos las personas y/o locadores que realizan actividades (no labores, no funciones) vinculadas al (no propias del) giro de la entidad; (5) dicha cláusula fue propuesta de dicha manera por </w:t>
      </w:r>
      <w:r w:rsidRPr="1FC51A65" w:rsidR="0EB04109">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teniendo presente lo establecido en el Artículo III de la Ley </w:t>
      </w:r>
      <w:r w:rsidRPr="1FC51A65" w:rsidR="00EA697A">
        <w:rPr>
          <w:rFonts w:ascii="Times New Roman" w:hAnsi="Times New Roman" w:eastAsia="Arial Unicode MS" w:cs="Times New Roman"/>
          <w:sz w:val="23"/>
          <w:szCs w:val="23"/>
          <w:lang w:eastAsia="ar-SA"/>
        </w:rPr>
        <w:t>N°</w:t>
      </w:r>
      <w:r w:rsidRPr="1FC51A65" w:rsidR="00EA697A">
        <w:rPr>
          <w:rFonts w:ascii="Times New Roman" w:hAnsi="Times New Roman" w:eastAsia="Arial Unicode MS" w:cs="Times New Roman"/>
          <w:sz w:val="23"/>
          <w:szCs w:val="23"/>
          <w:lang w:eastAsia="ar-SA"/>
        </w:rPr>
        <w:t xml:space="preserve"> 29946 - Ley del Contrato de Seguro (“El contrato de seguro se celebra por adhesión (…)”), por lo que, de existir una interpretación diferente a la señalada, ello no es responsabilidad de la entidad al ser la empresa quien la propuso, no siendo ello oponible en perjuicio de la entidad para sustraerse de la obligación contraída; (6) corresponde tener presente lo estipulado en el literal f) del Artículo II de la Ley </w:t>
      </w:r>
      <w:r w:rsidRPr="1FC51A65" w:rsidR="00EA697A">
        <w:rPr>
          <w:rFonts w:ascii="Times New Roman" w:hAnsi="Times New Roman" w:eastAsia="Arial Unicode MS" w:cs="Times New Roman"/>
          <w:sz w:val="23"/>
          <w:szCs w:val="23"/>
          <w:lang w:eastAsia="ar-SA"/>
        </w:rPr>
        <w:t>N°</w:t>
      </w:r>
      <w:r w:rsidRPr="1FC51A65" w:rsidR="00EA697A">
        <w:rPr>
          <w:rFonts w:ascii="Times New Roman" w:hAnsi="Times New Roman" w:eastAsia="Arial Unicode MS" w:cs="Times New Roman"/>
          <w:sz w:val="23"/>
          <w:szCs w:val="23"/>
          <w:lang w:eastAsia="ar-SA"/>
        </w:rPr>
        <w:t xml:space="preserve"> 29946, que establece que “Las estipulaciones insertas en la póliza </w:t>
      </w:r>
      <w:r w:rsidRPr="1FC51A65" w:rsidR="00EA697A">
        <w:rPr>
          <w:rFonts w:ascii="Times New Roman" w:hAnsi="Times New Roman" w:eastAsia="Arial Unicode MS" w:cs="Times New Roman"/>
          <w:sz w:val="23"/>
          <w:szCs w:val="23"/>
          <w:lang w:val="es-ES" w:eastAsia="ar-SA"/>
        </w:rPr>
        <w:t>se interpretan, en caso de duda, a favor del asegurado”; (7) l</w:t>
      </w:r>
      <w:r w:rsidRPr="1FC51A65" w:rsidR="00EA697A">
        <w:rPr>
          <w:rFonts w:ascii="Times New Roman" w:hAnsi="Times New Roman" w:eastAsia="Arial Unicode MS" w:cs="Times New Roman"/>
          <w:sz w:val="23"/>
          <w:szCs w:val="23"/>
          <w:lang w:eastAsia="ar-SA"/>
        </w:rPr>
        <w:t xml:space="preserve">a interpretación señalada en la Resolución apelada no responde al espíritu de la propuesta que ha sido establecida expresamente en la póliza de seguros puesto que conlleva a interpretar el extremo referido a “el personal autorizado especialmente por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que realice actividades vinculadas al giro de la </w:t>
      </w:r>
      <w:r w:rsidRPr="1FC51A65" w:rsidR="00EA697A">
        <w:rPr>
          <w:rFonts w:ascii="Times New Roman" w:hAnsi="Times New Roman" w:eastAsia="Arial Unicode MS" w:cs="Times New Roman"/>
          <w:sz w:val="23"/>
          <w:szCs w:val="23"/>
          <w:lang w:val="es-ES" w:eastAsia="ar-SA"/>
        </w:rPr>
        <w:t xml:space="preserve">entidad” a modo de “los trabajadores autorizados especialmente por </w:t>
      </w:r>
      <w:r w:rsidRPr="1FC51A65" w:rsidR="3D5015BB">
        <w:rPr>
          <w:rFonts w:ascii="Times New Roman" w:hAnsi="Times New Roman" w:eastAsia="Arial Unicode MS" w:cs="Times New Roman"/>
          <w:sz w:val="23"/>
          <w:szCs w:val="23"/>
          <w:lang w:val="es-ES" w:eastAsia="ar-SA"/>
        </w:rPr>
        <w:t>.........................................</w:t>
      </w:r>
      <w:r w:rsidRPr="1FC51A65" w:rsidR="00EA697A">
        <w:rPr>
          <w:rFonts w:ascii="Times New Roman" w:hAnsi="Times New Roman" w:eastAsia="Arial Unicode MS" w:cs="Times New Roman"/>
          <w:sz w:val="23"/>
          <w:szCs w:val="23"/>
          <w:lang w:val="es-ES" w:eastAsia="ar-SA"/>
        </w:rPr>
        <w:t xml:space="preserve"> </w:t>
      </w:r>
      <w:r w:rsidRPr="1FC51A65" w:rsidR="00EA697A">
        <w:rPr>
          <w:rFonts w:ascii="Times New Roman" w:hAnsi="Times New Roman" w:eastAsia="Arial Unicode MS" w:cs="Times New Roman"/>
          <w:sz w:val="23"/>
          <w:szCs w:val="23"/>
          <w:lang w:eastAsia="ar-SA"/>
        </w:rPr>
        <w:t>que realicen funciones para la entidad” premisa absolutamente diferente a la original; (8) dicha interpretación no hace sino vaciar de contenido a este extremo de la póliza puesto que: (i) los trabajadores de la entidad se encuentran obligados por contrato laboral a desempeñar sus funciones, no requiriendo de autorización expresa para realizar las mismas, (</w:t>
      </w:r>
      <w:r w:rsidRPr="1FC51A65" w:rsidR="00EA697A">
        <w:rPr>
          <w:rFonts w:ascii="Times New Roman" w:hAnsi="Times New Roman" w:eastAsia="Arial Unicode MS" w:cs="Times New Roman"/>
          <w:sz w:val="23"/>
          <w:szCs w:val="23"/>
          <w:lang w:eastAsia="ar-SA"/>
        </w:rPr>
        <w:t>ii</w:t>
      </w:r>
      <w:r w:rsidRPr="1FC51A65" w:rsidR="00EA697A">
        <w:rPr>
          <w:rFonts w:ascii="Times New Roman" w:hAnsi="Times New Roman" w:eastAsia="Arial Unicode MS" w:cs="Times New Roman"/>
          <w:sz w:val="23"/>
          <w:szCs w:val="23"/>
          <w:lang w:eastAsia="ar-SA"/>
        </w:rPr>
        <w:t xml:space="preserve">) en </w:t>
      </w:r>
      <w:r w:rsidRPr="1FC51A65" w:rsidR="00EA697A">
        <w:rPr>
          <w:rFonts w:ascii="Times New Roman" w:hAnsi="Times New Roman" w:eastAsia="Arial Unicode MS" w:cs="Times New Roman"/>
          <w:i w:val="1"/>
          <w:iCs w:val="1"/>
          <w:sz w:val="23"/>
          <w:szCs w:val="23"/>
          <w:lang w:eastAsia="ar-SA"/>
        </w:rPr>
        <w:t xml:space="preserve">estricto </w:t>
      </w:r>
      <w:r w:rsidRPr="1FC51A65" w:rsidR="00EA697A">
        <w:rPr>
          <w:rFonts w:ascii="Times New Roman" w:hAnsi="Times New Roman" w:eastAsia="Arial Unicode MS" w:cs="Times New Roman"/>
          <w:i w:val="1"/>
          <w:iCs w:val="1"/>
          <w:sz w:val="23"/>
          <w:szCs w:val="23"/>
          <w:lang w:eastAsia="ar-SA"/>
        </w:rPr>
        <w:t>sensum</w:t>
      </w:r>
      <w:r w:rsidRPr="1FC51A65" w:rsidR="00EA697A">
        <w:rPr>
          <w:rFonts w:ascii="Times New Roman" w:hAnsi="Times New Roman" w:eastAsia="Arial Unicode MS" w:cs="Times New Roman"/>
          <w:sz w:val="23"/>
          <w:szCs w:val="23"/>
          <w:lang w:eastAsia="ar-SA"/>
        </w:rPr>
        <w:t xml:space="preserve">, son los locadores de servicios aquellas personas que realizan “actividades vinculadas al giro de la entidad” y quienes, dependiendo de la naturaleza de la misma, requieren de particular autorización para su desarrollo, más aún si implican desplazamiento físico, el cual corre a cuenta </w:t>
      </w:r>
      <w:r w:rsidRPr="1FC51A65" w:rsidR="00EA697A">
        <w:rPr>
          <w:rFonts w:ascii="Times New Roman" w:hAnsi="Times New Roman" w:eastAsia="Arial Unicode MS" w:cs="Times New Roman"/>
          <w:sz w:val="23"/>
          <w:szCs w:val="23"/>
          <w:lang w:val="es-ES" w:eastAsia="ar-SA"/>
        </w:rPr>
        <w:t>de la entidad, tal como se establece en los contratos suscritos; (9) re</w:t>
      </w:r>
      <w:r w:rsidRPr="1FC51A65" w:rsidR="00EA697A">
        <w:rPr>
          <w:rFonts w:ascii="Times New Roman" w:hAnsi="Times New Roman" w:eastAsia="Arial Unicode MS" w:cs="Times New Roman"/>
          <w:sz w:val="23"/>
          <w:szCs w:val="23"/>
          <w:lang w:eastAsia="ar-SA"/>
        </w:rPr>
        <w:t>sulta</w:t>
      </w:r>
      <w:r w:rsidRPr="1FC51A65" w:rsidR="00EA697A">
        <w:rPr>
          <w:rFonts w:ascii="Times New Roman" w:hAnsi="Times New Roman" w:eastAsia="Arial Unicode MS" w:cs="Times New Roman"/>
          <w:sz w:val="23"/>
          <w:szCs w:val="23"/>
          <w:lang w:eastAsia="ar-SA"/>
        </w:rPr>
        <w:t xml:space="preserve"> limitativa para las facultades de la entidad con respecto al personal con el cual se vincula laboral o contractualmente, toda vez que la constriñe a ajustar su actuación autoritativa tan solo al personal laboralmente vinculado a ella, privándola, por ejemplo, de proporcionar las autorizaciones que correspondan al personal que requiera trasladarse o desplazarse físicamente para el desarrollo de sus actividades, aun cuando se encuentren civilmente contratados; (10) ello </w:t>
      </w:r>
      <w:r w:rsidRPr="1FC51A65" w:rsidR="00EA697A">
        <w:rPr>
          <w:rFonts w:ascii="Times New Roman" w:hAnsi="Times New Roman" w:eastAsia="Arial Unicode MS" w:cs="Times New Roman"/>
          <w:sz w:val="23"/>
          <w:szCs w:val="23"/>
          <w:lang w:eastAsia="ar-SA"/>
        </w:rPr>
        <w:t xml:space="preserve">constituya una restricción velada contraria a la Regla Octava del Artículo IV de la Ley </w:t>
      </w:r>
      <w:r w:rsidRPr="1FC51A65" w:rsidR="00EA697A">
        <w:rPr>
          <w:rFonts w:ascii="Times New Roman" w:hAnsi="Times New Roman" w:eastAsia="Arial Unicode MS" w:cs="Times New Roman"/>
          <w:sz w:val="23"/>
          <w:szCs w:val="23"/>
          <w:lang w:eastAsia="ar-SA"/>
        </w:rPr>
        <w:t>N°</w:t>
      </w:r>
      <w:r w:rsidRPr="1FC51A65" w:rsidR="00EA697A">
        <w:rPr>
          <w:rFonts w:ascii="Times New Roman" w:hAnsi="Times New Roman" w:eastAsia="Arial Unicode MS" w:cs="Times New Roman"/>
          <w:sz w:val="23"/>
          <w:szCs w:val="23"/>
          <w:lang w:eastAsia="ar-SA"/>
        </w:rPr>
        <w:t xml:space="preserve"> 29946 (“Las restricciones a la libre actividad del asegurado deben </w:t>
      </w:r>
      <w:r w:rsidRPr="1FC51A65" w:rsidR="00EA697A">
        <w:rPr>
          <w:rFonts w:ascii="Times New Roman" w:hAnsi="Times New Roman" w:eastAsia="Arial Unicode MS" w:cs="Times New Roman"/>
          <w:sz w:val="23"/>
          <w:szCs w:val="23"/>
          <w:lang w:val="es-ES" w:eastAsia="ar-SA"/>
        </w:rPr>
        <w:t>formularse expresamente e interpretarse literalmente”); (11) l</w:t>
      </w:r>
      <w:r w:rsidRPr="1FC51A65" w:rsidR="00EA697A">
        <w:rPr>
          <w:rFonts w:ascii="Times New Roman" w:hAnsi="Times New Roman" w:eastAsia="Arial Unicode MS" w:cs="Times New Roman"/>
          <w:sz w:val="23"/>
          <w:szCs w:val="23"/>
          <w:lang w:eastAsia="ar-SA"/>
        </w:rPr>
        <w:t xml:space="preserve">a “distinción” a la que se alude en la Resolución emitida obedece a que se requiere especificar que serán asegurados incluso aquellos trabajadores que la entidad autorice y envíe en comisión de servicios a realizar actividades de su giro en sus subsidiarias y/o instituciones afiliadas, debiendo incluirlas en sus declaraciones mensuales (lo que aplica para todos los casos); (12) dada la literalidad de la frase, y las consideraciones previamente expuestas, dicho literal d) no puede comprender a locadores de servicios que no </w:t>
      </w:r>
      <w:r w:rsidRPr="1FC51A65" w:rsidR="00EA697A">
        <w:rPr>
          <w:rFonts w:ascii="Times New Roman" w:hAnsi="Times New Roman" w:eastAsia="Arial Unicode MS" w:cs="Times New Roman"/>
          <w:sz w:val="23"/>
          <w:szCs w:val="23"/>
          <w:lang w:val="es-ES" w:eastAsia="ar-SA"/>
        </w:rPr>
        <w:t xml:space="preserve">tienen relación laboral con </w:t>
      </w:r>
      <w:r w:rsidRPr="1FC51A65" w:rsidR="3D5015BB">
        <w:rPr>
          <w:rFonts w:ascii="Times New Roman" w:hAnsi="Times New Roman" w:eastAsia="Arial Unicode MS" w:cs="Times New Roman"/>
          <w:sz w:val="23"/>
          <w:szCs w:val="23"/>
          <w:lang w:val="es-ES" w:eastAsia="ar-SA"/>
        </w:rPr>
        <w:t>.........................................</w:t>
      </w:r>
      <w:r w:rsidRPr="1FC51A65" w:rsidR="00EA697A">
        <w:rPr>
          <w:rFonts w:ascii="Times New Roman" w:hAnsi="Times New Roman" w:eastAsia="Arial Unicode MS" w:cs="Times New Roman"/>
          <w:sz w:val="23"/>
          <w:szCs w:val="23"/>
          <w:lang w:val="es-ES" w:eastAsia="ar-SA"/>
        </w:rPr>
        <w:t xml:space="preserve">”) no tiene asidero fáctico y resulta </w:t>
      </w:r>
      <w:r w:rsidRPr="1FC51A65" w:rsidR="00EA697A">
        <w:rPr>
          <w:rFonts w:ascii="Times New Roman" w:hAnsi="Times New Roman" w:eastAsia="Arial Unicode MS" w:cs="Times New Roman"/>
          <w:sz w:val="23"/>
          <w:szCs w:val="23"/>
          <w:lang w:eastAsia="ar-SA"/>
        </w:rPr>
        <w:t xml:space="preserve">absolutamente innecesaria e insustancial puesto que, bajo el mismo razonamiento de </w:t>
      </w:r>
      <w:r w:rsidRPr="1FC51A65" w:rsidR="0EB04109">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las personas indicadas en el literal b), se encuentran cubiertas por la póliza de seguro por su misma condición de trabajador, sin perjuicio que se encuentren desempeñando labores en su puesto de trabajo (en la sede central o en las Oficinas Zonales de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o que se encuentren en comisión de servicio (en la sede central o en las Oficinas Zonales de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(13)  dicha “especificación” no responde al espíritu del personal que se encuentra bajo la cobertura de la póliza; por lo que, ergo, el literal d) sí comprende al personal locador de servicios que, como el caso del Sr. </w:t>
      </w:r>
      <w:r w:rsidRPr="1FC51A65" w:rsidR="701A7A81">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w:t>
      </w:r>
      <w:r w:rsidRPr="1FC51A65" w:rsidR="1AA5BF7E">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Ávila y, en virtud a lo establecido en la Cláusula Tercera del Contrato de Locación de Servicios, requiere autorización de la entidad para </w:t>
      </w:r>
      <w:r w:rsidRPr="1FC51A65" w:rsidR="00EA697A">
        <w:rPr>
          <w:rFonts w:ascii="Times New Roman" w:hAnsi="Times New Roman" w:eastAsia="Arial Unicode MS" w:cs="Times New Roman"/>
          <w:sz w:val="23"/>
          <w:szCs w:val="23"/>
          <w:lang w:val="es-ES" w:eastAsia="ar-SA"/>
        </w:rPr>
        <w:t>el desarrollo de sus actividades, vinculadas al giro de la entidad; (14) leída</w:t>
      </w:r>
      <w:r w:rsidRPr="1FC51A65" w:rsidR="00EA697A">
        <w:rPr>
          <w:rFonts w:ascii="Times New Roman" w:hAnsi="Times New Roman" w:eastAsia="Arial Unicode MS" w:cs="Times New Roman"/>
          <w:sz w:val="23"/>
          <w:szCs w:val="23"/>
          <w:lang w:eastAsia="ar-SA"/>
        </w:rPr>
        <w:t xml:space="preserve"> de manera completa y en su contexto, el extremo de la póliza contenido en el décimo párrafo de las condiciones especiales que expresamente establece que la cobertura entra en vigor a partir de la “vinculación laboral del trabajador con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no tiene como finalidad establecer una condición distintiva en relación a quienes se encuentran asegurados por la póliza y quienes no, sino establecer la obligación de </w:t>
      </w:r>
      <w:r w:rsidRPr="1FC51A65" w:rsidR="0EB04109">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de responder frente a la obligación aun cuando se encuentra pendiente la declaración del personal de la entidad frente a la empresa, tomando como punto de referencia e inicio de la cobertura, (la fecha de) el contrato suscrito (“La cobertura </w:t>
      </w:r>
      <w:r w:rsidRPr="1FC51A65" w:rsidR="00EA697A">
        <w:rPr>
          <w:rFonts w:ascii="Times New Roman" w:hAnsi="Times New Roman" w:eastAsia="Arial Unicode MS" w:cs="Times New Roman"/>
          <w:sz w:val="23"/>
          <w:szCs w:val="23"/>
          <w:lang w:eastAsia="ar-SA"/>
        </w:rPr>
        <w:t>entra en vigencia</w:t>
      </w:r>
      <w:r w:rsidRPr="1FC51A65" w:rsidR="00EA697A">
        <w:rPr>
          <w:rFonts w:ascii="Times New Roman" w:hAnsi="Times New Roman" w:eastAsia="Arial Unicode MS" w:cs="Times New Roman"/>
          <w:sz w:val="23"/>
          <w:szCs w:val="23"/>
          <w:lang w:eastAsia="ar-SA"/>
        </w:rPr>
        <w:t xml:space="preserve"> a partir de la vinculación laboral del trabajador con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por lo que, en caso de accidente, la aseguradora cubrirá el siniestro aun cuando se </w:t>
      </w:r>
      <w:r w:rsidRPr="1FC51A65" w:rsidR="00EA697A">
        <w:rPr>
          <w:rFonts w:ascii="Times New Roman" w:hAnsi="Times New Roman" w:eastAsia="Arial Unicode MS" w:cs="Times New Roman"/>
          <w:sz w:val="23"/>
          <w:szCs w:val="23"/>
          <w:lang w:val="es-ES" w:eastAsia="ar-SA"/>
        </w:rPr>
        <w:t>encuentre pendiente el aviso de inclusión del asegurado”).</w:t>
      </w:r>
    </w:p>
    <w:p w:rsidRPr="00EA697A" w:rsidR="00EA697A" w:rsidP="1FC51A65" w:rsidRDefault="00EA697A" w14:paraId="7A92A585" w14:textId="013AAEAE">
      <w:pPr>
        <w:jc w:val="both"/>
        <w:rPr>
          <w:rFonts w:ascii="Times New Roman" w:hAnsi="Times New Roman" w:eastAsia="Arial Unicode MS" w:cs="Times New Roman"/>
          <w:sz w:val="23"/>
          <w:szCs w:val="23"/>
          <w:lang w:eastAsia="ar-SA"/>
        </w:rPr>
      </w:pPr>
      <w:r w:rsidRPr="1FC51A65" w:rsidR="00EA697A">
        <w:rPr>
          <w:rFonts w:ascii="Times New Roman" w:hAnsi="Times New Roman" w:eastAsia="Arial Unicode MS" w:cs="Times New Roman"/>
          <w:sz w:val="23"/>
          <w:szCs w:val="23"/>
          <w:lang w:val="es-MX" w:eastAsia="ar-SA"/>
        </w:rPr>
        <w:t>Que, la aseguradora absolvió el traslado del recurso interpuesto, manifestando en síntesis lo siguiente: (1) p</w:t>
      </w:r>
      <w:r w:rsidRPr="1FC51A65" w:rsidR="00EA697A">
        <w:rPr>
          <w:rFonts w:ascii="Times New Roman" w:hAnsi="Times New Roman" w:eastAsia="Arial Unicode MS" w:cs="Times New Roman"/>
          <w:sz w:val="23"/>
          <w:szCs w:val="23"/>
          <w:lang w:val="es-ES" w:eastAsia="ar-SA"/>
        </w:rPr>
        <w:t xml:space="preserve">ara </w:t>
      </w:r>
      <w:r w:rsidRPr="1FC51A65" w:rsidR="3D5015BB">
        <w:rPr>
          <w:rFonts w:ascii="Times New Roman" w:hAnsi="Times New Roman" w:eastAsia="Arial Unicode MS" w:cs="Times New Roman"/>
          <w:sz w:val="23"/>
          <w:szCs w:val="23"/>
          <w:lang w:val="es-ES" w:eastAsia="ar-SA"/>
        </w:rPr>
        <w:t>.........................................</w:t>
      </w:r>
      <w:r w:rsidRPr="1FC51A65" w:rsidR="00EA697A">
        <w:rPr>
          <w:rFonts w:ascii="Times New Roman" w:hAnsi="Times New Roman" w:eastAsia="Arial Unicode MS" w:cs="Times New Roman"/>
          <w:sz w:val="23"/>
          <w:szCs w:val="23"/>
          <w:lang w:val="es-ES" w:eastAsia="ar-SA"/>
        </w:rPr>
        <w:t xml:space="preserve"> el </w:t>
      </w:r>
      <w:r w:rsidRPr="1FC51A65" w:rsidR="00EA697A">
        <w:rPr>
          <w:rFonts w:ascii="Times New Roman" w:hAnsi="Times New Roman" w:eastAsia="Arial Unicode MS" w:cs="Times New Roman"/>
          <w:i w:val="1"/>
          <w:iCs w:val="1"/>
          <w:sz w:val="23"/>
          <w:szCs w:val="23"/>
          <w:lang w:val="es-ES" w:eastAsia="ar-SA"/>
        </w:rPr>
        <w:t>extremo</w:t>
      </w:r>
      <w:r w:rsidRPr="1FC51A65" w:rsidR="00EA697A">
        <w:rPr>
          <w:rFonts w:ascii="Times New Roman" w:hAnsi="Times New Roman" w:eastAsia="Arial Unicode MS" w:cs="Times New Roman"/>
          <w:sz w:val="23"/>
          <w:szCs w:val="23"/>
          <w:lang w:val="es-ES" w:eastAsia="ar-SA"/>
        </w:rPr>
        <w:t xml:space="preserve"> (supuesto de hecho) de </w:t>
      </w:r>
      <w:r w:rsidRPr="1FC51A65" w:rsidR="00EA697A">
        <w:rPr>
          <w:rFonts w:ascii="Times New Roman" w:hAnsi="Times New Roman" w:eastAsia="Arial Unicode MS" w:cs="Times New Roman"/>
          <w:sz w:val="23"/>
          <w:szCs w:val="23"/>
          <w:lang w:val="es-ES" w:eastAsia="ar-SA"/>
        </w:rPr>
        <w:t>la  cláusula</w:t>
      </w:r>
      <w:r w:rsidRPr="1FC51A65" w:rsidR="00EA697A">
        <w:rPr>
          <w:rFonts w:ascii="Times New Roman" w:hAnsi="Times New Roman" w:eastAsia="Arial Unicode MS" w:cs="Times New Roman"/>
          <w:sz w:val="23"/>
          <w:szCs w:val="23"/>
          <w:lang w:val="es-ES" w:eastAsia="ar-SA"/>
        </w:rPr>
        <w:t xml:space="preserve"> debe ser interpretado de manera abierta, y no de la forma correcta como lo ha hecho la Defensoría del Asegurado – </w:t>
      </w:r>
      <w:r w:rsidRPr="1FC51A65" w:rsidR="00EA697A">
        <w:rPr>
          <w:rFonts w:ascii="Times New Roman" w:hAnsi="Times New Roman" w:eastAsia="Arial Unicode MS" w:cs="Times New Roman"/>
          <w:sz w:val="23"/>
          <w:szCs w:val="23"/>
          <w:lang w:eastAsia="ar-SA"/>
        </w:rPr>
        <w:t>DEFASEG</w:t>
      </w:r>
      <w:r w:rsidRPr="1FC51A65" w:rsidR="00EA697A">
        <w:rPr>
          <w:rFonts w:ascii="Times New Roman" w:hAnsi="Times New Roman" w:eastAsia="Arial Unicode MS" w:cs="Times New Roman"/>
          <w:sz w:val="23"/>
          <w:szCs w:val="23"/>
          <w:lang w:val="es-ES" w:eastAsia="ar-SA"/>
        </w:rPr>
        <w:t xml:space="preserve"> en la resolución que ha sido apelada por la reclamante; (2)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señala erróneamente que, de dicho supuesto, no se desprende que este se aplique solo a los trabajadores de la Entidad; (3) intenta forzar una explicación que justifique su postura señalando que la indicada cláusula fue constituida considerando a las personas y/o locadores que realizan actividades vinculadas al giro de la referida Entidad (cuando en realidad, de la lectura de la mencionada cláusula no se puede colegir dicha conclusión bajo ningún supuesto de análisis); (4) la resolución recurrida ha aplicado correctamente lo que sí aplica en el presente caso, lo cual es el Principio de Literalidad en la interpretación del contrato de seguro, de conformidad a lo prescrito en el párrafo séptimo del artículo IV de la Ley del Contrato de Seguro; (5) de la </w:t>
      </w:r>
      <w:r w:rsidRPr="1FC51A65" w:rsidR="00EA697A">
        <w:rPr>
          <w:rFonts w:ascii="Times New Roman" w:hAnsi="Times New Roman" w:eastAsia="Arial Unicode MS" w:cs="Times New Roman"/>
          <w:sz w:val="23"/>
          <w:szCs w:val="23"/>
          <w:lang w:eastAsia="ar-SA"/>
        </w:rPr>
        <w:t>revision</w:t>
      </w:r>
      <w:r w:rsidRPr="1FC51A65" w:rsidR="00EA697A">
        <w:rPr>
          <w:rFonts w:ascii="Times New Roman" w:hAnsi="Times New Roman" w:eastAsia="Arial Unicode MS" w:cs="Times New Roman"/>
          <w:sz w:val="23"/>
          <w:szCs w:val="23"/>
          <w:lang w:eastAsia="ar-SA"/>
        </w:rPr>
        <w:t xml:space="preserve"> del indicado pronunciamiento se ha explicado, en abundancia, que la aplicación del referido principio es corroborado –inclusive- de la lectura sistemática de la póliza, en tanto en varios extremos de la misma se ha aludido expresamente a la vinculación laboral que debe tener quien se beneficie del seguro como consecuencia de accidente; (6) el contenido de la póliza </w:t>
      </w:r>
      <w:r w:rsidRPr="1FC51A65" w:rsidR="00EA697A">
        <w:rPr>
          <w:rFonts w:ascii="Times New Roman" w:hAnsi="Times New Roman" w:eastAsia="Arial Unicode MS" w:cs="Times New Roman"/>
          <w:sz w:val="23"/>
          <w:szCs w:val="23"/>
          <w:lang w:eastAsia="ar-SA"/>
        </w:rPr>
        <w:t>esta</w:t>
      </w:r>
      <w:r w:rsidRPr="1FC51A65" w:rsidR="00EA697A">
        <w:rPr>
          <w:rFonts w:ascii="Times New Roman" w:hAnsi="Times New Roman" w:eastAsia="Arial Unicode MS" w:cs="Times New Roman"/>
          <w:sz w:val="23"/>
          <w:szCs w:val="23"/>
          <w:lang w:eastAsia="ar-SA"/>
        </w:rPr>
        <w:t xml:space="preserve"> dirigido a asegurar a quienes mantienen un </w:t>
      </w:r>
      <w:r w:rsidRPr="1FC51A65" w:rsidR="00EA697A">
        <w:rPr>
          <w:rFonts w:ascii="Times New Roman" w:hAnsi="Times New Roman" w:eastAsia="Arial Unicode MS" w:cs="Times New Roman"/>
          <w:sz w:val="23"/>
          <w:szCs w:val="23"/>
          <w:lang w:eastAsia="ar-SA"/>
        </w:rPr>
        <w:t>vinculo</w:t>
      </w:r>
      <w:r w:rsidRPr="1FC51A65" w:rsidR="00EA697A">
        <w:rPr>
          <w:rFonts w:ascii="Times New Roman" w:hAnsi="Times New Roman" w:eastAsia="Arial Unicode MS" w:cs="Times New Roman"/>
          <w:sz w:val="23"/>
          <w:szCs w:val="23"/>
          <w:lang w:eastAsia="ar-SA"/>
        </w:rPr>
        <w:t xml:space="preserve"> laboral, pero convenientemente para la empresa reclamante, la condición contenida en la cláusula especial de la póliza, se debe interpretar de manera distinta al verdadero objetivo de la póliza, obviamente en beneficio de lo pretendido por la empresa reclamante, materia del presente reclamo; </w:t>
      </w:r>
      <w:r w:rsidRPr="1FC51A65" w:rsidR="00EA697A">
        <w:rPr>
          <w:rFonts w:ascii="Times New Roman" w:hAnsi="Times New Roman" w:eastAsia="Arial Unicode MS" w:cs="Times New Roman"/>
          <w:sz w:val="23"/>
          <w:szCs w:val="23"/>
          <w:lang w:eastAsia="ar-SA"/>
        </w:rPr>
        <w:t>(7) la lectura formulada por la reclamante es más bien transgresora del referido Principio de Literalidad en la interpretación del contrato de seguro y con la finalidad -irregular- de ampliar artificialmente el ámbito de aplicación del mismo, con el único propósito de forzar la inclusión de quien, por definición, no se encuentra cubierto; (8) si</w:t>
      </w:r>
      <w:r w:rsidRPr="1FC51A65" w:rsidR="00EA697A">
        <w:rPr>
          <w:rFonts w:ascii="Times New Roman" w:hAnsi="Times New Roman" w:eastAsia="Arial Unicode MS" w:cs="Times New Roman"/>
          <w:sz w:val="23"/>
          <w:szCs w:val="23"/>
          <w:lang w:val="es-ES" w:eastAsia="ar-SA"/>
        </w:rPr>
        <w:t xml:space="preserve"> la indicada cláusula fue constituida -como dice el recurrente- considerando a las personas y/o locadores que realizan actividades vinculadas al giro de la referida Entidad, cabría preguntarse, en atención Principio de Literalidad, ¿por qué dentro de la negociación con </w:t>
      </w:r>
      <w:r w:rsidRPr="1FC51A65" w:rsidR="1FF7B679">
        <w:rPr>
          <w:rFonts w:ascii="Times New Roman" w:hAnsi="Times New Roman" w:eastAsia="Arial Unicode MS" w:cs="Times New Roman"/>
          <w:sz w:val="23"/>
          <w:szCs w:val="23"/>
          <w:lang w:val="es-ES" w:eastAsia="ar-SA"/>
        </w:rPr>
        <w:t>.......................</w:t>
      </w:r>
      <w:r w:rsidRPr="1FC51A65" w:rsidR="00EA697A">
        <w:rPr>
          <w:rFonts w:ascii="Times New Roman" w:hAnsi="Times New Roman" w:eastAsia="Arial Unicode MS" w:cs="Times New Roman"/>
          <w:sz w:val="23"/>
          <w:szCs w:val="23"/>
          <w:lang w:val="es-ES" w:eastAsia="ar-SA"/>
        </w:rPr>
        <w:t xml:space="preserve"> no se estableció expresamente que los locadores también se encontraban comprendidos en el alcance del contrato de seguro?; (9) resulta por demás evidente que no fueron comprendidos porque la Entidad; (10) tampoco tuvieron intención alguna de incorporarlos al no haberlo solicitado -ni tampoco nunca hubo la intensión de comprenderlos en el texto de la condición especial, al menos no en la pre contractual antes de la emisión de la póliza-; razón por la que su actual inclusión forzosa (o extracontractual) no puede ser resuelta por </w:t>
      </w:r>
      <w:r w:rsidRPr="1FC51A65" w:rsidR="1FF7B679">
        <w:rPr>
          <w:rFonts w:ascii="Times New Roman" w:hAnsi="Times New Roman" w:eastAsia="Arial Unicode MS" w:cs="Times New Roman"/>
          <w:sz w:val="23"/>
          <w:szCs w:val="23"/>
          <w:lang w:val="es-ES" w:eastAsia="ar-SA"/>
        </w:rPr>
        <w:t>.......................</w:t>
      </w:r>
      <w:r w:rsidRPr="1FC51A65" w:rsidR="00EA697A">
        <w:rPr>
          <w:rFonts w:ascii="Times New Roman" w:hAnsi="Times New Roman" w:eastAsia="Arial Unicode MS" w:cs="Times New Roman"/>
          <w:sz w:val="23"/>
          <w:szCs w:val="23"/>
          <w:lang w:val="es-ES" w:eastAsia="ar-SA"/>
        </w:rPr>
        <w:t>, sino -</w:t>
      </w:r>
      <w:r w:rsidRPr="1FC51A65" w:rsidR="00EA697A">
        <w:rPr>
          <w:rFonts w:ascii="Times New Roman" w:hAnsi="Times New Roman" w:eastAsia="Arial Unicode MS" w:cs="Times New Roman"/>
          <w:i w:val="1"/>
          <w:iCs w:val="1"/>
          <w:sz w:val="23"/>
          <w:szCs w:val="23"/>
          <w:lang w:val="es-ES" w:eastAsia="ar-SA"/>
        </w:rPr>
        <w:t xml:space="preserve">ex ante- </w:t>
      </w:r>
      <w:r w:rsidRPr="1FC51A65" w:rsidR="00EA697A">
        <w:rPr>
          <w:rFonts w:ascii="Times New Roman" w:hAnsi="Times New Roman" w:eastAsia="Arial Unicode MS" w:cs="Times New Roman"/>
          <w:sz w:val="23"/>
          <w:szCs w:val="23"/>
          <w:lang w:val="es-ES" w:eastAsia="ar-SA"/>
        </w:rPr>
        <w:t>por la propia Entidad dentro del marco de sus funciones; (11)</w:t>
      </w:r>
      <w:r w:rsidRPr="1FC51A65" w:rsidR="00EA697A">
        <w:rPr>
          <w:rFonts w:ascii="Times New Roman" w:hAnsi="Times New Roman" w:eastAsia="Arial Unicode MS" w:cs="Times New Roman"/>
          <w:sz w:val="23"/>
          <w:szCs w:val="23"/>
          <w:lang w:val="es-MX" w:eastAsia="ar-SA"/>
        </w:rPr>
        <w:t xml:space="preserve"> si bien, en caso de duda en la </w:t>
      </w:r>
      <w:r w:rsidRPr="1FC51A65" w:rsidR="00EA697A">
        <w:rPr>
          <w:rFonts w:ascii="Times New Roman" w:hAnsi="Times New Roman" w:eastAsia="Arial Unicode MS" w:cs="Times New Roman"/>
          <w:sz w:val="23"/>
          <w:szCs w:val="23"/>
          <w:lang w:val="es-MX" w:eastAsia="ar-SA"/>
        </w:rPr>
        <w:t>interpretacion</w:t>
      </w:r>
      <w:r w:rsidRPr="1FC51A65" w:rsidR="00EA697A">
        <w:rPr>
          <w:rFonts w:ascii="Times New Roman" w:hAnsi="Times New Roman" w:eastAsia="Arial Unicode MS" w:cs="Times New Roman"/>
          <w:sz w:val="23"/>
          <w:szCs w:val="23"/>
          <w:lang w:val="es-MX" w:eastAsia="ar-SA"/>
        </w:rPr>
        <w:t xml:space="preserve"> de un término contractual, se dará preferencia a aquella lectura que favorezca al asegurado, es el caso que </w:t>
      </w:r>
      <w:r w:rsidRPr="1FC51A65" w:rsidR="00EA697A">
        <w:rPr>
          <w:rFonts w:ascii="Times New Roman" w:hAnsi="Times New Roman" w:eastAsia="Arial Unicode MS" w:cs="Times New Roman"/>
          <w:sz w:val="23"/>
          <w:szCs w:val="23"/>
          <w:lang w:val="es-MX" w:eastAsia="ar-SA"/>
        </w:rPr>
        <w:t>tambien</w:t>
      </w:r>
      <w:r w:rsidRPr="1FC51A65" w:rsidR="00EA697A">
        <w:rPr>
          <w:rFonts w:ascii="Times New Roman" w:hAnsi="Times New Roman" w:eastAsia="Arial Unicode MS" w:cs="Times New Roman"/>
          <w:sz w:val="23"/>
          <w:szCs w:val="23"/>
          <w:lang w:val="es-MX" w:eastAsia="ar-SA"/>
        </w:rPr>
        <w:t xml:space="preserve"> es claro que para la aplicación de dicha preferencia se requiere que exista una duda patente respecto a los alcances de dicho término; sin embargo, en la situación en examen dicho presupuesto no se ha configurado, en tanto resulta evidente que la cláusula en “controversia” señala expresamente que es el personal autorizado quien se encuentra dentro de los alcances de dicha cláusula, y no así los locadores, puesto que estos últimos no califican –incluso por definición- como dicho personal; (12) en las</w:t>
      </w:r>
      <w:r w:rsidRPr="1FC51A65" w:rsidR="00EA697A">
        <w:rPr>
          <w:rFonts w:ascii="Times New Roman" w:hAnsi="Times New Roman" w:eastAsia="Arial Unicode MS" w:cs="Times New Roman"/>
          <w:sz w:val="23"/>
          <w:szCs w:val="23"/>
          <w:lang w:eastAsia="ar-SA"/>
        </w:rPr>
        <w:t xml:space="preserve"> Condiciones Particulares de la póliza, en efecto, se indica expresamente que el Seguro Contra Accidentes Personales aplica solo para los siguientes supuestos: a) Funcionarios, b) Empleados, c) Personal (CAS), y d) Personal Autorizado especialmente por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(13) en aplicación del aludido Principio de Literalidad, recogido en el artículo IV) de la Ley del Contrato de Seguro, el señor </w:t>
      </w:r>
      <w:r w:rsidRPr="1FC51A65" w:rsidR="1AA5BF7E">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no se encuentra cubierto; siendo innecesario acudir al régimen de exclusiones, puesto que la relevancia del precitado principio de literalidad resultaba relevante y suficiente para no otorgar la cobertura solicitada; (14) la recurrente intenta acceder a la cobertura de la póliza de accidentes personales de manera antijurídica e ilegal al no estar contemplado dentro de los alcances del contrato cobertura a los locadores, en tanto el señor </w:t>
      </w:r>
      <w:r w:rsidRPr="1FC51A65" w:rsidR="1AA5BF7E">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no era un trabajador de la Entidad designado como “personal autorizado”, y asimismo, por cuanto se encuentra por demás demostrado que el Locador inició y culminó su relación como dicha Entidad desempeñando sus actividades como –precisamente- un locador de servicios, más no como personal autorizado, ni mucho menos como un trabajador en la planilla de la recurrente; </w:t>
      </w:r>
    </w:p>
    <w:p w:rsidRPr="00EA697A" w:rsidR="00EA697A" w:rsidP="00EA697A" w:rsidRDefault="00EA697A" w14:paraId="66E4DE78" w14:textId="77777777">
      <w:pPr>
        <w:jc w:val="both"/>
        <w:rPr>
          <w:rFonts w:ascii="Times New Roman" w:hAnsi="Times New Roman" w:eastAsia="Arial Unicode MS" w:cs="Times New Roman"/>
          <w:b/>
          <w:bCs/>
          <w:sz w:val="23"/>
          <w:szCs w:val="23"/>
          <w:lang w:eastAsia="ar-SA"/>
        </w:rPr>
      </w:pPr>
    </w:p>
    <w:p w:rsidRPr="00EA697A" w:rsidR="00EA697A" w:rsidP="00EA697A" w:rsidRDefault="00EA697A" w14:paraId="6DF152B3" w14:textId="603583AD">
      <w:pPr>
        <w:jc w:val="both"/>
        <w:rPr>
          <w:rFonts w:ascii="Times New Roman" w:hAnsi="Times New Roman" w:eastAsia="Arial Unicode MS" w:cs="Times New Roman"/>
          <w:bCs/>
          <w:sz w:val="23"/>
          <w:szCs w:val="23"/>
          <w:lang w:eastAsia="ar-SA"/>
        </w:rPr>
      </w:pPr>
      <w:r w:rsidRPr="00EA697A">
        <w:rPr>
          <w:rFonts w:ascii="Times New Roman" w:hAnsi="Times New Roman" w:eastAsia="Arial Unicode MS" w:cs="Times New Roman"/>
          <w:b/>
          <w:bCs/>
          <w:sz w:val="23"/>
          <w:szCs w:val="23"/>
          <w:u w:val="single"/>
          <w:lang w:eastAsia="ar-SA"/>
        </w:rPr>
        <w:t>PRIMERO</w:t>
      </w:r>
      <w:r w:rsidRPr="00EA697A">
        <w:rPr>
          <w:rFonts w:ascii="Times New Roman" w:hAnsi="Times New Roman" w:eastAsia="Arial Unicode MS" w:cs="Times New Roman"/>
          <w:b/>
          <w:bCs/>
          <w:sz w:val="23"/>
          <w:szCs w:val="23"/>
          <w:lang w:eastAsia="ar-SA"/>
        </w:rPr>
        <w:t>:</w:t>
      </w:r>
      <w:r w:rsidRPr="00EA697A">
        <w:rPr>
          <w:rFonts w:ascii="Times New Roman" w:hAnsi="Times New Roman" w:eastAsia="Arial Unicode MS" w:cs="Times New Roman"/>
          <w:bCs/>
          <w:sz w:val="23"/>
          <w:szCs w:val="23"/>
          <w:lang w:eastAsia="ar-SA"/>
        </w:rPr>
        <w:t xml:space="preserv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EA697A" w:rsidR="00EA697A" w:rsidP="00EA697A" w:rsidRDefault="00EA697A" w14:paraId="08BDD665" w14:textId="5C3A259A">
      <w:pPr>
        <w:jc w:val="both"/>
        <w:rPr>
          <w:rFonts w:ascii="Times New Roman" w:hAnsi="Times New Roman" w:eastAsia="Arial Unicode MS" w:cs="Times New Roman"/>
          <w:bCs/>
          <w:sz w:val="23"/>
          <w:szCs w:val="23"/>
          <w:lang w:eastAsia="ar-SA"/>
        </w:rPr>
      </w:pPr>
      <w:r w:rsidRPr="00EA697A">
        <w:rPr>
          <w:rFonts w:ascii="Times New Roman" w:hAnsi="Times New Roman" w:eastAsia="Arial Unicode MS" w:cs="Times New Roman"/>
          <w:bCs/>
          <w:sz w:val="23"/>
          <w:szCs w:val="23"/>
          <w:lang w:eastAsia="ar-SA"/>
        </w:rPr>
        <w:t>Conforme a ello, en el caso concreto, al interponer el recurso de impugnación la reclamante ha ejercido formalmente su derecho a contradecir lo resuelto por la Defensoría.</w:t>
      </w:r>
    </w:p>
    <w:p w:rsidRPr="00EA697A" w:rsidR="00EA697A" w:rsidP="00EA697A" w:rsidRDefault="00EA697A" w14:paraId="456C16DE" w14:textId="16C05AE9">
      <w:pPr>
        <w:jc w:val="both"/>
        <w:rPr>
          <w:rFonts w:ascii="Times New Roman" w:hAnsi="Times New Roman" w:eastAsia="Arial Unicode MS" w:cs="Times New Roman"/>
          <w:bCs/>
          <w:sz w:val="23"/>
          <w:szCs w:val="23"/>
          <w:lang w:val="es-ES" w:eastAsia="ar-SA"/>
        </w:rPr>
      </w:pPr>
      <w:r w:rsidRPr="00EA697A">
        <w:rPr>
          <w:rFonts w:ascii="Times New Roman" w:hAnsi="Times New Roman" w:eastAsia="Arial Unicode MS" w:cs="Times New Roman"/>
          <w:b/>
          <w:bCs/>
          <w:sz w:val="23"/>
          <w:szCs w:val="23"/>
          <w:u w:val="single"/>
          <w:lang w:val="es-ES" w:eastAsia="ar-SA"/>
        </w:rPr>
        <w:t>SEGUNDO</w:t>
      </w:r>
      <w:r w:rsidRPr="00EA697A">
        <w:rPr>
          <w:rFonts w:ascii="Times New Roman" w:hAnsi="Times New Roman" w:eastAsia="Arial Unicode MS" w:cs="Times New Roman"/>
          <w:b/>
          <w:bCs/>
          <w:sz w:val="23"/>
          <w:szCs w:val="23"/>
          <w:lang w:val="es-ES" w:eastAsia="ar-SA"/>
        </w:rPr>
        <w:t>:</w:t>
      </w:r>
      <w:r w:rsidRPr="00EA697A">
        <w:rPr>
          <w:rFonts w:ascii="Times New Roman" w:hAnsi="Times New Roman" w:eastAsia="Arial Unicode MS" w:cs="Times New Roman"/>
          <w:bCs/>
          <w:sz w:val="23"/>
          <w:szCs w:val="23"/>
          <w:lang w:val="es-ES" w:eastAsia="ar-SA"/>
        </w:rPr>
        <w:t xml:space="preserve"> Que el recurso de impugnación presentado por la reclamante se sustenta en discrepar respecto a la interpretación y razones por las que se declaró infundada la reclamación, por lo que </w:t>
      </w:r>
      <w:r w:rsidRPr="00EA697A">
        <w:rPr>
          <w:rFonts w:ascii="Times New Roman" w:hAnsi="Times New Roman" w:eastAsia="Arial Unicode MS" w:cs="Times New Roman"/>
          <w:bCs/>
          <w:sz w:val="23"/>
          <w:szCs w:val="23"/>
          <w:lang w:eastAsia="ar-SA"/>
        </w:rPr>
        <w:t>a su criterio existe una interpretación errónea del contrato de seguro</w:t>
      </w:r>
      <w:r w:rsidRPr="00EA697A">
        <w:rPr>
          <w:rFonts w:ascii="Times New Roman" w:hAnsi="Times New Roman" w:eastAsia="Arial Unicode MS" w:cs="Times New Roman"/>
          <w:bCs/>
          <w:sz w:val="23"/>
          <w:szCs w:val="23"/>
          <w:lang w:val="es-ES" w:eastAsia="ar-SA"/>
        </w:rPr>
        <w:t>.</w:t>
      </w:r>
    </w:p>
    <w:p w:rsidRPr="00EA697A" w:rsidR="00EA697A" w:rsidP="00EA697A" w:rsidRDefault="00EA697A" w14:paraId="0D6F6211" w14:textId="4E21571E">
      <w:pPr>
        <w:jc w:val="both"/>
        <w:rPr>
          <w:rFonts w:ascii="Times New Roman" w:hAnsi="Times New Roman" w:eastAsia="Arial Unicode MS" w:cs="Times New Roman"/>
          <w:bCs/>
          <w:sz w:val="23"/>
          <w:szCs w:val="23"/>
          <w:lang w:val="es-ES" w:eastAsia="ar-SA"/>
        </w:rPr>
      </w:pPr>
      <w:r w:rsidRPr="00EA697A">
        <w:rPr>
          <w:rFonts w:ascii="Times New Roman" w:hAnsi="Times New Roman" w:eastAsia="Arial Unicode MS" w:cs="Times New Roman"/>
          <w:bCs/>
          <w:sz w:val="23"/>
          <w:szCs w:val="23"/>
          <w:lang w:val="es-ES" w:eastAsia="ar-SA"/>
        </w:rPr>
        <w:lastRenderedPageBreak/>
        <w:t>Al respecto, la DEFASEG no comparte la apreciación de la reclamante. En efecto, no se advierte una interpretación errónea de las cláusulas contractuales, las que han sido interpretadas bajo la aplicación de las reglas y principios que rigen el contrato de seguro.</w:t>
      </w:r>
    </w:p>
    <w:p w:rsidRPr="00EA697A" w:rsidR="00EA697A" w:rsidP="1FC51A65" w:rsidRDefault="00EA697A" w14:paraId="18143623" w14:textId="3FDBA91E">
      <w:pPr>
        <w:jc w:val="both"/>
        <w:rPr>
          <w:rFonts w:ascii="Times New Roman" w:hAnsi="Times New Roman" w:eastAsia="Arial Unicode MS" w:cs="Times New Roman"/>
          <w:sz w:val="23"/>
          <w:szCs w:val="23"/>
          <w:lang w:eastAsia="ar-SA"/>
        </w:rPr>
      </w:pPr>
      <w:r w:rsidRPr="1FC51A65" w:rsidR="00EA697A">
        <w:rPr>
          <w:rFonts w:ascii="Times New Roman" w:hAnsi="Times New Roman" w:eastAsia="Arial Unicode MS" w:cs="Times New Roman"/>
          <w:sz w:val="23"/>
          <w:szCs w:val="23"/>
          <w:lang w:val="es-ES" w:eastAsia="ar-SA"/>
        </w:rPr>
        <w:t>En ese sentido, se reitera la apreciación razonada de que, e</w:t>
      </w:r>
      <w:r w:rsidRPr="1FC51A65" w:rsidR="00EA697A">
        <w:rPr>
          <w:rFonts w:ascii="Times New Roman" w:hAnsi="Times New Roman" w:eastAsia="Arial Unicode MS" w:cs="Times New Roman"/>
          <w:sz w:val="23"/>
          <w:szCs w:val="23"/>
          <w:lang w:eastAsia="ar-SA"/>
        </w:rPr>
        <w:t xml:space="preserve">n el presente caso, acorde con la séptima regla del artículo IV de la Ley del Contrato de Seguro, la literalidad de los términos expresados en la estipulación contractual que vincula a las partes con el Contrato de Seguro Contra Accidentes Personales </w:t>
      </w:r>
      <w:r w:rsidRPr="1FC51A65" w:rsidR="00EA697A">
        <w:rPr>
          <w:rFonts w:ascii="Times New Roman" w:hAnsi="Times New Roman" w:eastAsia="Arial Unicode MS" w:cs="Times New Roman"/>
          <w:sz w:val="23"/>
          <w:szCs w:val="23"/>
          <w:lang w:eastAsia="ar-SA"/>
        </w:rPr>
        <w:t>N°</w:t>
      </w:r>
      <w:r w:rsidRPr="1FC51A65" w:rsidR="143AD0E6">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evidencia que la condición de vigencia de la cobertura exige expresa y literalmente que exista vinculación laboral del trabajador con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w:t>
      </w:r>
    </w:p>
    <w:p w:rsidRPr="00EA697A" w:rsidR="00EA697A" w:rsidP="1FC51A65" w:rsidRDefault="00EA697A" w14:paraId="39F0A613" w14:textId="77254540">
      <w:pPr>
        <w:jc w:val="both"/>
        <w:rPr>
          <w:rFonts w:ascii="Times New Roman" w:hAnsi="Times New Roman" w:eastAsia="Arial Unicode MS" w:cs="Times New Roman"/>
          <w:sz w:val="23"/>
          <w:szCs w:val="23"/>
          <w:lang w:eastAsia="ar-SA"/>
        </w:rPr>
      </w:pPr>
      <w:r w:rsidRPr="1FC51A65" w:rsidR="00EA697A">
        <w:rPr>
          <w:rFonts w:ascii="Times New Roman" w:hAnsi="Times New Roman" w:eastAsia="Arial Unicode MS" w:cs="Times New Roman"/>
          <w:sz w:val="23"/>
          <w:szCs w:val="23"/>
          <w:lang w:eastAsia="ar-SA"/>
        </w:rPr>
        <w:t>La literalidad y aplicación sistemática lleva a la conclusión que dicha condición es específica y cerrada. Por tanto, para que el “</w:t>
      </w:r>
      <w:r w:rsidRPr="1FC51A65" w:rsidR="00EA697A">
        <w:rPr>
          <w:rFonts w:ascii="Times New Roman" w:hAnsi="Times New Roman" w:eastAsia="Arial Unicode MS" w:cs="Times New Roman"/>
          <w:i w:val="1"/>
          <w:iCs w:val="1"/>
          <w:sz w:val="23"/>
          <w:szCs w:val="23"/>
          <w:lang w:eastAsia="ar-SA"/>
        </w:rPr>
        <w:t xml:space="preserve">personal autorizado especialmente por </w:t>
      </w:r>
      <w:r w:rsidRPr="1FC51A65" w:rsidR="3D5015BB">
        <w:rPr>
          <w:rFonts w:ascii="Times New Roman" w:hAnsi="Times New Roman" w:eastAsia="Arial Unicode MS" w:cs="Times New Roman"/>
          <w:i w:val="1"/>
          <w:iCs w:val="1"/>
          <w:sz w:val="23"/>
          <w:szCs w:val="23"/>
          <w:lang w:eastAsia="ar-SA"/>
        </w:rPr>
        <w:t>.........................................</w:t>
      </w:r>
      <w:r w:rsidRPr="1FC51A65" w:rsidR="00EA697A">
        <w:rPr>
          <w:rFonts w:ascii="Times New Roman" w:hAnsi="Times New Roman" w:eastAsia="Arial Unicode MS" w:cs="Times New Roman"/>
          <w:i w:val="1"/>
          <w:iCs w:val="1"/>
          <w:sz w:val="23"/>
          <w:szCs w:val="23"/>
          <w:lang w:eastAsia="ar-SA"/>
        </w:rPr>
        <w:t xml:space="preserve"> que realice actividades vinculadas al giro de la entidad -</w:t>
      </w:r>
      <w:r w:rsidRPr="1FC51A65" w:rsidR="3D5015BB">
        <w:rPr>
          <w:rFonts w:ascii="Times New Roman" w:hAnsi="Times New Roman" w:eastAsia="Arial Unicode MS" w:cs="Times New Roman"/>
          <w:i w:val="1"/>
          <w:iCs w:val="1"/>
          <w:sz w:val="23"/>
          <w:szCs w:val="23"/>
          <w:lang w:eastAsia="ar-SA"/>
        </w:rPr>
        <w:t>.........................................</w:t>
      </w:r>
      <w:r w:rsidRPr="1FC51A65" w:rsidR="00EA697A">
        <w:rPr>
          <w:rFonts w:ascii="Times New Roman" w:hAnsi="Times New Roman" w:eastAsia="Arial Unicode MS" w:cs="Times New Roman"/>
          <w:i w:val="1"/>
          <w:iCs w:val="1"/>
          <w:sz w:val="23"/>
          <w:szCs w:val="23"/>
          <w:lang w:eastAsia="ar-SA"/>
        </w:rPr>
        <w:t xml:space="preserve"> y/o subsidiarias y/o instituciones asociadas, existentes, por crearse, constituirse o adquirirse, que efectúan viajes por comisiones de servicio dentro del territorio nacional, por cuenta y orden de </w:t>
      </w:r>
      <w:r w:rsidRPr="1FC51A65" w:rsidR="3D5015BB">
        <w:rPr>
          <w:rFonts w:ascii="Times New Roman" w:hAnsi="Times New Roman" w:eastAsia="Arial Unicode MS" w:cs="Times New Roman"/>
          <w:i w:val="1"/>
          <w:iCs w:val="1"/>
          <w:sz w:val="23"/>
          <w:szCs w:val="23"/>
          <w:lang w:eastAsia="ar-SA"/>
        </w:rPr>
        <w:t>.........................................</w:t>
      </w:r>
      <w:r w:rsidRPr="1FC51A65" w:rsidR="00EA697A">
        <w:rPr>
          <w:rFonts w:ascii="Times New Roman" w:hAnsi="Times New Roman" w:eastAsia="Arial Unicode MS" w:cs="Times New Roman"/>
          <w:i w:val="1"/>
          <w:iCs w:val="1"/>
          <w:sz w:val="23"/>
          <w:szCs w:val="23"/>
          <w:lang w:eastAsia="ar-SA"/>
        </w:rPr>
        <w:t>, según declaraciones mensuales</w:t>
      </w:r>
      <w:r w:rsidRPr="1FC51A65" w:rsidR="00EA697A">
        <w:rPr>
          <w:rFonts w:ascii="Times New Roman" w:hAnsi="Times New Roman" w:eastAsia="Arial Unicode MS" w:cs="Times New Roman"/>
          <w:sz w:val="23"/>
          <w:szCs w:val="23"/>
          <w:lang w:eastAsia="ar-SA"/>
        </w:rPr>
        <w:t xml:space="preserve">” ostente la calidad de asegurado y goce de cobertura vigente dicho personal debe tener vinculación laboral con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w:t>
      </w:r>
    </w:p>
    <w:p w:rsidRPr="00EA697A" w:rsidR="00EA697A" w:rsidP="1FC51A65" w:rsidRDefault="00EA697A" w14:paraId="461152F9" w14:textId="5B727444">
      <w:pPr>
        <w:jc w:val="both"/>
        <w:rPr>
          <w:rFonts w:ascii="Times New Roman" w:hAnsi="Times New Roman" w:eastAsia="Arial Unicode MS" w:cs="Times New Roman"/>
          <w:sz w:val="23"/>
          <w:szCs w:val="23"/>
          <w:lang w:eastAsia="ar-SA"/>
        </w:rPr>
      </w:pPr>
      <w:r w:rsidRPr="1FC51A65" w:rsidR="00EA697A">
        <w:rPr>
          <w:rFonts w:ascii="Times New Roman" w:hAnsi="Times New Roman" w:eastAsia="Arial Unicode MS" w:cs="Times New Roman"/>
          <w:sz w:val="23"/>
          <w:szCs w:val="23"/>
          <w:lang w:eastAsia="ar-SA"/>
        </w:rPr>
        <w:t xml:space="preserve">Bajo ese alcance contractual, se determinó que dada a la naturaleza civil y no laboral del contrato que vinculó al Sr. </w:t>
      </w:r>
      <w:r w:rsidRPr="1FC51A65" w:rsidR="701A7A81">
        <w:rPr>
          <w:rFonts w:ascii="Times New Roman" w:hAnsi="Times New Roman" w:eastAsia="Arial Unicode MS" w:cs="Times New Roman"/>
          <w:sz w:val="23"/>
          <w:szCs w:val="23"/>
          <w:lang w:eastAsia="ar-SA"/>
        </w:rPr>
        <w:t>.......................</w:t>
      </w:r>
      <w:r w:rsidRPr="1FC51A65" w:rsidR="1AA5BF7E">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con </w:t>
      </w:r>
      <w:r w:rsidRPr="1FC51A65" w:rsidR="3D5015BB">
        <w:rPr>
          <w:rFonts w:ascii="Times New Roman" w:hAnsi="Times New Roman" w:eastAsia="Arial Unicode MS" w:cs="Times New Roman"/>
          <w:sz w:val="23"/>
          <w:szCs w:val="23"/>
          <w:lang w:eastAsia="ar-SA"/>
        </w:rPr>
        <w:t>.........................................</w:t>
      </w:r>
      <w:r w:rsidRPr="1FC51A65" w:rsidR="00EA697A">
        <w:rPr>
          <w:rFonts w:ascii="Times New Roman" w:hAnsi="Times New Roman" w:eastAsia="Arial Unicode MS" w:cs="Times New Roman"/>
          <w:sz w:val="23"/>
          <w:szCs w:val="23"/>
          <w:lang w:eastAsia="ar-SA"/>
        </w:rPr>
        <w:t xml:space="preserve">, en el presente caso no se cumple con la condición especial para la </w:t>
      </w:r>
      <w:r w:rsidRPr="1FC51A65" w:rsidR="00EA697A">
        <w:rPr>
          <w:rFonts w:ascii="Times New Roman" w:hAnsi="Times New Roman" w:eastAsia="Arial Unicode MS" w:cs="Times New Roman"/>
          <w:sz w:val="23"/>
          <w:szCs w:val="23"/>
          <w:lang w:eastAsia="ar-SA"/>
        </w:rPr>
        <w:t>entrada en vigencia</w:t>
      </w:r>
      <w:r w:rsidRPr="1FC51A65" w:rsidR="00EA697A">
        <w:rPr>
          <w:rFonts w:ascii="Times New Roman" w:hAnsi="Times New Roman" w:eastAsia="Arial Unicode MS" w:cs="Times New Roman"/>
          <w:sz w:val="23"/>
          <w:szCs w:val="23"/>
          <w:lang w:eastAsia="ar-SA"/>
        </w:rPr>
        <w:t xml:space="preserve"> de la cobertura.</w:t>
      </w:r>
    </w:p>
    <w:p w:rsidRPr="00EA697A" w:rsidR="00EA697A" w:rsidP="00EA697A" w:rsidRDefault="00EA697A" w14:paraId="68E7A255" w14:textId="01E82E7B">
      <w:pPr>
        <w:jc w:val="both"/>
        <w:rPr>
          <w:rFonts w:ascii="Times New Roman" w:hAnsi="Times New Roman" w:eastAsia="Arial Unicode MS" w:cs="Times New Roman"/>
          <w:bCs/>
          <w:sz w:val="23"/>
          <w:szCs w:val="23"/>
          <w:lang w:val="es-ES" w:eastAsia="ar-SA"/>
        </w:rPr>
      </w:pPr>
      <w:r w:rsidRPr="00EA697A">
        <w:rPr>
          <w:rFonts w:ascii="Times New Roman" w:hAnsi="Times New Roman" w:eastAsia="Arial Unicode MS" w:cs="Times New Roman"/>
          <w:b/>
          <w:bCs/>
          <w:sz w:val="23"/>
          <w:szCs w:val="23"/>
          <w:u w:val="single"/>
          <w:lang w:val="es-ES" w:eastAsia="ar-SA"/>
        </w:rPr>
        <w:t>TERCERO</w:t>
      </w:r>
      <w:r w:rsidRPr="00EA697A">
        <w:rPr>
          <w:rFonts w:ascii="Times New Roman" w:hAnsi="Times New Roman" w:eastAsia="Arial Unicode MS" w:cs="Times New Roman"/>
          <w:b/>
          <w:bCs/>
          <w:sz w:val="23"/>
          <w:szCs w:val="23"/>
          <w:lang w:val="es-ES" w:eastAsia="ar-SA"/>
        </w:rPr>
        <w:t>:</w:t>
      </w:r>
      <w:r w:rsidRPr="00EA697A">
        <w:rPr>
          <w:rFonts w:ascii="Times New Roman" w:hAnsi="Times New Roman" w:eastAsia="Arial Unicode MS" w:cs="Times New Roman"/>
          <w:bCs/>
          <w:sz w:val="23"/>
          <w:szCs w:val="23"/>
          <w:lang w:val="es-ES" w:eastAsia="ar-SA"/>
        </w:rPr>
        <w:t xml:space="preserve"> En atención a las consideraciones precedentes, este colegiado aprecia finalmente que no existe mérito suficiente y razón objetiva para revocar la resolución impugnada.</w:t>
      </w:r>
    </w:p>
    <w:p w:rsidRPr="00EA697A" w:rsidR="00EA697A" w:rsidP="00EA697A" w:rsidRDefault="00EA697A" w14:paraId="011B72E5" w14:textId="71F39C70">
      <w:pPr>
        <w:jc w:val="both"/>
        <w:rPr>
          <w:rFonts w:ascii="Times New Roman" w:hAnsi="Times New Roman" w:eastAsia="Arial Unicode MS" w:cs="Times New Roman"/>
          <w:b/>
          <w:bCs/>
          <w:sz w:val="23"/>
          <w:szCs w:val="23"/>
          <w:lang w:eastAsia="ar-SA"/>
        </w:rPr>
      </w:pPr>
      <w:r w:rsidRPr="00EA697A">
        <w:rPr>
          <w:rFonts w:ascii="Times New Roman" w:hAnsi="Times New Roman" w:eastAsia="Arial Unicode MS" w:cs="Times New Roman"/>
          <w:b/>
          <w:bCs/>
          <w:sz w:val="23"/>
          <w:szCs w:val="23"/>
          <w:lang w:eastAsia="ar-SA"/>
        </w:rPr>
        <w:t>ATENDIENDO A LO EXPRESADO, CONFORME A SU REGLAMENTO, ESTE COLEGIADO RESUELVE:</w:t>
      </w:r>
    </w:p>
    <w:p w:rsidRPr="00BA2C0F" w:rsidR="000B7200" w:rsidP="1FC51A65" w:rsidRDefault="00EA697A" w14:paraId="73EB4133" w14:textId="5C8EE271">
      <w:pPr>
        <w:jc w:val="both"/>
        <w:rPr>
          <w:rFonts w:ascii="Times New Roman" w:hAnsi="Times New Roman" w:eastAsia="Arial Unicode MS" w:cs="Times New Roman"/>
          <w:sz w:val="23"/>
          <w:szCs w:val="23"/>
          <w:lang w:eastAsia="ar-SA"/>
        </w:rPr>
      </w:pPr>
      <w:r w:rsidRPr="1FC51A65" w:rsidR="00EA697A">
        <w:rPr>
          <w:rFonts w:ascii="Times New Roman" w:hAnsi="Times New Roman" w:eastAsia="Arial Unicode MS" w:cs="Times New Roman"/>
          <w:b w:val="1"/>
          <w:bCs w:val="1"/>
          <w:sz w:val="23"/>
          <w:szCs w:val="23"/>
          <w:lang w:eastAsia="ar-SA"/>
        </w:rPr>
        <w:t xml:space="preserve">DECLARAR INFUNDADO </w:t>
      </w:r>
      <w:r w:rsidRPr="1FC51A65" w:rsidR="00EA697A">
        <w:rPr>
          <w:rFonts w:ascii="Times New Roman" w:hAnsi="Times New Roman" w:eastAsia="Arial Unicode MS" w:cs="Times New Roman"/>
          <w:sz w:val="23"/>
          <w:szCs w:val="23"/>
          <w:lang w:eastAsia="ar-SA"/>
        </w:rPr>
        <w:t>el recurso de impugnación interpuesto por</w:t>
      </w:r>
      <w:r w:rsidRPr="1FC51A65" w:rsidR="00EA697A">
        <w:rPr>
          <w:rFonts w:ascii="Times New Roman" w:hAnsi="Times New Roman" w:eastAsia="Arial Unicode MS" w:cs="Times New Roman"/>
          <w:b w:val="1"/>
          <w:bCs w:val="1"/>
          <w:sz w:val="23"/>
          <w:szCs w:val="23"/>
          <w:lang w:val="es-ES" w:eastAsia="ar-SA"/>
        </w:rPr>
        <w:t xml:space="preserve"> </w:t>
      </w:r>
      <w:r w:rsidRPr="1FC51A65" w:rsidR="00EA697A">
        <w:rPr>
          <w:rFonts w:ascii="Times New Roman" w:hAnsi="Times New Roman" w:eastAsia="Arial Unicode MS" w:cs="Times New Roman"/>
          <w:sz w:val="23"/>
          <w:szCs w:val="23"/>
          <w:lang w:val="es-ES" w:eastAsia="ar-SA"/>
        </w:rPr>
        <w:t xml:space="preserve">la </w:t>
      </w:r>
      <w:r w:rsidRPr="1FC51A65" w:rsidR="5FE93C79">
        <w:rPr>
          <w:rFonts w:ascii="Times New Roman" w:hAnsi="Times New Roman" w:eastAsia="Arial Unicode MS" w:cs="Times New Roman"/>
          <w:b w:val="1"/>
          <w:bCs w:val="1"/>
          <w:sz w:val="23"/>
          <w:szCs w:val="23"/>
          <w:lang w:val="es-ES" w:eastAsia="ar-SA"/>
        </w:rPr>
        <w:t>.........................................</w:t>
      </w:r>
      <w:r w:rsidRPr="1FC51A65" w:rsidR="00EA697A">
        <w:rPr>
          <w:rFonts w:ascii="Times New Roman" w:hAnsi="Times New Roman" w:eastAsia="Arial Unicode MS" w:cs="Times New Roman"/>
          <w:b w:val="1"/>
          <w:bCs w:val="1"/>
          <w:sz w:val="23"/>
          <w:szCs w:val="23"/>
          <w:lang w:val="es-ES" w:eastAsia="ar-SA"/>
        </w:rPr>
        <w:t xml:space="preserve"> </w:t>
      </w:r>
      <w:r w:rsidRPr="1FC51A65" w:rsidR="00EA697A">
        <w:rPr>
          <w:rFonts w:ascii="Times New Roman" w:hAnsi="Times New Roman" w:eastAsia="Arial Unicode MS" w:cs="Times New Roman"/>
          <w:sz w:val="23"/>
          <w:szCs w:val="23"/>
          <w:lang w:eastAsia="ar-SA"/>
        </w:rPr>
        <w:t xml:space="preserve">y, por consiguiente, </w:t>
      </w:r>
      <w:r w:rsidRPr="1FC51A65" w:rsidR="00EA697A">
        <w:rPr>
          <w:rFonts w:ascii="Times New Roman" w:hAnsi="Times New Roman" w:eastAsia="Arial Unicode MS" w:cs="Times New Roman"/>
          <w:b w:val="1"/>
          <w:bCs w:val="1"/>
          <w:sz w:val="23"/>
          <w:szCs w:val="23"/>
          <w:lang w:eastAsia="ar-SA"/>
        </w:rPr>
        <w:t xml:space="preserve">CONFIRMAR </w:t>
      </w:r>
      <w:r w:rsidRPr="1FC51A65" w:rsidR="00EA697A">
        <w:rPr>
          <w:rFonts w:ascii="Times New Roman" w:hAnsi="Times New Roman" w:eastAsia="Arial Unicode MS" w:cs="Times New Roman"/>
          <w:sz w:val="23"/>
          <w:szCs w:val="23"/>
          <w:lang w:eastAsia="ar-SA"/>
        </w:rPr>
        <w:t xml:space="preserve">la Resolución </w:t>
      </w:r>
      <w:r w:rsidRPr="1FC51A65" w:rsidR="00EA697A">
        <w:rPr>
          <w:rFonts w:ascii="Times New Roman" w:hAnsi="Times New Roman" w:eastAsia="Arial Unicode MS" w:cs="Times New Roman"/>
          <w:sz w:val="23"/>
          <w:szCs w:val="23"/>
          <w:lang w:eastAsia="ar-SA"/>
        </w:rPr>
        <w:t>N°</w:t>
      </w:r>
      <w:r w:rsidRPr="1FC51A65" w:rsidR="00EA697A">
        <w:rPr>
          <w:rFonts w:ascii="Times New Roman" w:hAnsi="Times New Roman" w:eastAsia="Arial Unicode MS" w:cs="Times New Roman"/>
          <w:sz w:val="23"/>
          <w:szCs w:val="23"/>
          <w:lang w:eastAsia="ar-SA"/>
        </w:rPr>
        <w:t xml:space="preserve"> 154/24.</w:t>
      </w:r>
    </w:p>
    <w:p w:rsidRPr="00BA2C0F" w:rsidR="008B6A09" w:rsidP="00CF28D9" w:rsidRDefault="0091528B" w14:paraId="000A434B" w14:textId="7F4CEF76">
      <w:pPr>
        <w:jc w:val="right"/>
        <w:rPr>
          <w:rFonts w:ascii="Times New Roman" w:hAnsi="Times New Roman" w:cs="Times New Roman"/>
          <w:bCs/>
          <w:sz w:val="23"/>
          <w:szCs w:val="23"/>
        </w:rPr>
      </w:pPr>
      <w:r w:rsidRPr="00BA2C0F">
        <w:rPr>
          <w:rFonts w:ascii="Times New Roman" w:hAnsi="Times New Roman" w:eastAsia="Arial Unicode MS" w:cs="Times New Roman"/>
          <w:bCs/>
          <w:sz w:val="23"/>
          <w:szCs w:val="23"/>
          <w:lang w:eastAsia="ar-SA"/>
        </w:rPr>
        <w:t xml:space="preserve">Lima, </w:t>
      </w:r>
      <w:r w:rsidRPr="00BA2C0F" w:rsidR="00F3565F">
        <w:rPr>
          <w:rFonts w:ascii="Times New Roman" w:hAnsi="Times New Roman" w:eastAsia="Arial Unicode MS" w:cs="Times New Roman"/>
          <w:bCs/>
          <w:sz w:val="23"/>
          <w:szCs w:val="23"/>
          <w:lang w:eastAsia="ar-SA"/>
        </w:rPr>
        <w:t>1</w:t>
      </w:r>
      <w:r w:rsidRPr="00BA2C0F" w:rsidR="005A013C">
        <w:rPr>
          <w:rFonts w:ascii="Times New Roman" w:hAnsi="Times New Roman" w:eastAsia="Arial Unicode MS" w:cs="Times New Roman"/>
          <w:bCs/>
          <w:sz w:val="23"/>
          <w:szCs w:val="23"/>
          <w:lang w:eastAsia="ar-SA"/>
        </w:rPr>
        <w:t>9</w:t>
      </w:r>
      <w:r w:rsidRPr="00BA2C0F" w:rsidR="00F42C0D">
        <w:rPr>
          <w:rFonts w:ascii="Times New Roman" w:hAnsi="Times New Roman" w:eastAsia="Arial Unicode MS" w:cs="Times New Roman"/>
          <w:bCs/>
          <w:sz w:val="23"/>
          <w:szCs w:val="23"/>
          <w:lang w:eastAsia="ar-SA"/>
        </w:rPr>
        <w:t xml:space="preserve"> </w:t>
      </w:r>
      <w:r w:rsidRPr="00BA2C0F" w:rsidR="00707C99">
        <w:rPr>
          <w:rFonts w:ascii="Times New Roman" w:hAnsi="Times New Roman" w:eastAsia="Arial Unicode MS" w:cs="Times New Roman"/>
          <w:bCs/>
          <w:sz w:val="23"/>
          <w:szCs w:val="23"/>
          <w:lang w:eastAsia="ar-SA"/>
        </w:rPr>
        <w:t>de</w:t>
      </w:r>
      <w:r w:rsidRPr="00BA2C0F" w:rsidR="00A02CF2">
        <w:rPr>
          <w:rFonts w:ascii="Times New Roman" w:hAnsi="Times New Roman" w:eastAsia="Arial Unicode MS" w:cs="Times New Roman"/>
          <w:bCs/>
          <w:sz w:val="23"/>
          <w:szCs w:val="23"/>
          <w:lang w:eastAsia="ar-SA"/>
        </w:rPr>
        <w:t xml:space="preserve"> </w:t>
      </w:r>
      <w:r w:rsidRPr="00BA2C0F" w:rsidR="00AE05B6">
        <w:rPr>
          <w:rFonts w:ascii="Times New Roman" w:hAnsi="Times New Roman" w:eastAsia="Arial Unicode MS" w:cs="Times New Roman"/>
          <w:bCs/>
          <w:sz w:val="23"/>
          <w:szCs w:val="23"/>
          <w:lang w:eastAsia="ar-SA"/>
        </w:rPr>
        <w:t>diciembre</w:t>
      </w:r>
      <w:r w:rsidRPr="00BA2C0F" w:rsidR="002F478E">
        <w:rPr>
          <w:rFonts w:ascii="Times New Roman" w:hAnsi="Times New Roman" w:eastAsia="Arial Unicode MS" w:cs="Times New Roman"/>
          <w:bCs/>
          <w:sz w:val="23"/>
          <w:szCs w:val="23"/>
          <w:lang w:eastAsia="ar-SA"/>
        </w:rPr>
        <w:t xml:space="preserve"> </w:t>
      </w:r>
      <w:r w:rsidRPr="00BA2C0F" w:rsidR="00F06498">
        <w:rPr>
          <w:rFonts w:ascii="Times New Roman" w:hAnsi="Times New Roman" w:eastAsia="Arial Unicode MS" w:cs="Times New Roman"/>
          <w:bCs/>
          <w:sz w:val="23"/>
          <w:szCs w:val="23"/>
          <w:lang w:eastAsia="ar-SA"/>
        </w:rPr>
        <w:t>de 202</w:t>
      </w:r>
      <w:r w:rsidRPr="00BA2C0F" w:rsidR="00543015">
        <w:rPr>
          <w:rFonts w:ascii="Times New Roman" w:hAnsi="Times New Roman" w:eastAsia="Arial Unicode MS" w:cs="Times New Roman"/>
          <w:bCs/>
          <w:sz w:val="23"/>
          <w:szCs w:val="23"/>
          <w:lang w:eastAsia="ar-SA"/>
        </w:rPr>
        <w:t>4</w:t>
      </w:r>
      <w:r w:rsidRPr="00BA2C0F" w:rsidR="00707C99">
        <w:rPr>
          <w:rFonts w:ascii="Times New Roman" w:hAnsi="Times New Roman" w:eastAsia="Times New Roman" w:cs="Times New Roman"/>
          <w:bCs/>
          <w:sz w:val="23"/>
          <w:szCs w:val="23"/>
          <w:lang w:eastAsia="ar-SA"/>
        </w:rPr>
        <w:t xml:space="preserve"> </w:t>
      </w:r>
    </w:p>
    <w:p w:rsidRPr="00BA2C0F" w:rsidR="00A323F4" w:rsidP="00A84003" w:rsidRDefault="00A323F4" w14:paraId="1B6988F6" w14:textId="77777777">
      <w:pPr>
        <w:spacing w:after="0" w:line="240" w:lineRule="auto"/>
        <w:jc w:val="both"/>
        <w:rPr>
          <w:rFonts w:ascii="Times New Roman" w:hAnsi="Times New Roman" w:cs="Times New Roman"/>
          <w:b/>
          <w:i/>
          <w:iCs/>
          <w:sz w:val="23"/>
          <w:szCs w:val="23"/>
        </w:rPr>
      </w:pPr>
      <w:r w:rsidRPr="00BA2C0F">
        <w:rPr>
          <w:rFonts w:ascii="Times New Roman" w:hAnsi="Times New Roman" w:cs="Times New Roman"/>
          <w:b/>
          <w:i/>
          <w:iCs/>
          <w:sz w:val="23"/>
          <w:szCs w:val="23"/>
        </w:rPr>
        <w:t>La Secretaría Técnica certifica que la presente resolución cuenta con el voto de los vocales cuyos nombres figuran en el presente documento.</w:t>
      </w:r>
    </w:p>
    <w:p w:rsidRPr="00BA2C0F" w:rsidR="00A323F4" w:rsidP="00A84003" w:rsidRDefault="00A323F4" w14:paraId="3AB80116" w14:textId="77777777">
      <w:pPr>
        <w:spacing w:after="0" w:line="360" w:lineRule="auto"/>
        <w:jc w:val="both"/>
        <w:rPr>
          <w:rFonts w:ascii="Times New Roman" w:hAnsi="Times New Roman" w:cs="Times New Roman"/>
          <w:b/>
          <w:i/>
          <w:iCs/>
          <w:sz w:val="23"/>
          <w:szCs w:val="23"/>
        </w:rPr>
      </w:pPr>
    </w:p>
    <w:p w:rsidRPr="00BA2C0F" w:rsidR="00600E7F" w:rsidP="00861BDD" w:rsidRDefault="00600E7F" w14:paraId="7680FD70" w14:textId="40A434AA">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 xml:space="preserve">Rolando Eyzaguirre </w:t>
      </w:r>
      <w:proofErr w:type="spellStart"/>
      <w:r w:rsidRPr="00BA2C0F">
        <w:rPr>
          <w:rFonts w:ascii="Times New Roman" w:hAnsi="Times New Roman" w:cs="Times New Roman"/>
          <w:b/>
          <w:sz w:val="23"/>
          <w:szCs w:val="23"/>
        </w:rPr>
        <w:t>Maccan</w:t>
      </w:r>
      <w:proofErr w:type="spellEnd"/>
      <w:r w:rsidRPr="00BA2C0F">
        <w:rPr>
          <w:rFonts w:ascii="Times New Roman" w:hAnsi="Times New Roman" w:cs="Times New Roman"/>
          <w:b/>
          <w:sz w:val="23"/>
          <w:szCs w:val="23"/>
        </w:rPr>
        <w:t xml:space="preserve"> – </w:t>
      </w:r>
      <w:proofErr w:type="gramStart"/>
      <w:r w:rsidRPr="00BA2C0F">
        <w:rPr>
          <w:rFonts w:ascii="Times New Roman" w:hAnsi="Times New Roman" w:cs="Times New Roman"/>
          <w:b/>
          <w:sz w:val="23"/>
          <w:szCs w:val="23"/>
        </w:rPr>
        <w:t>Presidente</w:t>
      </w:r>
      <w:proofErr w:type="gramEnd"/>
    </w:p>
    <w:p w:rsidRPr="00BA2C0F" w:rsidR="007543CD" w:rsidP="007543CD" w:rsidRDefault="00543015" w14:paraId="220AA7AD" w14:textId="5B40BC33">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 xml:space="preserve">María Eugenia Valdez Fernández Baca </w:t>
      </w:r>
      <w:r w:rsidRPr="00BA2C0F" w:rsidR="007543CD">
        <w:rPr>
          <w:rFonts w:ascii="Times New Roman" w:hAnsi="Times New Roman" w:cs="Times New Roman"/>
          <w:b/>
          <w:sz w:val="23"/>
          <w:szCs w:val="23"/>
        </w:rPr>
        <w:t xml:space="preserve">– </w:t>
      </w:r>
      <w:r w:rsidRPr="00BA2C0F" w:rsidR="00950F53">
        <w:rPr>
          <w:rFonts w:ascii="Times New Roman" w:hAnsi="Times New Roman" w:cs="Times New Roman"/>
          <w:b/>
          <w:sz w:val="23"/>
          <w:szCs w:val="23"/>
        </w:rPr>
        <w:t>Vocal</w:t>
      </w:r>
    </w:p>
    <w:p w:rsidRPr="00BA2C0F" w:rsidR="00600E7F" w:rsidP="00600E7F" w:rsidRDefault="00600E7F" w14:paraId="3155F74E" w14:textId="30D2E81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Omar Alfaro Villanueva – Vocal</w:t>
      </w:r>
    </w:p>
    <w:p w:rsidRPr="00BA2C0F" w:rsidR="007543CD" w:rsidP="007543CD" w:rsidRDefault="007543CD" w14:paraId="69BFE54F"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Gonzalo Abad del Busto – Vocal</w:t>
      </w:r>
    </w:p>
    <w:p w:rsidRPr="00D77AB4"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D77AB4" w:rsidR="00C6662D" w:rsidP="00C6662D" w:rsidRDefault="00C6662D" w14:paraId="14DFBF1F" w14:textId="77777777">
      <w:pPr>
        <w:spacing w:after="0" w:line="360" w:lineRule="auto"/>
        <w:rPr>
          <w:rFonts w:ascii="Times New Roman" w:hAnsi="Times New Roman" w:cs="Times New Roman"/>
          <w:bCs/>
          <w:sz w:val="24"/>
          <w:szCs w:val="24"/>
        </w:rPr>
      </w:pPr>
    </w:p>
    <w:p w:rsidRPr="00D77AB4"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1B378C" w:rsidP="00784355" w:rsidRDefault="001B378C" w14:paraId="3C87D907" w14:textId="77777777">
      <w:pPr>
        <w:spacing w:after="0" w:line="240" w:lineRule="auto"/>
      </w:pPr>
      <w:r w:rsidRPr="005E49B8">
        <w:separator/>
      </w:r>
    </w:p>
  </w:endnote>
  <w:endnote w:type="continuationSeparator" w:id="0">
    <w:p w:rsidRPr="005E49B8" w:rsidR="001B378C" w:rsidP="00784355" w:rsidRDefault="001B378C" w14:paraId="370AFD35"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
    </w:sdtContent>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1B378C" w:rsidP="00784355" w:rsidRDefault="001B378C" w14:paraId="2E491B0F" w14:textId="77777777">
      <w:pPr>
        <w:spacing w:after="0" w:line="240" w:lineRule="auto"/>
      </w:pPr>
      <w:r w:rsidRPr="005E49B8">
        <w:separator/>
      </w:r>
    </w:p>
  </w:footnote>
  <w:footnote w:type="continuationSeparator" w:id="0">
    <w:p w:rsidRPr="005E49B8" w:rsidR="001B378C" w:rsidP="00784355" w:rsidRDefault="001B378C" w14:paraId="1F4C56D6"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6CD"/>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B7200"/>
    <w:rsid w:val="000C00A6"/>
    <w:rsid w:val="000C0734"/>
    <w:rsid w:val="000C1AAB"/>
    <w:rsid w:val="000C4FAF"/>
    <w:rsid w:val="000D3CCB"/>
    <w:rsid w:val="000D5F00"/>
    <w:rsid w:val="000E4569"/>
    <w:rsid w:val="000E483A"/>
    <w:rsid w:val="000E6CBA"/>
    <w:rsid w:val="000F17DA"/>
    <w:rsid w:val="000F1B4B"/>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468B0"/>
    <w:rsid w:val="00150874"/>
    <w:rsid w:val="001508BC"/>
    <w:rsid w:val="00151F82"/>
    <w:rsid w:val="0015215E"/>
    <w:rsid w:val="001529FE"/>
    <w:rsid w:val="001562DF"/>
    <w:rsid w:val="00157979"/>
    <w:rsid w:val="00160361"/>
    <w:rsid w:val="00160C79"/>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78C"/>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E15"/>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0CBC"/>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B4DB2"/>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131D"/>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2987"/>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6F0C"/>
    <w:rsid w:val="00992626"/>
    <w:rsid w:val="0099320E"/>
    <w:rsid w:val="00993409"/>
    <w:rsid w:val="00997863"/>
    <w:rsid w:val="00997FC6"/>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2C0F"/>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398"/>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AB4"/>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9"/>
    <w:rsid w:val="00EA2DDA"/>
    <w:rsid w:val="00EA44B9"/>
    <w:rsid w:val="00EA4C4B"/>
    <w:rsid w:val="00EA697A"/>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75"/>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EB04109"/>
    <w:rsid w:val="143AD0E6"/>
    <w:rsid w:val="1AA5BF7E"/>
    <w:rsid w:val="1FC51A65"/>
    <w:rsid w:val="1FF7B679"/>
    <w:rsid w:val="3D5015BB"/>
    <w:rsid w:val="3ED5A15E"/>
    <w:rsid w:val="5FE93C79"/>
    <w:rsid w:val="621D37FB"/>
    <w:rsid w:val="701A7A81"/>
    <w:rsid w:val="7F1F4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1431474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31144897">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34923129">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198469382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0621966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36486780">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A8778D6-7515-4CA5-8C3D-6F8BC4BAEC84}"/>
</file>

<file path=customXml/itemProps3.xml><?xml version="1.0" encoding="utf-8"?>
<ds:datastoreItem xmlns:ds="http://schemas.openxmlformats.org/officeDocument/2006/customXml" ds:itemID="{5F92CC0B-D16C-40C5-A210-3F967F5CB799}"/>
</file>

<file path=customXml/itemProps4.xml><?xml version="1.0" encoding="utf-8"?>
<ds:datastoreItem xmlns:ds="http://schemas.openxmlformats.org/officeDocument/2006/customXml" ds:itemID="{723E54E3-5F3C-47B4-B9AC-5BC3E198A3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460</cp:revision>
  <cp:lastPrinted>2024-12-19T19:55:00Z</cp:lastPrinted>
  <dcterms:created xsi:type="dcterms:W3CDTF">2023-02-14T22:37:00Z</dcterms:created>
  <dcterms:modified xsi:type="dcterms:W3CDTF">2025-12-15T20:56:35Z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