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9A50CC" w:rsidR="00CC4BAD" w:rsidP="009A50CC" w:rsidRDefault="00201C0D" w14:paraId="5F090C8F" w14:textId="733D564A">
      <w:pPr>
        <w:spacing w:after="0" w:line="240" w:lineRule="auto"/>
        <w:jc w:val="center"/>
        <w:rPr>
          <w:rFonts w:ascii="Times New Roman" w:hAnsi="Times New Roman" w:cs="Times New Roman"/>
          <w:b/>
          <w:sz w:val="23"/>
          <w:szCs w:val="23"/>
          <w:lang w:eastAsia="ar-SA"/>
        </w:rPr>
      </w:pPr>
      <w:r w:rsidRPr="00BA2C0F">
        <w:rPr>
          <w:rFonts w:ascii="Times New Roman" w:hAnsi="Times New Roman" w:cs="Times New Roman"/>
          <w:b/>
          <w:sz w:val="23"/>
          <w:szCs w:val="23"/>
          <w:lang w:eastAsia="ar-SA"/>
        </w:rPr>
        <w:t xml:space="preserve">RESOLUCIÓN DE RECURSO IMPUGNATIVO </w:t>
      </w:r>
      <w:proofErr w:type="spellStart"/>
      <w:r w:rsidRPr="00BA2C0F" w:rsidR="00707C99">
        <w:rPr>
          <w:rFonts w:ascii="Times New Roman" w:hAnsi="Times New Roman" w:cs="Times New Roman"/>
          <w:b/>
          <w:sz w:val="23"/>
          <w:szCs w:val="23"/>
          <w:lang w:eastAsia="ar-SA"/>
        </w:rPr>
        <w:t>N°</w:t>
      </w:r>
      <w:proofErr w:type="spellEnd"/>
      <w:r w:rsidRPr="00BA2C0F" w:rsidR="00707C99">
        <w:rPr>
          <w:rFonts w:ascii="Times New Roman" w:hAnsi="Times New Roman" w:cs="Times New Roman"/>
          <w:b/>
          <w:sz w:val="23"/>
          <w:szCs w:val="23"/>
          <w:lang w:eastAsia="ar-SA"/>
        </w:rPr>
        <w:t xml:space="preserve"> </w:t>
      </w:r>
      <w:r w:rsidRPr="00BA2C0F" w:rsidR="00516293">
        <w:rPr>
          <w:rFonts w:ascii="Times New Roman" w:hAnsi="Times New Roman" w:cs="Times New Roman"/>
          <w:b/>
          <w:sz w:val="23"/>
          <w:szCs w:val="23"/>
          <w:lang w:eastAsia="ar-SA"/>
        </w:rPr>
        <w:t>0</w:t>
      </w:r>
      <w:r w:rsidRPr="00BA2C0F" w:rsidR="00560CBC">
        <w:rPr>
          <w:rFonts w:ascii="Times New Roman" w:hAnsi="Times New Roman" w:cs="Times New Roman"/>
          <w:b/>
          <w:sz w:val="23"/>
          <w:szCs w:val="23"/>
          <w:lang w:eastAsia="ar-SA"/>
        </w:rPr>
        <w:t>5</w:t>
      </w:r>
      <w:r w:rsidR="00F46E8C">
        <w:rPr>
          <w:rFonts w:ascii="Times New Roman" w:hAnsi="Times New Roman" w:cs="Times New Roman"/>
          <w:b/>
          <w:sz w:val="23"/>
          <w:szCs w:val="23"/>
          <w:lang w:eastAsia="ar-SA"/>
        </w:rPr>
        <w:t>5</w:t>
      </w:r>
      <w:r w:rsidRPr="00BA2C0F" w:rsidR="0073131D">
        <w:rPr>
          <w:rFonts w:ascii="Times New Roman" w:hAnsi="Times New Roman" w:cs="Times New Roman"/>
          <w:b/>
          <w:sz w:val="23"/>
          <w:szCs w:val="23"/>
          <w:lang w:eastAsia="ar-SA"/>
        </w:rPr>
        <w:t>/</w:t>
      </w:r>
      <w:r w:rsidRPr="00BA2C0F" w:rsidR="00C671F5">
        <w:rPr>
          <w:rFonts w:ascii="Times New Roman" w:hAnsi="Times New Roman" w:cs="Times New Roman"/>
          <w:b/>
          <w:sz w:val="23"/>
          <w:szCs w:val="23"/>
          <w:lang w:eastAsia="ar-SA"/>
        </w:rPr>
        <w:t>2</w:t>
      </w:r>
      <w:r w:rsidRPr="00BA2C0F" w:rsidR="00543015">
        <w:rPr>
          <w:rFonts w:ascii="Times New Roman" w:hAnsi="Times New Roman" w:cs="Times New Roman"/>
          <w:b/>
          <w:sz w:val="23"/>
          <w:szCs w:val="23"/>
          <w:lang w:eastAsia="ar-SA"/>
        </w:rPr>
        <w:t>4</w:t>
      </w:r>
    </w:p>
    <w:p w:rsidRPr="009A50CC" w:rsidR="009A50CC" w:rsidP="009A50CC" w:rsidRDefault="009A50CC" w14:paraId="020A142C" w14:textId="7F1EC585">
      <w:pPr>
        <w:jc w:val="both"/>
        <w:rPr>
          <w:rFonts w:ascii="Times New Roman" w:hAnsi="Times New Roman" w:eastAsia="Arial Unicode MS" w:cs="Times New Roman"/>
          <w:b/>
          <w:bCs/>
          <w:sz w:val="23"/>
          <w:szCs w:val="23"/>
          <w:lang w:val="es-MX" w:eastAsia="ar-SA"/>
        </w:rPr>
      </w:pPr>
      <w:r w:rsidRPr="009A50CC">
        <w:rPr>
          <w:rFonts w:ascii="Times New Roman" w:hAnsi="Times New Roman" w:eastAsia="Arial Unicode MS" w:cs="Times New Roman"/>
          <w:b/>
          <w:bCs/>
          <w:sz w:val="23"/>
          <w:szCs w:val="23"/>
          <w:lang w:val="es-MX" w:eastAsia="ar-SA"/>
        </w:rPr>
        <w:t>Vistos:</w:t>
      </w:r>
    </w:p>
    <w:p w:rsidRPr="009A50CC" w:rsidR="009A50CC" w:rsidP="74F11660" w:rsidRDefault="009A50CC" w14:paraId="46D35DD1" w14:textId="53C3C464">
      <w:pPr>
        <w:jc w:val="both"/>
        <w:rPr>
          <w:rFonts w:ascii="Times New Roman" w:hAnsi="Times New Roman" w:eastAsia="Arial Unicode MS" w:cs="Times New Roman"/>
          <w:sz w:val="23"/>
          <w:szCs w:val="23"/>
          <w:lang w:eastAsia="ar-SA"/>
        </w:rPr>
      </w:pPr>
      <w:r w:rsidRPr="74F11660" w:rsidR="009A50CC">
        <w:rPr>
          <w:rFonts w:ascii="Times New Roman" w:hAnsi="Times New Roman" w:eastAsia="Arial Unicode MS" w:cs="Times New Roman"/>
          <w:sz w:val="23"/>
          <w:szCs w:val="23"/>
          <w:lang w:val="es-ES" w:eastAsia="ar-SA"/>
        </w:rPr>
        <w:t xml:space="preserve">El recurso de impugnación presentado con fecha 23 de noviembre de 2024 por don </w:t>
      </w:r>
      <w:r w:rsidRPr="74F11660" w:rsidR="7BFD5707">
        <w:rPr>
          <w:rFonts w:ascii="Times New Roman" w:hAnsi="Times New Roman" w:eastAsia="Arial Unicode MS" w:cs="Times New Roman"/>
          <w:sz w:val="23"/>
          <w:szCs w:val="23"/>
          <w:lang w:val="es-ES" w:eastAsia="ar-SA"/>
        </w:rPr>
        <w:t>................................................</w:t>
      </w:r>
      <w:r w:rsidRPr="74F11660" w:rsidR="009A50CC">
        <w:rPr>
          <w:rFonts w:ascii="Times New Roman" w:hAnsi="Times New Roman" w:eastAsia="Arial Unicode MS" w:cs="Times New Roman"/>
          <w:sz w:val="23"/>
          <w:szCs w:val="23"/>
          <w:lang w:val="es-ES" w:eastAsia="ar-SA"/>
        </w:rPr>
        <w:t xml:space="preserve"> respecto de la Resolución </w:t>
      </w:r>
      <w:r w:rsidRPr="74F11660" w:rsidR="009A50CC">
        <w:rPr>
          <w:rFonts w:ascii="Times New Roman" w:hAnsi="Times New Roman" w:eastAsia="Arial Unicode MS" w:cs="Times New Roman"/>
          <w:sz w:val="23"/>
          <w:szCs w:val="23"/>
          <w:lang w:val="es-ES" w:eastAsia="ar-SA"/>
        </w:rPr>
        <w:t>Nº</w:t>
      </w:r>
      <w:r w:rsidRPr="74F11660" w:rsidR="009A50CC">
        <w:rPr>
          <w:rFonts w:ascii="Times New Roman" w:hAnsi="Times New Roman" w:eastAsia="Arial Unicode MS" w:cs="Times New Roman"/>
          <w:sz w:val="23"/>
          <w:szCs w:val="23"/>
          <w:lang w:val="es-ES" w:eastAsia="ar-SA"/>
        </w:rPr>
        <w:t xml:space="preserve"> 221/24 de fecha 11 de noviembre de 2024, que declaró INFUNDADA </w:t>
      </w:r>
      <w:r w:rsidRPr="74F11660" w:rsidR="009A50CC">
        <w:rPr>
          <w:rFonts w:ascii="Times New Roman" w:hAnsi="Times New Roman" w:eastAsia="Arial Unicode MS" w:cs="Times New Roman"/>
          <w:sz w:val="23"/>
          <w:szCs w:val="23"/>
          <w:lang w:eastAsia="ar-SA"/>
        </w:rPr>
        <w:t>la reclamación interpuesta</w:t>
      </w:r>
      <w:bookmarkStart w:name="OLE_LINK2" w:id="0"/>
      <w:r w:rsidRPr="74F11660" w:rsidR="009A50CC">
        <w:rPr>
          <w:rFonts w:ascii="Times New Roman" w:hAnsi="Times New Roman" w:eastAsia="Arial Unicode MS" w:cs="Times New Roman"/>
          <w:sz w:val="23"/>
          <w:szCs w:val="23"/>
          <w:lang w:eastAsia="ar-SA"/>
        </w:rPr>
        <w:t xml:space="preserve"> contra </w:t>
      </w:r>
      <w:r w:rsidRPr="74F11660" w:rsidR="172B02F5">
        <w:rPr>
          <w:rFonts w:ascii="Times New Roman" w:hAnsi="Times New Roman" w:eastAsia="Arial Unicode MS" w:cs="Times New Roman"/>
          <w:sz w:val="23"/>
          <w:szCs w:val="23"/>
          <w:lang w:eastAsia="ar-SA"/>
        </w:rPr>
        <w:t>....................................</w:t>
      </w:r>
      <w:r w:rsidRPr="74F11660" w:rsidR="009A50CC">
        <w:rPr>
          <w:rFonts w:ascii="Times New Roman" w:hAnsi="Times New Roman" w:eastAsia="Arial Unicode MS" w:cs="Times New Roman"/>
          <w:sz w:val="23"/>
          <w:szCs w:val="23"/>
          <w:lang w:eastAsia="ar-SA"/>
        </w:rPr>
        <w:t xml:space="preserve"> respecto al seguro de Vida Ley Cesante Póliza </w:t>
      </w:r>
      <w:r w:rsidRPr="74F11660" w:rsidR="691C7A49">
        <w:rPr>
          <w:rFonts w:ascii="Times New Roman" w:hAnsi="Times New Roman" w:eastAsia="Arial Unicode MS" w:cs="Times New Roman"/>
          <w:sz w:val="23"/>
          <w:szCs w:val="23"/>
          <w:lang w:eastAsia="ar-SA"/>
        </w:rPr>
        <w:t>.......................</w:t>
      </w:r>
      <w:r w:rsidRPr="74F11660" w:rsidR="009A50CC">
        <w:rPr>
          <w:rFonts w:ascii="Times New Roman" w:hAnsi="Times New Roman" w:eastAsia="Arial Unicode MS" w:cs="Times New Roman"/>
          <w:sz w:val="23"/>
          <w:szCs w:val="23"/>
          <w:lang w:eastAsia="ar-SA"/>
        </w:rPr>
        <w:t xml:space="preserve">. </w:t>
      </w:r>
    </w:p>
    <w:bookmarkEnd w:id="0"/>
    <w:p w:rsidRPr="009A50CC" w:rsidR="009A50CC" w:rsidP="74F11660" w:rsidRDefault="009A50CC" w14:paraId="10915345" w14:textId="2A1C1D59">
      <w:pPr>
        <w:jc w:val="both"/>
        <w:rPr>
          <w:rFonts w:ascii="Times New Roman" w:hAnsi="Times New Roman" w:eastAsia="Arial Unicode MS" w:cs="Times New Roman"/>
          <w:sz w:val="23"/>
          <w:szCs w:val="23"/>
          <w:lang w:val="es-MX" w:eastAsia="ar-SA"/>
        </w:rPr>
      </w:pPr>
      <w:r w:rsidRPr="74F11660" w:rsidR="009A50CC">
        <w:rPr>
          <w:rFonts w:ascii="Times New Roman" w:hAnsi="Times New Roman" w:eastAsia="Arial Unicode MS" w:cs="Times New Roman"/>
          <w:sz w:val="23"/>
          <w:szCs w:val="23"/>
          <w:lang w:val="es-MX" w:eastAsia="ar-SA"/>
        </w:rPr>
        <w:t xml:space="preserve">Que, a través del señalado recurso el reclamante manifiesta su disconformidad con lo resuelto señalando resumidamente lo siguiente: a) la resolución impugnada es nula </w:t>
      </w:r>
      <w:r w:rsidRPr="74F11660" w:rsidR="362F0C68">
        <w:rPr>
          <w:rFonts w:ascii="Times New Roman" w:hAnsi="Times New Roman" w:eastAsia="Arial Unicode MS" w:cs="Times New Roman"/>
          <w:sz w:val="23"/>
          <w:szCs w:val="23"/>
          <w:lang w:val="es-MX" w:eastAsia="ar-SA"/>
        </w:rPr>
        <w:t>p</w:t>
      </w:r>
      <w:r w:rsidRPr="74F11660" w:rsidR="009A50CC">
        <w:rPr>
          <w:rFonts w:ascii="Times New Roman" w:hAnsi="Times New Roman" w:eastAsia="Arial Unicode MS" w:cs="Times New Roman"/>
          <w:sz w:val="23"/>
          <w:szCs w:val="23"/>
          <w:lang w:val="es-MX" w:eastAsia="ar-SA"/>
        </w:rPr>
        <w:t>or</w:t>
      </w:r>
      <w:r w:rsidRPr="74F11660" w:rsidR="009A50CC">
        <w:rPr>
          <w:rFonts w:ascii="Times New Roman" w:hAnsi="Times New Roman" w:eastAsia="Arial Unicode MS" w:cs="Times New Roman"/>
          <w:sz w:val="23"/>
          <w:szCs w:val="23"/>
          <w:lang w:val="es-MX" w:eastAsia="ar-SA"/>
        </w:rPr>
        <w:t xml:space="preserve"> cuanto no observa objetivamente los hechos materia de denuncia, haciendo referencias circunstancias ajenas a las expresadas en su denuncia; b) la resolución recurrida señala que los seguros se delimitan tanto positiva como negativamente; no obstante en la póliza no se observa la existencia de cláusulas delimitadoras del riesgo, lo que se cubre es el accidente, y esa sola circunstancia debe activar el seguro, y no que a través del accidente se produzca la alineación o </w:t>
      </w:r>
      <w:r w:rsidRPr="74F11660" w:rsidR="009A50CC">
        <w:rPr>
          <w:rFonts w:ascii="Times New Roman" w:hAnsi="Times New Roman" w:eastAsia="Arial Unicode MS" w:cs="Times New Roman"/>
          <w:sz w:val="23"/>
          <w:szCs w:val="23"/>
          <w:lang w:val="es-MX" w:eastAsia="ar-SA"/>
        </w:rPr>
        <w:t>descerebramiento</w:t>
      </w:r>
      <w:r w:rsidRPr="74F11660" w:rsidR="009A50CC">
        <w:rPr>
          <w:rFonts w:ascii="Times New Roman" w:hAnsi="Times New Roman" w:eastAsia="Arial Unicode MS" w:cs="Times New Roman"/>
          <w:sz w:val="23"/>
          <w:szCs w:val="23"/>
          <w:lang w:val="es-MX" w:eastAsia="ar-SA"/>
        </w:rPr>
        <w:t xml:space="preserve">, darle otra interpretación conllevaría a una indefensión; c) </w:t>
      </w:r>
      <w:r w:rsidRPr="74F11660" w:rsidR="0BF722C0">
        <w:rPr>
          <w:rFonts w:ascii="Times New Roman" w:hAnsi="Times New Roman" w:eastAsia="Arial Unicode MS" w:cs="Times New Roman"/>
          <w:sz w:val="23"/>
          <w:szCs w:val="23"/>
          <w:lang w:val="es-MX" w:eastAsia="ar-SA"/>
        </w:rPr>
        <w:t>.......................</w:t>
      </w:r>
      <w:r w:rsidRPr="74F11660" w:rsidR="009A50CC">
        <w:rPr>
          <w:rFonts w:ascii="Times New Roman" w:hAnsi="Times New Roman" w:eastAsia="Arial Unicode MS" w:cs="Times New Roman"/>
          <w:sz w:val="23"/>
          <w:szCs w:val="23"/>
          <w:lang w:val="es-MX" w:eastAsia="ar-SA"/>
        </w:rPr>
        <w:t xml:space="preserve"> señala que el reclamante sufrió u golpe en la cabeza al romperse la hamaca donde se encontraba, lo que recoge el </w:t>
      </w:r>
      <w:r w:rsidRPr="74F11660" w:rsidR="009A50CC">
        <w:rPr>
          <w:rFonts w:ascii="Times New Roman" w:hAnsi="Times New Roman" w:eastAsia="Arial Unicode MS" w:cs="Times New Roman"/>
          <w:sz w:val="23"/>
          <w:szCs w:val="23"/>
          <w:lang w:val="es-MX" w:eastAsia="ar-SA"/>
        </w:rPr>
        <w:t>coleigado</w:t>
      </w:r>
      <w:r w:rsidRPr="74F11660" w:rsidR="009A50CC">
        <w:rPr>
          <w:rFonts w:ascii="Times New Roman" w:hAnsi="Times New Roman" w:eastAsia="Arial Unicode MS" w:cs="Times New Roman"/>
          <w:sz w:val="23"/>
          <w:szCs w:val="23"/>
          <w:lang w:val="es-MX" w:eastAsia="ar-SA"/>
        </w:rPr>
        <w:t xml:space="preserve">, pero ello no guarda consistencia con lo consignado en la denuncia donde se dice que su persona “sufrió un accidente al voltearse la mecedora hacia atrás golpeándose la cabeza y la columna, ese graso error invalida la resolución ya que se podría tratar de otro caso y ello vulnera sus derechos a obtener una resolución debidamente motivada; </w:t>
      </w:r>
    </w:p>
    <w:p w:rsidRPr="009A50CC" w:rsidR="009A50CC" w:rsidP="009A50CC" w:rsidRDefault="009A50CC" w14:paraId="18B383C8" w14:textId="565837B7">
      <w:pPr>
        <w:jc w:val="both"/>
        <w:rPr>
          <w:rFonts w:ascii="Times New Roman" w:hAnsi="Times New Roman" w:eastAsia="Arial Unicode MS" w:cs="Times New Roman"/>
          <w:bCs/>
          <w:sz w:val="23"/>
          <w:szCs w:val="23"/>
          <w:lang w:val="es-MX" w:eastAsia="ar-SA"/>
        </w:rPr>
      </w:pPr>
      <w:r w:rsidRPr="009A50CC">
        <w:rPr>
          <w:rFonts w:ascii="Times New Roman" w:hAnsi="Times New Roman" w:eastAsia="Arial Unicode MS" w:cs="Times New Roman"/>
          <w:bCs/>
          <w:sz w:val="23"/>
          <w:szCs w:val="23"/>
          <w:lang w:val="es-MX" w:eastAsia="ar-SA"/>
        </w:rPr>
        <w:t xml:space="preserve">Que, habiéndose corrido traslado de la impugnación a la aseguradora, esta no ha cumplido con absolverla hasta la fecha. </w:t>
      </w:r>
    </w:p>
    <w:p w:rsidRPr="009A50CC" w:rsidR="009A50CC" w:rsidP="009A50CC" w:rsidRDefault="009A50CC" w14:paraId="79F11371" w14:textId="0E26FE75">
      <w:pPr>
        <w:jc w:val="both"/>
        <w:rPr>
          <w:rFonts w:ascii="Times New Roman" w:hAnsi="Times New Roman" w:eastAsia="Arial Unicode MS" w:cs="Times New Roman"/>
          <w:bCs/>
          <w:sz w:val="23"/>
          <w:szCs w:val="23"/>
          <w:lang w:val="es-MX" w:eastAsia="ar-SA"/>
        </w:rPr>
      </w:pPr>
      <w:r w:rsidRPr="009A50CC">
        <w:rPr>
          <w:rFonts w:ascii="Times New Roman" w:hAnsi="Times New Roman" w:eastAsia="Arial Unicode MS" w:cs="Times New Roman"/>
          <w:b/>
          <w:bCs/>
          <w:sz w:val="23"/>
          <w:szCs w:val="23"/>
          <w:lang w:val="es-MX" w:eastAsia="ar-SA"/>
        </w:rPr>
        <w:t>Considerando:</w:t>
      </w:r>
    </w:p>
    <w:p w:rsidRPr="009A50CC" w:rsidR="009A50CC" w:rsidP="009A50CC" w:rsidRDefault="009A50CC" w14:paraId="4B1300B4" w14:textId="1F9853D7">
      <w:pPr>
        <w:jc w:val="both"/>
        <w:rPr>
          <w:rFonts w:ascii="Times New Roman" w:hAnsi="Times New Roman" w:eastAsia="Arial Unicode MS" w:cs="Times New Roman"/>
          <w:bCs/>
          <w:sz w:val="23"/>
          <w:szCs w:val="23"/>
          <w:lang w:eastAsia="ar-SA"/>
        </w:rPr>
      </w:pPr>
      <w:r w:rsidRPr="009A50CC">
        <w:rPr>
          <w:rFonts w:ascii="Times New Roman" w:hAnsi="Times New Roman" w:eastAsia="Arial Unicode MS" w:cs="Times New Roman"/>
          <w:b/>
          <w:bCs/>
          <w:sz w:val="23"/>
          <w:szCs w:val="23"/>
          <w:u w:val="single"/>
          <w:lang w:eastAsia="ar-SA"/>
        </w:rPr>
        <w:t>Primero</w:t>
      </w:r>
      <w:r w:rsidRPr="009A50CC">
        <w:rPr>
          <w:rFonts w:ascii="Times New Roman" w:hAnsi="Times New Roman" w:eastAsia="Arial Unicode MS" w:cs="Times New Roman"/>
          <w:b/>
          <w:bCs/>
          <w:sz w:val="23"/>
          <w:szCs w:val="23"/>
          <w:lang w:eastAsia="ar-SA"/>
        </w:rPr>
        <w:t>:</w:t>
      </w:r>
      <w:r w:rsidRPr="009A50CC">
        <w:rPr>
          <w:rFonts w:ascii="Times New Roman" w:hAnsi="Times New Roman" w:eastAsia="Arial Unicode MS" w:cs="Times New Roman"/>
          <w:bCs/>
          <w:sz w:val="23"/>
          <w:szCs w:val="23"/>
          <w:lang w:eastAsia="ar-SA"/>
        </w:rPr>
        <w:t xml:space="preserve"> El Reglamento de la DEFASEG (</w:t>
      </w:r>
      <w:hyperlink w:history="1" r:id="rId8">
        <w:r w:rsidRPr="009A50CC">
          <w:rPr>
            <w:rStyle w:val="Hipervnculo"/>
            <w:rFonts w:ascii="Times New Roman" w:hAnsi="Times New Roman" w:eastAsia="Arial Unicode MS" w:cs="Times New Roman"/>
            <w:bCs/>
            <w:sz w:val="23"/>
            <w:szCs w:val="23"/>
            <w:lang w:eastAsia="ar-SA"/>
          </w:rPr>
          <w:t>http://www.defaseg.com.pe/reglamento</w:t>
        </w:r>
      </w:hyperlink>
      <w:r w:rsidRPr="009A50CC">
        <w:rPr>
          <w:rFonts w:ascii="Times New Roman" w:hAnsi="Times New Roman" w:eastAsia="Arial Unicode MS" w:cs="Times New Roman"/>
          <w:bCs/>
          <w:sz w:val="23"/>
          <w:szCs w:val="23"/>
          <w:lang w:eastAsia="ar-SA"/>
        </w:rPr>
        <w:t>) establece que la parte que no se encuentre de acuerdo con lo resuelto en su oportunidad podrá impugnarlo, interponiendo el correspondiente recurso. Conforme a ello, en el caso concreto, al interponer el recurso de impugnación la reclamante ha ejercido formalmente su derecho a contradecir lo resuelto por la Defensoría.</w:t>
      </w:r>
    </w:p>
    <w:p w:rsidRPr="009A50CC" w:rsidR="009A50CC" w:rsidP="74F11660" w:rsidRDefault="009A50CC" w14:paraId="5CD85870" w14:textId="5159CAC2">
      <w:pPr>
        <w:jc w:val="both"/>
        <w:rPr>
          <w:rFonts w:ascii="Times New Roman" w:hAnsi="Times New Roman" w:eastAsia="Arial Unicode MS" w:cs="Times New Roman"/>
          <w:sz w:val="23"/>
          <w:szCs w:val="23"/>
          <w:lang w:eastAsia="ar-SA"/>
        </w:rPr>
      </w:pPr>
      <w:r w:rsidRPr="74F11660" w:rsidR="009A50CC">
        <w:rPr>
          <w:rFonts w:ascii="Times New Roman" w:hAnsi="Times New Roman" w:eastAsia="Arial Unicode MS" w:cs="Times New Roman"/>
          <w:b w:val="1"/>
          <w:bCs w:val="1"/>
          <w:sz w:val="23"/>
          <w:szCs w:val="23"/>
          <w:u w:val="single"/>
          <w:lang w:eastAsia="ar-SA"/>
        </w:rPr>
        <w:t>Segundo</w:t>
      </w:r>
      <w:r w:rsidRPr="74F11660" w:rsidR="009A50CC">
        <w:rPr>
          <w:rFonts w:ascii="Times New Roman" w:hAnsi="Times New Roman" w:eastAsia="Arial Unicode MS" w:cs="Times New Roman"/>
          <w:b w:val="1"/>
          <w:bCs w:val="1"/>
          <w:sz w:val="23"/>
          <w:szCs w:val="23"/>
          <w:lang w:eastAsia="ar-SA"/>
        </w:rPr>
        <w:t>:</w:t>
      </w:r>
      <w:r w:rsidRPr="74F11660" w:rsidR="009A50CC">
        <w:rPr>
          <w:rFonts w:ascii="Times New Roman" w:hAnsi="Times New Roman" w:eastAsia="Arial Unicode MS" w:cs="Times New Roman"/>
          <w:sz w:val="23"/>
          <w:szCs w:val="23"/>
          <w:lang w:eastAsia="ar-SA"/>
        </w:rPr>
        <w:t xml:space="preserve"> Atendiendo a los fundamentos de la impugnación interpuesta, se advierte que el reclamante insiste en sus argumentos ya analizados expresando que basta que se produzca un accidente para que se active el seguro; y señalando que la resolución es nula por cuanto se recogió lo señalado por </w:t>
      </w:r>
      <w:r w:rsidRPr="74F11660" w:rsidR="0BF722C0">
        <w:rPr>
          <w:rFonts w:ascii="Times New Roman" w:hAnsi="Times New Roman" w:eastAsia="Arial Unicode MS" w:cs="Times New Roman"/>
          <w:sz w:val="23"/>
          <w:szCs w:val="23"/>
          <w:lang w:eastAsia="ar-SA"/>
        </w:rPr>
        <w:t>.......................</w:t>
      </w:r>
      <w:r w:rsidRPr="74F11660" w:rsidR="009A50CC">
        <w:rPr>
          <w:rFonts w:ascii="Times New Roman" w:hAnsi="Times New Roman" w:eastAsia="Arial Unicode MS" w:cs="Times New Roman"/>
          <w:sz w:val="23"/>
          <w:szCs w:val="23"/>
          <w:lang w:eastAsia="ar-SA"/>
        </w:rPr>
        <w:t xml:space="preserve"> en el sentido que recoge lo afirmado por </w:t>
      </w:r>
      <w:r w:rsidRPr="74F11660" w:rsidR="0BF722C0">
        <w:rPr>
          <w:rFonts w:ascii="Times New Roman" w:hAnsi="Times New Roman" w:eastAsia="Arial Unicode MS" w:cs="Times New Roman"/>
          <w:sz w:val="23"/>
          <w:szCs w:val="23"/>
          <w:lang w:eastAsia="ar-SA"/>
        </w:rPr>
        <w:t>.......................</w:t>
      </w:r>
      <w:r w:rsidRPr="74F11660" w:rsidR="009A50CC">
        <w:rPr>
          <w:rFonts w:ascii="Times New Roman" w:hAnsi="Times New Roman" w:eastAsia="Arial Unicode MS" w:cs="Times New Roman"/>
          <w:sz w:val="23"/>
          <w:szCs w:val="23"/>
          <w:lang w:eastAsia="ar-SA"/>
        </w:rPr>
        <w:t xml:space="preserve"> al señalar que se golpea la cabeza al romperse la hamaca en la que se encontraba, cuando en su denuncia manifestó que se voltea la mecedera golpeándose la cabeza y la columna.</w:t>
      </w:r>
    </w:p>
    <w:p w:rsidRPr="009A50CC" w:rsidR="009A50CC" w:rsidP="009A50CC" w:rsidRDefault="009A50CC" w14:paraId="72C5A730" w14:textId="77777777">
      <w:pPr>
        <w:jc w:val="both"/>
        <w:rPr>
          <w:rFonts w:ascii="Times New Roman" w:hAnsi="Times New Roman" w:eastAsia="Arial Unicode MS" w:cs="Times New Roman"/>
          <w:bCs/>
          <w:sz w:val="23"/>
          <w:szCs w:val="23"/>
          <w:lang w:eastAsia="ar-SA"/>
        </w:rPr>
      </w:pPr>
      <w:r w:rsidRPr="009A50CC">
        <w:rPr>
          <w:rFonts w:ascii="Times New Roman" w:hAnsi="Times New Roman" w:eastAsia="Arial Unicode MS" w:cs="Times New Roman"/>
          <w:bCs/>
          <w:sz w:val="23"/>
          <w:szCs w:val="23"/>
          <w:lang w:eastAsia="ar-SA"/>
        </w:rPr>
        <w:t xml:space="preserve">Al respecto, este colegiado no comparte la posición del reclamante, por cuanto el seguro no se activa por la ocurrencia de un accidente, tan es así que también cubre el fallecimiento por enfermedad, el seguro de vida ley se activa </w:t>
      </w:r>
      <w:proofErr w:type="gramStart"/>
      <w:r w:rsidRPr="009A50CC">
        <w:rPr>
          <w:rFonts w:ascii="Times New Roman" w:hAnsi="Times New Roman" w:eastAsia="Arial Unicode MS" w:cs="Times New Roman"/>
          <w:bCs/>
          <w:sz w:val="23"/>
          <w:szCs w:val="23"/>
          <w:lang w:eastAsia="ar-SA"/>
        </w:rPr>
        <w:t>en caso que</w:t>
      </w:r>
      <w:proofErr w:type="gramEnd"/>
      <w:r w:rsidRPr="009A50CC">
        <w:rPr>
          <w:rFonts w:ascii="Times New Roman" w:hAnsi="Times New Roman" w:eastAsia="Arial Unicode MS" w:cs="Times New Roman"/>
          <w:bCs/>
          <w:sz w:val="23"/>
          <w:szCs w:val="23"/>
          <w:lang w:eastAsia="ar-SA"/>
        </w:rPr>
        <w:t xml:space="preserve"> se produzca el fallecimiento de la persona, sea por causa natural o accidental; o en caso que se produzca la invalidez total o permanente del asegurado por causa accidental. Asimismo, define como invalidez total o peramente un supuesto determinado, y no cualquier supuesto; por lo que al no haber el asegurado acreditado que en su caso se ha producido el supuesto de invalidez establecido por la norma, el rechazo de cobertura resulta legítimo. </w:t>
      </w:r>
    </w:p>
    <w:p w:rsidRPr="009A50CC" w:rsidR="009A50CC" w:rsidP="009A50CC" w:rsidRDefault="009A50CC" w14:paraId="23ABC8DC" w14:textId="77777777">
      <w:pPr>
        <w:jc w:val="both"/>
        <w:rPr>
          <w:rFonts w:ascii="Times New Roman" w:hAnsi="Times New Roman" w:eastAsia="Arial Unicode MS" w:cs="Times New Roman"/>
          <w:bCs/>
          <w:sz w:val="23"/>
          <w:szCs w:val="23"/>
          <w:lang w:eastAsia="ar-SA"/>
        </w:rPr>
      </w:pPr>
    </w:p>
    <w:p w:rsidRPr="009A50CC" w:rsidR="009A50CC" w:rsidP="009A50CC" w:rsidRDefault="009A50CC" w14:paraId="536B8A60" w14:textId="5029F0D1">
      <w:pPr>
        <w:jc w:val="both"/>
        <w:rPr>
          <w:rFonts w:ascii="Times New Roman" w:hAnsi="Times New Roman" w:eastAsia="Arial Unicode MS" w:cs="Times New Roman"/>
          <w:bCs/>
          <w:sz w:val="23"/>
          <w:szCs w:val="23"/>
          <w:lang w:eastAsia="ar-SA"/>
        </w:rPr>
      </w:pPr>
      <w:r w:rsidRPr="009A50CC">
        <w:rPr>
          <w:rFonts w:ascii="Times New Roman" w:hAnsi="Times New Roman" w:eastAsia="Arial Unicode MS" w:cs="Times New Roman"/>
          <w:bCs/>
          <w:sz w:val="23"/>
          <w:szCs w:val="23"/>
          <w:lang w:eastAsia="ar-SA"/>
        </w:rPr>
        <w:lastRenderedPageBreak/>
        <w:t>En este sentido, se recogen los siguientes párrafos de la resolución recurrida:</w:t>
      </w:r>
    </w:p>
    <w:p w:rsidRPr="009A50CC" w:rsidR="009A50CC" w:rsidP="009A50CC" w:rsidRDefault="009A50CC" w14:paraId="5957A360" w14:textId="6AB1A19D">
      <w:pPr>
        <w:jc w:val="both"/>
        <w:rPr>
          <w:rFonts w:ascii="Times New Roman" w:hAnsi="Times New Roman" w:eastAsia="Arial Unicode MS" w:cs="Times New Roman"/>
          <w:bCs/>
          <w:sz w:val="23"/>
          <w:szCs w:val="23"/>
          <w:lang w:eastAsia="ar-SA"/>
        </w:rPr>
      </w:pPr>
      <w:r w:rsidRPr="009A50CC">
        <w:rPr>
          <w:rFonts w:ascii="Times New Roman" w:hAnsi="Times New Roman" w:eastAsia="Arial Unicode MS" w:cs="Times New Roman"/>
          <w:bCs/>
          <w:sz w:val="23"/>
          <w:szCs w:val="23"/>
          <w:lang w:eastAsia="ar-SA"/>
        </w:rPr>
        <w:t>“En el caso de la cobertura de Invalidez Total o Permanente originada por accidente, la póliza de seguro y el artículo 5 del Decreto Legislativo 688, expresamente establecen que no se cubre cualquier situación de invalidez total o permanente por accidente, sino únicamente aquella que corresponda a los supuestos establecidos en la ley. A continuación, se transcribe lo establecido en el referido artículo 5:</w:t>
      </w:r>
    </w:p>
    <w:p w:rsidRPr="009A50CC" w:rsidR="009A50CC" w:rsidP="009A50CC" w:rsidRDefault="009A50CC" w14:paraId="7714EE63" w14:textId="7AEC3ECC">
      <w:pPr>
        <w:jc w:val="both"/>
        <w:rPr>
          <w:rFonts w:ascii="Times New Roman" w:hAnsi="Times New Roman" w:eastAsia="Arial Unicode MS" w:cs="Times New Roman"/>
          <w:bCs/>
          <w:i/>
          <w:iCs/>
          <w:sz w:val="23"/>
          <w:szCs w:val="23"/>
          <w:lang w:eastAsia="ar-SA"/>
        </w:rPr>
      </w:pPr>
      <w:r w:rsidRPr="009A50CC">
        <w:rPr>
          <w:rFonts w:ascii="Times New Roman" w:hAnsi="Times New Roman" w:eastAsia="Arial Unicode MS" w:cs="Times New Roman"/>
          <w:b/>
          <w:bCs/>
          <w:i/>
          <w:iCs/>
          <w:sz w:val="23"/>
          <w:szCs w:val="23"/>
          <w:lang w:eastAsia="ar-SA"/>
        </w:rPr>
        <w:t> “Artículo 5.- </w:t>
      </w:r>
      <w:r w:rsidRPr="009A50CC">
        <w:rPr>
          <w:rFonts w:ascii="Times New Roman" w:hAnsi="Times New Roman" w:eastAsia="Arial Unicode MS" w:cs="Times New Roman"/>
          <w:bCs/>
          <w:i/>
          <w:iCs/>
          <w:sz w:val="23"/>
          <w:szCs w:val="23"/>
          <w:lang w:eastAsia="ar-SA"/>
        </w:rPr>
        <w:t xml:space="preserve">Se considera invalidez total y permanente originada por accidente, la alienación mental absoluta e incurable, el </w:t>
      </w:r>
      <w:proofErr w:type="spellStart"/>
      <w:r w:rsidRPr="009A50CC">
        <w:rPr>
          <w:rFonts w:ascii="Times New Roman" w:hAnsi="Times New Roman" w:eastAsia="Arial Unicode MS" w:cs="Times New Roman"/>
          <w:bCs/>
          <w:i/>
          <w:iCs/>
          <w:sz w:val="23"/>
          <w:szCs w:val="23"/>
          <w:lang w:eastAsia="ar-SA"/>
        </w:rPr>
        <w:t>descerebramiento</w:t>
      </w:r>
      <w:proofErr w:type="spellEnd"/>
      <w:r w:rsidRPr="009A50CC">
        <w:rPr>
          <w:rFonts w:ascii="Times New Roman" w:hAnsi="Times New Roman" w:eastAsia="Arial Unicode MS" w:cs="Times New Roman"/>
          <w:bCs/>
          <w:i/>
          <w:iCs/>
          <w:sz w:val="23"/>
          <w:szCs w:val="23"/>
          <w:lang w:eastAsia="ar-SA"/>
        </w:rPr>
        <w:t xml:space="preserve"> que impida efectuar trabajo u ocupación por el resto de la vida, la fractura incurable de la columna vertebral que determine la invalidez total y permanente, la pérdida total de la visión de ambos ojos, o de ambas manos, o de ambos pies, o de una mano y un pie y otros que se puedan establecer por Decreto Supremo”.”</w:t>
      </w:r>
    </w:p>
    <w:p w:rsidRPr="009A50CC" w:rsidR="009A50CC" w:rsidP="009A50CC" w:rsidRDefault="009A50CC" w14:paraId="1B9199F0" w14:textId="26843FC0">
      <w:pPr>
        <w:jc w:val="both"/>
        <w:rPr>
          <w:rFonts w:ascii="Times New Roman" w:hAnsi="Times New Roman" w:eastAsia="Arial Unicode MS" w:cs="Times New Roman"/>
          <w:bCs/>
          <w:sz w:val="23"/>
          <w:szCs w:val="23"/>
          <w:lang w:eastAsia="ar-SA"/>
        </w:rPr>
      </w:pPr>
      <w:r w:rsidRPr="009A50CC">
        <w:rPr>
          <w:rFonts w:ascii="Times New Roman" w:hAnsi="Times New Roman" w:eastAsia="Arial Unicode MS" w:cs="Times New Roman"/>
          <w:bCs/>
          <w:sz w:val="23"/>
          <w:szCs w:val="23"/>
          <w:lang w:eastAsia="ar-SA"/>
        </w:rPr>
        <w:t>Sobre la nulidad invocada por el reclamante, la resolución impugnada no se sustenta en la forma cómo se produce el accidente invocado por el reclamante, sino en la falta de configuración de una invalidez total y permanente bajo los términos establecidos en la póliza, y en el hecho que aun cuando se acreditara que se ha producido una invalidez total y permanente en los términos de la póliza, no está acreditado que esta derive del accidente referido por el asegurado.</w:t>
      </w:r>
    </w:p>
    <w:p w:rsidRPr="009A50CC" w:rsidR="009A50CC" w:rsidP="009A50CC" w:rsidRDefault="009A50CC" w14:paraId="0321C2B9" w14:textId="01BC4856">
      <w:pPr>
        <w:jc w:val="both"/>
        <w:rPr>
          <w:rFonts w:ascii="Times New Roman" w:hAnsi="Times New Roman" w:eastAsia="Arial Unicode MS" w:cs="Times New Roman"/>
          <w:bCs/>
          <w:sz w:val="23"/>
          <w:szCs w:val="23"/>
          <w:lang w:eastAsia="ar-SA"/>
        </w:rPr>
      </w:pPr>
      <w:r w:rsidRPr="009A50CC">
        <w:rPr>
          <w:rFonts w:ascii="Times New Roman" w:hAnsi="Times New Roman" w:eastAsia="Arial Unicode MS" w:cs="Times New Roman"/>
          <w:bCs/>
          <w:sz w:val="23"/>
          <w:szCs w:val="23"/>
          <w:lang w:eastAsia="ar-SA"/>
        </w:rPr>
        <w:t>Cabe señar que la resolución impugnada recoge y copia una imagen de la denuncia policial, en la que se da cuenta del dicho del reclamante sobre el accidente que habría producido la invalidez, donde se señala, que la caída se produce cuando la mecedora se voltea hacia atrás cayéndose de espalda golpeándose la cabeza y parte de la columna. Si bien, por error se toma la referencia de la aseguradora sobre que la caída fue de una “hamaca” en vez de una mecedora, ello no desvirtúa el análisis respecto de la caída, y las enfermedades que ya padecía el reclamante, y que transcribimos a continuación, por lo que este colegiado reitera lo expuesto en la resolución impugnada, precisando que la caída invocada por el reclamante no fue de una hamaca, sino de una mecedora:</w:t>
      </w:r>
    </w:p>
    <w:p w:rsidRPr="009A50CC" w:rsidR="009A50CC" w:rsidP="009A50CC" w:rsidRDefault="009A50CC" w14:paraId="16C22E76" w14:textId="5C2044D4">
      <w:pPr>
        <w:jc w:val="both"/>
        <w:rPr>
          <w:rFonts w:ascii="Times New Roman" w:hAnsi="Times New Roman" w:eastAsia="Arial Unicode MS" w:cs="Times New Roman"/>
          <w:bCs/>
          <w:sz w:val="23"/>
          <w:szCs w:val="23"/>
          <w:lang w:eastAsia="ar-SA"/>
        </w:rPr>
      </w:pPr>
      <w:r w:rsidRPr="009A50CC">
        <w:rPr>
          <w:rFonts w:ascii="Times New Roman" w:hAnsi="Times New Roman" w:eastAsia="Arial Unicode MS" w:cs="Times New Roman"/>
          <w:bCs/>
          <w:sz w:val="23"/>
          <w:szCs w:val="23"/>
          <w:lang w:eastAsia="ar-SA"/>
        </w:rPr>
        <w:t>“En opinión de este colegiado, la denuncia policial por si sola, no es suficiente para acreditar que el ACV haya sido producto de una caída accidental, dado que la misma es solo una constatación formulada más de dos años después, por el propio asegurado, que no genera convicción, pues revisadas las atenciones clínicas del 27 de noviembre de 2019, no se hace referencia alguna a dicha caída, por el contrario se menciona la referencia la diabetes, dándose cuenta en la atención del 28/11/2019 (a fojas 19 de la historia clínica) de lo siguiente,:</w:t>
      </w:r>
    </w:p>
    <w:p w:rsidRPr="009A50CC" w:rsidR="009A50CC" w:rsidP="009A50CC" w:rsidRDefault="009A50CC" w14:paraId="05498C11" w14:textId="51D21C6F">
      <w:pPr>
        <w:jc w:val="both"/>
        <w:rPr>
          <w:rFonts w:ascii="Times New Roman" w:hAnsi="Times New Roman" w:eastAsia="Arial Unicode MS" w:cs="Times New Roman"/>
          <w:bCs/>
          <w:sz w:val="23"/>
          <w:szCs w:val="23"/>
          <w:lang w:eastAsia="ar-SA"/>
        </w:rPr>
      </w:pPr>
      <w:r w:rsidRPr="009A50CC">
        <w:rPr>
          <w:rFonts w:ascii="Times New Roman" w:hAnsi="Times New Roman" w:eastAsia="Arial Unicode MS" w:cs="Times New Roman"/>
          <w:bCs/>
          <w:sz w:val="23"/>
          <w:szCs w:val="23"/>
          <w:lang w:eastAsia="ar-SA"/>
        </w:rPr>
        <w:drawing>
          <wp:inline distT="0" distB="0" distL="0" distR="0" wp14:anchorId="25912274" wp14:editId="7F5B409C">
            <wp:extent cx="5756910" cy="610235"/>
            <wp:effectExtent l="0" t="0" r="0" b="0"/>
            <wp:docPr id="127942135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6910" cy="610235"/>
                    </a:xfrm>
                    <a:prstGeom prst="rect">
                      <a:avLst/>
                    </a:prstGeom>
                    <a:noFill/>
                    <a:ln>
                      <a:noFill/>
                    </a:ln>
                  </pic:spPr>
                </pic:pic>
              </a:graphicData>
            </a:graphic>
          </wp:inline>
        </w:drawing>
      </w:r>
    </w:p>
    <w:p w:rsidRPr="009A50CC" w:rsidR="009A50CC" w:rsidP="009A50CC" w:rsidRDefault="009A50CC" w14:paraId="18785A9D" w14:textId="2CF697DA">
      <w:pPr>
        <w:jc w:val="both"/>
        <w:rPr>
          <w:rFonts w:ascii="Times New Roman" w:hAnsi="Times New Roman" w:eastAsia="Arial Unicode MS" w:cs="Times New Roman"/>
          <w:bCs/>
          <w:sz w:val="23"/>
          <w:szCs w:val="23"/>
          <w:lang w:eastAsia="ar-SA"/>
        </w:rPr>
      </w:pPr>
      <w:r w:rsidRPr="009A50CC">
        <w:rPr>
          <w:rFonts w:ascii="Times New Roman" w:hAnsi="Times New Roman" w:eastAsia="Arial Unicode MS" w:cs="Times New Roman"/>
          <w:bCs/>
          <w:sz w:val="23"/>
          <w:szCs w:val="23"/>
          <w:lang w:eastAsia="ar-SA"/>
        </w:rPr>
        <w:t>Y posteriormente, en la misma historia clínica a fojas 23:</w:t>
      </w:r>
    </w:p>
    <w:p w:rsidRPr="009A50CC" w:rsidR="009A50CC" w:rsidP="009A50CC" w:rsidRDefault="009A50CC" w14:paraId="5C38EC5C" w14:textId="5725F3FC">
      <w:pPr>
        <w:jc w:val="both"/>
        <w:rPr>
          <w:rFonts w:ascii="Times New Roman" w:hAnsi="Times New Roman" w:eastAsia="Arial Unicode MS" w:cs="Times New Roman"/>
          <w:bCs/>
          <w:sz w:val="23"/>
          <w:szCs w:val="23"/>
          <w:lang w:eastAsia="ar-SA"/>
        </w:rPr>
      </w:pPr>
      <w:r w:rsidRPr="009A50CC">
        <w:rPr>
          <w:rFonts w:ascii="Times New Roman" w:hAnsi="Times New Roman" w:eastAsia="Arial Unicode MS" w:cs="Times New Roman"/>
          <w:bCs/>
          <w:sz w:val="23"/>
          <w:szCs w:val="23"/>
          <w:lang w:eastAsia="ar-SA"/>
        </w:rPr>
        <w:drawing>
          <wp:inline distT="0" distB="0" distL="0" distR="0" wp14:anchorId="4BE37F3D" wp14:editId="73993227">
            <wp:extent cx="5756910" cy="845820"/>
            <wp:effectExtent l="0" t="0" r="0" b="0"/>
            <wp:docPr id="203213387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6910" cy="845820"/>
                    </a:xfrm>
                    <a:prstGeom prst="rect">
                      <a:avLst/>
                    </a:prstGeom>
                    <a:noFill/>
                    <a:ln>
                      <a:noFill/>
                    </a:ln>
                  </pic:spPr>
                </pic:pic>
              </a:graphicData>
            </a:graphic>
          </wp:inline>
        </w:drawing>
      </w:r>
    </w:p>
    <w:p w:rsidRPr="009A50CC" w:rsidR="009A50CC" w:rsidP="009A50CC" w:rsidRDefault="009A50CC" w14:paraId="0ED06F86" w14:textId="77777777">
      <w:pPr>
        <w:jc w:val="both"/>
        <w:rPr>
          <w:rFonts w:ascii="Times New Roman" w:hAnsi="Times New Roman" w:eastAsia="Arial Unicode MS" w:cs="Times New Roman"/>
          <w:bCs/>
          <w:sz w:val="23"/>
          <w:szCs w:val="23"/>
          <w:lang w:eastAsia="ar-SA"/>
        </w:rPr>
      </w:pPr>
    </w:p>
    <w:p w:rsidRPr="009A50CC" w:rsidR="009A50CC" w:rsidP="009A50CC" w:rsidRDefault="009A50CC" w14:paraId="6D5322F2" w14:textId="77777777">
      <w:pPr>
        <w:jc w:val="both"/>
        <w:rPr>
          <w:rFonts w:ascii="Times New Roman" w:hAnsi="Times New Roman" w:eastAsia="Arial Unicode MS" w:cs="Times New Roman"/>
          <w:bCs/>
          <w:sz w:val="23"/>
          <w:szCs w:val="23"/>
          <w:lang w:eastAsia="ar-SA"/>
        </w:rPr>
      </w:pPr>
    </w:p>
    <w:p w:rsidRPr="009A50CC" w:rsidR="009A50CC" w:rsidP="009A50CC" w:rsidRDefault="009A50CC" w14:paraId="5E946C0F" w14:textId="6DA77BE3">
      <w:pPr>
        <w:jc w:val="both"/>
        <w:rPr>
          <w:rFonts w:ascii="Times New Roman" w:hAnsi="Times New Roman" w:eastAsia="Arial Unicode MS" w:cs="Times New Roman"/>
          <w:bCs/>
          <w:sz w:val="23"/>
          <w:szCs w:val="23"/>
          <w:lang w:eastAsia="ar-SA"/>
        </w:rPr>
      </w:pPr>
      <w:r w:rsidRPr="009A50CC">
        <w:rPr>
          <w:rFonts w:ascii="Times New Roman" w:hAnsi="Times New Roman" w:eastAsia="Arial Unicode MS" w:cs="Times New Roman"/>
          <w:bCs/>
          <w:sz w:val="23"/>
          <w:szCs w:val="23"/>
          <w:lang w:eastAsia="ar-SA"/>
        </w:rPr>
        <w:t xml:space="preserve">Por lo expuesto, aun cuando se hubiera concluido que la causa del ACV sí fue la caída de la mecedora, las consecuencias de </w:t>
      </w:r>
      <w:proofErr w:type="gramStart"/>
      <w:r w:rsidRPr="009A50CC">
        <w:rPr>
          <w:rFonts w:ascii="Times New Roman" w:hAnsi="Times New Roman" w:eastAsia="Arial Unicode MS" w:cs="Times New Roman"/>
          <w:bCs/>
          <w:sz w:val="23"/>
          <w:szCs w:val="23"/>
          <w:lang w:eastAsia="ar-SA"/>
        </w:rPr>
        <w:t>la misma</w:t>
      </w:r>
      <w:proofErr w:type="gramEnd"/>
      <w:r w:rsidRPr="009A50CC">
        <w:rPr>
          <w:rFonts w:ascii="Times New Roman" w:hAnsi="Times New Roman" w:eastAsia="Arial Unicode MS" w:cs="Times New Roman"/>
          <w:bCs/>
          <w:sz w:val="23"/>
          <w:szCs w:val="23"/>
          <w:lang w:eastAsia="ar-SA"/>
        </w:rPr>
        <w:t xml:space="preserve"> debieran corresponder a alguno de los supuestos de cobertura previstos en el artículo 5 del Decreto Legislativo 688, lo que tampoco está acreditado.</w:t>
      </w:r>
    </w:p>
    <w:p w:rsidRPr="009A50CC" w:rsidR="009A50CC" w:rsidP="009A50CC" w:rsidRDefault="009A50CC" w14:paraId="17FEE484" w14:textId="052DD6B7">
      <w:pPr>
        <w:jc w:val="both"/>
        <w:rPr>
          <w:rFonts w:ascii="Times New Roman" w:hAnsi="Times New Roman" w:eastAsia="Arial Unicode MS" w:cs="Times New Roman"/>
          <w:bCs/>
          <w:sz w:val="23"/>
          <w:szCs w:val="23"/>
          <w:lang w:val="es-ES" w:eastAsia="ar-SA"/>
        </w:rPr>
      </w:pPr>
      <w:r w:rsidRPr="009A50CC">
        <w:rPr>
          <w:rFonts w:ascii="Times New Roman" w:hAnsi="Times New Roman" w:eastAsia="Arial Unicode MS" w:cs="Times New Roman"/>
          <w:b/>
          <w:bCs/>
          <w:sz w:val="23"/>
          <w:szCs w:val="23"/>
          <w:u w:val="single"/>
          <w:lang w:eastAsia="ar-SA"/>
        </w:rPr>
        <w:t>Tercero:</w:t>
      </w:r>
      <w:r w:rsidRPr="009A50CC">
        <w:rPr>
          <w:rFonts w:ascii="Times New Roman" w:hAnsi="Times New Roman" w:eastAsia="Arial Unicode MS" w:cs="Times New Roman"/>
          <w:bCs/>
          <w:sz w:val="23"/>
          <w:szCs w:val="23"/>
          <w:lang w:eastAsia="ar-SA"/>
        </w:rPr>
        <w:t xml:space="preserve">  </w:t>
      </w:r>
      <w:bookmarkStart w:name="_Hlk114153333" w:id="1"/>
      <w:r w:rsidRPr="009A50CC">
        <w:rPr>
          <w:rFonts w:ascii="Times New Roman" w:hAnsi="Times New Roman" w:eastAsia="Arial Unicode MS" w:cs="Times New Roman"/>
          <w:bCs/>
          <w:sz w:val="23"/>
          <w:szCs w:val="23"/>
          <w:lang w:eastAsia="ar-SA"/>
        </w:rPr>
        <w:t xml:space="preserve">Finalmente, </w:t>
      </w:r>
      <w:r w:rsidRPr="009A50CC">
        <w:rPr>
          <w:rFonts w:ascii="Times New Roman" w:hAnsi="Times New Roman" w:eastAsia="Arial Unicode MS" w:cs="Times New Roman"/>
          <w:bCs/>
          <w:sz w:val="23"/>
          <w:szCs w:val="23"/>
          <w:lang w:val="es-ES" w:eastAsia="ar-SA"/>
        </w:rPr>
        <w:t xml:space="preserve">este colegiado tiene a bien precisar que </w:t>
      </w:r>
      <w:r w:rsidRPr="009A50CC">
        <w:rPr>
          <w:rFonts w:ascii="Times New Roman" w:hAnsi="Times New Roman" w:eastAsia="Arial Unicode MS" w:cs="Times New Roman"/>
          <w:bCs/>
          <w:sz w:val="23"/>
          <w:szCs w:val="23"/>
          <w:lang w:val="es-419" w:eastAsia="ar-SA"/>
        </w:rPr>
        <w:t xml:space="preserve">la Defensoría del Asegurado es una entidad privada y por ende no constituye una instancia administrativa regida por la ley del procedimiento administrativo general, siendo que se rige por su propio reglamento, conforme al cual </w:t>
      </w:r>
      <w:r w:rsidRPr="009A50CC">
        <w:rPr>
          <w:rFonts w:ascii="Times New Roman" w:hAnsi="Times New Roman" w:eastAsia="Arial Unicode MS" w:cs="Times New Roman"/>
          <w:bCs/>
          <w:sz w:val="23"/>
          <w:szCs w:val="23"/>
          <w:lang w:val="es-ES" w:eastAsia="ar-SA"/>
        </w:rPr>
        <w:t xml:space="preserve">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necesario que se revoque previamente la resolución emitida. Ello debido a que las resoluciones que expide esta Defensoría no son vinculantes para el asegurado o reclamante cuando éstas les son desfavorables, sin perjuicio de lo cual, cuando el fallo es favorable para el asegurado sí son vinculantes para las aseguradoras.  </w:t>
      </w:r>
      <w:bookmarkEnd w:id="1"/>
    </w:p>
    <w:p w:rsidRPr="009A50CC" w:rsidR="009A50CC" w:rsidP="009A50CC" w:rsidRDefault="009A50CC" w14:paraId="7093EF64" w14:textId="24EEAB3B">
      <w:pPr>
        <w:jc w:val="both"/>
        <w:rPr>
          <w:rFonts w:ascii="Times New Roman" w:hAnsi="Times New Roman" w:eastAsia="Arial Unicode MS" w:cs="Times New Roman"/>
          <w:bCs/>
          <w:sz w:val="23"/>
          <w:szCs w:val="23"/>
          <w:lang w:val="es-ES" w:eastAsia="ar-SA"/>
        </w:rPr>
      </w:pPr>
      <w:r w:rsidRPr="009A50CC">
        <w:rPr>
          <w:rFonts w:ascii="Times New Roman" w:hAnsi="Times New Roman" w:eastAsia="Arial Unicode MS" w:cs="Times New Roman"/>
          <w:bCs/>
          <w:sz w:val="23"/>
          <w:szCs w:val="23"/>
          <w:lang w:val="es-ES" w:eastAsia="ar-SA"/>
        </w:rPr>
        <w:t>En atención a las consideraciones precedentes, ratificando la conclusión contenida en la resolución recurrida, este colegiado aprecia que no existe mérito, argumento ni prueba que justifique revocar la resolución recurrida; por lo tanto, conforme a su reglamente este colegiado</w:t>
      </w:r>
    </w:p>
    <w:p w:rsidRPr="009A50CC" w:rsidR="009A50CC" w:rsidP="009A50CC" w:rsidRDefault="009A50CC" w14:paraId="06959A05" w14:textId="6631A97C">
      <w:pPr>
        <w:jc w:val="both"/>
        <w:rPr>
          <w:rFonts w:ascii="Times New Roman" w:hAnsi="Times New Roman" w:eastAsia="Arial Unicode MS" w:cs="Times New Roman"/>
          <w:b/>
          <w:bCs/>
          <w:sz w:val="23"/>
          <w:szCs w:val="23"/>
          <w:lang w:eastAsia="ar-SA"/>
        </w:rPr>
      </w:pPr>
      <w:r w:rsidRPr="009A50CC">
        <w:rPr>
          <w:rFonts w:ascii="Times New Roman" w:hAnsi="Times New Roman" w:eastAsia="Arial Unicode MS" w:cs="Times New Roman"/>
          <w:b/>
          <w:bCs/>
          <w:sz w:val="23"/>
          <w:szCs w:val="23"/>
          <w:lang w:val="es-ES" w:eastAsia="ar-SA"/>
        </w:rPr>
        <w:t xml:space="preserve">RESUELVE: </w:t>
      </w:r>
    </w:p>
    <w:p w:rsidRPr="009A50CC" w:rsidR="009A50CC" w:rsidP="74F11660" w:rsidRDefault="009A50CC" w14:paraId="34425D33" w14:textId="352054FB">
      <w:pPr>
        <w:jc w:val="both"/>
        <w:rPr>
          <w:rFonts w:ascii="Times New Roman" w:hAnsi="Times New Roman" w:eastAsia="Arial Unicode MS" w:cs="Times New Roman"/>
          <w:sz w:val="23"/>
          <w:szCs w:val="23"/>
          <w:lang w:val="es-ES" w:eastAsia="ar-SA"/>
        </w:rPr>
      </w:pPr>
      <w:r w:rsidRPr="74F11660" w:rsidR="009A50CC">
        <w:rPr>
          <w:rFonts w:ascii="Times New Roman" w:hAnsi="Times New Roman" w:eastAsia="Arial Unicode MS" w:cs="Times New Roman"/>
          <w:sz w:val="23"/>
          <w:szCs w:val="23"/>
          <w:lang w:eastAsia="ar-SA"/>
        </w:rPr>
        <w:t xml:space="preserve">Declarar </w:t>
      </w:r>
      <w:r w:rsidRPr="74F11660" w:rsidR="009A50CC">
        <w:rPr>
          <w:rFonts w:ascii="Times New Roman" w:hAnsi="Times New Roman" w:eastAsia="Arial Unicode MS" w:cs="Times New Roman"/>
          <w:b w:val="1"/>
          <w:bCs w:val="1"/>
          <w:sz w:val="23"/>
          <w:szCs w:val="23"/>
          <w:lang w:eastAsia="ar-SA"/>
        </w:rPr>
        <w:t xml:space="preserve">INFUNDADO </w:t>
      </w:r>
      <w:r w:rsidRPr="74F11660" w:rsidR="009A50CC">
        <w:rPr>
          <w:rFonts w:ascii="Times New Roman" w:hAnsi="Times New Roman" w:eastAsia="Arial Unicode MS" w:cs="Times New Roman"/>
          <w:sz w:val="23"/>
          <w:szCs w:val="23"/>
          <w:lang w:eastAsia="ar-SA"/>
        </w:rPr>
        <w:t>el recurso impugnativo</w:t>
      </w:r>
      <w:r w:rsidRPr="74F11660" w:rsidR="009A50CC">
        <w:rPr>
          <w:rFonts w:ascii="Times New Roman" w:hAnsi="Times New Roman" w:eastAsia="Arial Unicode MS" w:cs="Times New Roman"/>
          <w:b w:val="1"/>
          <w:bCs w:val="1"/>
          <w:sz w:val="23"/>
          <w:szCs w:val="23"/>
          <w:lang w:eastAsia="ar-SA"/>
        </w:rPr>
        <w:t xml:space="preserve"> </w:t>
      </w:r>
      <w:r w:rsidRPr="74F11660" w:rsidR="009A50CC">
        <w:rPr>
          <w:rFonts w:ascii="Times New Roman" w:hAnsi="Times New Roman" w:eastAsia="Arial Unicode MS" w:cs="Times New Roman"/>
          <w:sz w:val="23"/>
          <w:szCs w:val="23"/>
          <w:lang w:eastAsia="ar-SA"/>
        </w:rPr>
        <w:t>interpuesto y,</w:t>
      </w:r>
      <w:r w:rsidRPr="74F11660" w:rsidR="009A50CC">
        <w:rPr>
          <w:rFonts w:ascii="Times New Roman" w:hAnsi="Times New Roman" w:eastAsia="Arial Unicode MS" w:cs="Times New Roman"/>
          <w:sz w:val="23"/>
          <w:szCs w:val="23"/>
          <w:lang w:val="es-ES" w:eastAsia="ar-SA"/>
        </w:rPr>
        <w:t xml:space="preserve"> por consiguiente, ratificar la Resolución </w:t>
      </w:r>
      <w:r w:rsidRPr="74F11660" w:rsidR="009A50CC">
        <w:rPr>
          <w:rFonts w:ascii="Times New Roman" w:hAnsi="Times New Roman" w:eastAsia="Arial Unicode MS" w:cs="Times New Roman"/>
          <w:sz w:val="23"/>
          <w:szCs w:val="23"/>
          <w:lang w:val="es-ES" w:eastAsia="ar-SA"/>
        </w:rPr>
        <w:t>Nº</w:t>
      </w:r>
      <w:r w:rsidRPr="74F11660" w:rsidR="009A50CC">
        <w:rPr>
          <w:rFonts w:ascii="Times New Roman" w:hAnsi="Times New Roman" w:eastAsia="Arial Unicode MS" w:cs="Times New Roman"/>
          <w:sz w:val="23"/>
          <w:szCs w:val="23"/>
          <w:lang w:val="es-ES" w:eastAsia="ar-SA"/>
        </w:rPr>
        <w:t xml:space="preserve"> 221/24 de fecha 11 de noviembre de 2024 que declaró INFUNDADA la reclamación interpuesta por don </w:t>
      </w:r>
      <w:r w:rsidRPr="74F11660" w:rsidR="7BFD5707">
        <w:rPr>
          <w:rFonts w:ascii="Times New Roman" w:hAnsi="Times New Roman" w:eastAsia="Arial Unicode MS" w:cs="Times New Roman"/>
          <w:sz w:val="23"/>
          <w:szCs w:val="23"/>
          <w:lang w:val="es-ES" w:eastAsia="ar-SA"/>
        </w:rPr>
        <w:t>................................................</w:t>
      </w:r>
      <w:r w:rsidRPr="74F11660" w:rsidR="009A50CC">
        <w:rPr>
          <w:rFonts w:ascii="Times New Roman" w:hAnsi="Times New Roman" w:eastAsia="Arial Unicode MS" w:cs="Times New Roman"/>
          <w:sz w:val="23"/>
          <w:szCs w:val="23"/>
          <w:lang w:val="es-ES" w:eastAsia="ar-SA"/>
        </w:rPr>
        <w:t xml:space="preserve"> contra </w:t>
      </w:r>
      <w:r w:rsidRPr="74F11660" w:rsidR="172B02F5">
        <w:rPr>
          <w:rFonts w:ascii="Times New Roman" w:hAnsi="Times New Roman" w:eastAsia="Arial Unicode MS" w:cs="Times New Roman"/>
          <w:sz w:val="23"/>
          <w:szCs w:val="23"/>
          <w:lang w:val="es-ES" w:eastAsia="ar-SA"/>
        </w:rPr>
        <w:t>....................................</w:t>
      </w:r>
      <w:r w:rsidRPr="74F11660" w:rsidR="009A50CC">
        <w:rPr>
          <w:rFonts w:ascii="Times New Roman" w:hAnsi="Times New Roman" w:eastAsia="Arial Unicode MS" w:cs="Times New Roman"/>
          <w:sz w:val="23"/>
          <w:szCs w:val="23"/>
          <w:lang w:val="es-ES" w:eastAsia="ar-SA"/>
        </w:rPr>
        <w:t>, dejando a salvo el derecho del reclamante de acudir ante las instancias que estime pertinente.</w:t>
      </w:r>
    </w:p>
    <w:p w:rsidRPr="00BA2C0F" w:rsidR="008B6A09" w:rsidP="00CF28D9" w:rsidRDefault="0091528B" w14:paraId="000A434B" w14:textId="3D971979">
      <w:pPr>
        <w:jc w:val="right"/>
        <w:rPr>
          <w:rFonts w:ascii="Times New Roman" w:hAnsi="Times New Roman" w:cs="Times New Roman"/>
          <w:bCs/>
          <w:sz w:val="23"/>
          <w:szCs w:val="23"/>
        </w:rPr>
      </w:pPr>
      <w:r w:rsidRPr="00BA2C0F">
        <w:rPr>
          <w:rFonts w:ascii="Times New Roman" w:hAnsi="Times New Roman" w:eastAsia="Arial Unicode MS" w:cs="Times New Roman"/>
          <w:bCs/>
          <w:sz w:val="23"/>
          <w:szCs w:val="23"/>
          <w:lang w:eastAsia="ar-SA"/>
        </w:rPr>
        <w:t xml:space="preserve">Lima, </w:t>
      </w:r>
      <w:r w:rsidR="00A63676">
        <w:rPr>
          <w:rFonts w:ascii="Times New Roman" w:hAnsi="Times New Roman" w:eastAsia="Arial Unicode MS" w:cs="Times New Roman"/>
          <w:bCs/>
          <w:sz w:val="23"/>
          <w:szCs w:val="23"/>
          <w:lang w:eastAsia="ar-SA"/>
        </w:rPr>
        <w:t>20</w:t>
      </w:r>
      <w:r w:rsidRPr="00BA2C0F" w:rsidR="00F42C0D">
        <w:rPr>
          <w:rFonts w:ascii="Times New Roman" w:hAnsi="Times New Roman" w:eastAsia="Arial Unicode MS" w:cs="Times New Roman"/>
          <w:bCs/>
          <w:sz w:val="23"/>
          <w:szCs w:val="23"/>
          <w:lang w:eastAsia="ar-SA"/>
        </w:rPr>
        <w:t xml:space="preserve"> </w:t>
      </w:r>
      <w:r w:rsidRPr="00BA2C0F" w:rsidR="00707C99">
        <w:rPr>
          <w:rFonts w:ascii="Times New Roman" w:hAnsi="Times New Roman" w:eastAsia="Arial Unicode MS" w:cs="Times New Roman"/>
          <w:bCs/>
          <w:sz w:val="23"/>
          <w:szCs w:val="23"/>
          <w:lang w:eastAsia="ar-SA"/>
        </w:rPr>
        <w:t>de</w:t>
      </w:r>
      <w:r w:rsidRPr="00BA2C0F" w:rsidR="00A02CF2">
        <w:rPr>
          <w:rFonts w:ascii="Times New Roman" w:hAnsi="Times New Roman" w:eastAsia="Arial Unicode MS" w:cs="Times New Roman"/>
          <w:bCs/>
          <w:sz w:val="23"/>
          <w:szCs w:val="23"/>
          <w:lang w:eastAsia="ar-SA"/>
        </w:rPr>
        <w:t xml:space="preserve"> </w:t>
      </w:r>
      <w:r w:rsidRPr="00BA2C0F" w:rsidR="00AE05B6">
        <w:rPr>
          <w:rFonts w:ascii="Times New Roman" w:hAnsi="Times New Roman" w:eastAsia="Arial Unicode MS" w:cs="Times New Roman"/>
          <w:bCs/>
          <w:sz w:val="23"/>
          <w:szCs w:val="23"/>
          <w:lang w:eastAsia="ar-SA"/>
        </w:rPr>
        <w:t>diciembre</w:t>
      </w:r>
      <w:r w:rsidRPr="00BA2C0F" w:rsidR="002F478E">
        <w:rPr>
          <w:rFonts w:ascii="Times New Roman" w:hAnsi="Times New Roman" w:eastAsia="Arial Unicode MS" w:cs="Times New Roman"/>
          <w:bCs/>
          <w:sz w:val="23"/>
          <w:szCs w:val="23"/>
          <w:lang w:eastAsia="ar-SA"/>
        </w:rPr>
        <w:t xml:space="preserve"> </w:t>
      </w:r>
      <w:r w:rsidRPr="00BA2C0F" w:rsidR="00F06498">
        <w:rPr>
          <w:rFonts w:ascii="Times New Roman" w:hAnsi="Times New Roman" w:eastAsia="Arial Unicode MS" w:cs="Times New Roman"/>
          <w:bCs/>
          <w:sz w:val="23"/>
          <w:szCs w:val="23"/>
          <w:lang w:eastAsia="ar-SA"/>
        </w:rPr>
        <w:t>de 202</w:t>
      </w:r>
      <w:r w:rsidRPr="00BA2C0F" w:rsidR="00543015">
        <w:rPr>
          <w:rFonts w:ascii="Times New Roman" w:hAnsi="Times New Roman" w:eastAsia="Arial Unicode MS" w:cs="Times New Roman"/>
          <w:bCs/>
          <w:sz w:val="23"/>
          <w:szCs w:val="23"/>
          <w:lang w:eastAsia="ar-SA"/>
        </w:rPr>
        <w:t>4</w:t>
      </w:r>
      <w:r w:rsidRPr="00BA2C0F" w:rsidR="00707C99">
        <w:rPr>
          <w:rFonts w:ascii="Times New Roman" w:hAnsi="Times New Roman" w:eastAsia="Times New Roman" w:cs="Times New Roman"/>
          <w:bCs/>
          <w:sz w:val="23"/>
          <w:szCs w:val="23"/>
          <w:lang w:eastAsia="ar-SA"/>
        </w:rPr>
        <w:t xml:space="preserve"> </w:t>
      </w:r>
    </w:p>
    <w:p w:rsidRPr="00BA2C0F" w:rsidR="00A323F4" w:rsidP="00A84003" w:rsidRDefault="00A323F4" w14:paraId="1B6988F6" w14:textId="77777777">
      <w:pPr>
        <w:spacing w:after="0" w:line="240" w:lineRule="auto"/>
        <w:jc w:val="both"/>
        <w:rPr>
          <w:rFonts w:ascii="Times New Roman" w:hAnsi="Times New Roman" w:cs="Times New Roman"/>
          <w:b/>
          <w:i/>
          <w:iCs/>
          <w:sz w:val="23"/>
          <w:szCs w:val="23"/>
        </w:rPr>
      </w:pPr>
      <w:r w:rsidRPr="00BA2C0F">
        <w:rPr>
          <w:rFonts w:ascii="Times New Roman" w:hAnsi="Times New Roman" w:cs="Times New Roman"/>
          <w:b/>
          <w:i/>
          <w:iCs/>
          <w:sz w:val="23"/>
          <w:szCs w:val="23"/>
        </w:rPr>
        <w:t>La Secretaría Técnica certifica que la presente resolución cuenta con el voto de los vocales cuyos nombres figuran en el presente documento.</w:t>
      </w:r>
    </w:p>
    <w:p w:rsidR="009A5E2A" w:rsidP="007543CD" w:rsidRDefault="009A5E2A" w14:paraId="0CF09B05" w14:textId="77777777">
      <w:pPr>
        <w:spacing w:after="0" w:line="360" w:lineRule="auto"/>
        <w:jc w:val="center"/>
        <w:rPr>
          <w:rFonts w:ascii="Times New Roman" w:hAnsi="Times New Roman" w:cs="Times New Roman"/>
          <w:b/>
          <w:sz w:val="23"/>
          <w:szCs w:val="23"/>
        </w:rPr>
      </w:pPr>
    </w:p>
    <w:p w:rsidRPr="00BA2C0F" w:rsidR="0098467A" w:rsidP="0098467A" w:rsidRDefault="0098467A" w14:paraId="385F4DC7" w14:textId="77777777">
      <w:pPr>
        <w:spacing w:after="0" w:line="360" w:lineRule="auto"/>
        <w:jc w:val="center"/>
        <w:rPr>
          <w:rFonts w:ascii="Times New Roman" w:hAnsi="Times New Roman" w:cs="Times New Roman"/>
          <w:b/>
          <w:sz w:val="23"/>
          <w:szCs w:val="23"/>
        </w:rPr>
      </w:pPr>
      <w:r w:rsidRPr="00BA2C0F">
        <w:rPr>
          <w:rFonts w:ascii="Times New Roman" w:hAnsi="Times New Roman" w:cs="Times New Roman"/>
          <w:b/>
          <w:sz w:val="23"/>
          <w:szCs w:val="23"/>
        </w:rPr>
        <w:t xml:space="preserve">Rolando Eyzaguirre </w:t>
      </w:r>
      <w:proofErr w:type="spellStart"/>
      <w:r w:rsidRPr="00BA2C0F">
        <w:rPr>
          <w:rFonts w:ascii="Times New Roman" w:hAnsi="Times New Roman" w:cs="Times New Roman"/>
          <w:b/>
          <w:sz w:val="23"/>
          <w:szCs w:val="23"/>
        </w:rPr>
        <w:t>Maccan</w:t>
      </w:r>
      <w:proofErr w:type="spellEnd"/>
      <w:r w:rsidRPr="00BA2C0F">
        <w:rPr>
          <w:rFonts w:ascii="Times New Roman" w:hAnsi="Times New Roman" w:cs="Times New Roman"/>
          <w:b/>
          <w:sz w:val="23"/>
          <w:szCs w:val="23"/>
        </w:rPr>
        <w:t xml:space="preserve"> – </w:t>
      </w:r>
      <w:proofErr w:type="gramStart"/>
      <w:r w:rsidRPr="00BA2C0F">
        <w:rPr>
          <w:rFonts w:ascii="Times New Roman" w:hAnsi="Times New Roman" w:cs="Times New Roman"/>
          <w:b/>
          <w:sz w:val="23"/>
          <w:szCs w:val="23"/>
        </w:rPr>
        <w:t>Presidente</w:t>
      </w:r>
      <w:proofErr w:type="gramEnd"/>
    </w:p>
    <w:p w:rsidRPr="00BA2C0F" w:rsidR="0098467A" w:rsidP="0098467A" w:rsidRDefault="0098467A" w14:paraId="3B379998" w14:textId="77777777">
      <w:pPr>
        <w:spacing w:after="0" w:line="360" w:lineRule="auto"/>
        <w:jc w:val="center"/>
        <w:rPr>
          <w:rFonts w:ascii="Times New Roman" w:hAnsi="Times New Roman" w:cs="Times New Roman"/>
          <w:b/>
          <w:sz w:val="23"/>
          <w:szCs w:val="23"/>
        </w:rPr>
      </w:pPr>
      <w:r w:rsidRPr="00BA2C0F">
        <w:rPr>
          <w:rFonts w:ascii="Times New Roman" w:hAnsi="Times New Roman" w:cs="Times New Roman"/>
          <w:b/>
          <w:sz w:val="23"/>
          <w:szCs w:val="23"/>
        </w:rPr>
        <w:t>María Eugenia Valdez Fernández Baca – Vocal</w:t>
      </w:r>
    </w:p>
    <w:p w:rsidRPr="00BA2C0F" w:rsidR="0098467A" w:rsidP="0098467A" w:rsidRDefault="0098467A" w14:paraId="5F0C2EF0" w14:textId="77777777">
      <w:pPr>
        <w:spacing w:after="0" w:line="360" w:lineRule="auto"/>
        <w:jc w:val="center"/>
        <w:rPr>
          <w:rFonts w:ascii="Times New Roman" w:hAnsi="Times New Roman" w:cs="Times New Roman"/>
          <w:b/>
          <w:sz w:val="23"/>
          <w:szCs w:val="23"/>
        </w:rPr>
      </w:pPr>
      <w:r w:rsidRPr="00BA2C0F">
        <w:rPr>
          <w:rFonts w:ascii="Times New Roman" w:hAnsi="Times New Roman" w:cs="Times New Roman"/>
          <w:b/>
          <w:sz w:val="23"/>
          <w:szCs w:val="23"/>
        </w:rPr>
        <w:t>Omar Alfaro Villanueva – Vocal</w:t>
      </w:r>
    </w:p>
    <w:p w:rsidRPr="00BA2C0F" w:rsidR="0098467A" w:rsidP="0098467A" w:rsidRDefault="0098467A" w14:paraId="71719B68" w14:textId="77777777">
      <w:pPr>
        <w:spacing w:after="0" w:line="360" w:lineRule="auto"/>
        <w:jc w:val="center"/>
        <w:rPr>
          <w:rFonts w:ascii="Times New Roman" w:hAnsi="Times New Roman" w:cs="Times New Roman"/>
          <w:b/>
          <w:sz w:val="23"/>
          <w:szCs w:val="23"/>
        </w:rPr>
      </w:pPr>
      <w:r w:rsidRPr="00BA2C0F">
        <w:rPr>
          <w:rFonts w:ascii="Times New Roman" w:hAnsi="Times New Roman" w:cs="Times New Roman"/>
          <w:b/>
          <w:sz w:val="23"/>
          <w:szCs w:val="23"/>
        </w:rPr>
        <w:t>Gonzalo Abad del Busto – Vocal</w:t>
      </w:r>
    </w:p>
    <w:p w:rsidRPr="00D77AB4" w:rsidR="00986F0C" w:rsidP="00556526" w:rsidRDefault="00986F0C" w14:paraId="412CCBAA" w14:textId="77777777">
      <w:pPr>
        <w:spacing w:after="0" w:line="360" w:lineRule="auto"/>
        <w:jc w:val="center"/>
        <w:rPr>
          <w:rFonts w:ascii="Times New Roman" w:hAnsi="Times New Roman" w:cs="Times New Roman"/>
          <w:bCs/>
          <w:sz w:val="24"/>
          <w:szCs w:val="24"/>
        </w:rPr>
      </w:pPr>
    </w:p>
    <w:p w:rsidRPr="00D77AB4" w:rsidR="00C6662D" w:rsidP="00C6662D" w:rsidRDefault="00C6662D" w14:paraId="14DFBF1F" w14:textId="77777777">
      <w:pPr>
        <w:spacing w:after="0" w:line="360" w:lineRule="auto"/>
        <w:rPr>
          <w:rFonts w:ascii="Times New Roman" w:hAnsi="Times New Roman" w:cs="Times New Roman"/>
          <w:bCs/>
          <w:sz w:val="24"/>
          <w:szCs w:val="24"/>
        </w:rPr>
      </w:pPr>
    </w:p>
    <w:p w:rsidRPr="00D77AB4" w:rsidR="00556526" w:rsidP="00B17E56" w:rsidRDefault="00556526" w14:paraId="5D853B0D" w14:textId="088DF411">
      <w:pPr>
        <w:jc w:val="both"/>
        <w:rPr>
          <w:rFonts w:ascii="Times New Roman" w:hAnsi="Times New Roman" w:cs="Times New Roman"/>
          <w:bCs/>
          <w:i/>
          <w:iCs/>
          <w:sz w:val="24"/>
          <w:szCs w:val="24"/>
        </w:rPr>
      </w:pPr>
    </w:p>
    <w:p w:rsidRPr="005E49B8"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11"/>
      <w:footerReference w:type="default" r:id="rId12"/>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5E49B8" w:rsidR="000F7B38" w:rsidP="00784355" w:rsidRDefault="000F7B38" w14:paraId="03B21EC2" w14:textId="77777777">
      <w:pPr>
        <w:spacing w:after="0" w:line="240" w:lineRule="auto"/>
      </w:pPr>
      <w:r w:rsidRPr="005E49B8">
        <w:separator/>
      </w:r>
    </w:p>
  </w:endnote>
  <w:endnote w:type="continuationSeparator" w:id="0">
    <w:p w:rsidRPr="005E49B8" w:rsidR="000F7B38" w:rsidP="00784355" w:rsidRDefault="000F7B38" w14:paraId="72E100BC" w14:textId="77777777">
      <w:pPr>
        <w:spacing w:after="0" w:line="240" w:lineRule="auto"/>
      </w:pPr>
      <w:r w:rsidRPr="005E49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5E49B8" w:rsidR="00C671F5" w:rsidRDefault="00C671F5" w14:paraId="1A7D4DE2" w14:textId="27FEA839">
            <w:pPr>
              <w:pStyle w:val="Piedepgina"/>
              <w:jc w:val="right"/>
              <w:rPr>
                <w:rFonts w:ascii="Times New Roman" w:hAnsi="Times New Roman" w:cs="Times New Roman"/>
                <w:sz w:val="18"/>
                <w:szCs w:val="18"/>
              </w:rPr>
            </w:pPr>
            <w:r w:rsidRPr="005E49B8">
              <w:rPr>
                <w:rFonts w:ascii="Times New Roman" w:hAnsi="Times New Roman" w:cs="Times New Roman"/>
                <w:sz w:val="18"/>
                <w:szCs w:val="18"/>
              </w:rPr>
              <w:t xml:space="preserve">Página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PAGE</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r w:rsidRPr="005E49B8">
              <w:rPr>
                <w:rFonts w:ascii="Times New Roman" w:hAnsi="Times New Roman" w:cs="Times New Roman"/>
                <w:sz w:val="18"/>
                <w:szCs w:val="18"/>
              </w:rPr>
              <w:t xml:space="preserve"> de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NUMPAGES</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5E49B8"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5E49B8" w:rsidR="000F7B38" w:rsidP="00784355" w:rsidRDefault="000F7B38" w14:paraId="79ABEF8B" w14:textId="77777777">
      <w:pPr>
        <w:spacing w:after="0" w:line="240" w:lineRule="auto"/>
      </w:pPr>
      <w:r w:rsidRPr="005E49B8">
        <w:separator/>
      </w:r>
    </w:p>
  </w:footnote>
  <w:footnote w:type="continuationSeparator" w:id="0">
    <w:p w:rsidRPr="005E49B8" w:rsidR="000F7B38" w:rsidP="00784355" w:rsidRDefault="000F7B38" w14:paraId="45D6BEB4" w14:textId="77777777">
      <w:pPr>
        <w:spacing w:after="0" w:line="240" w:lineRule="auto"/>
      </w:pPr>
      <w:r w:rsidRPr="005E49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5E49B8" w:rsidR="00C671F5" w:rsidRDefault="00C671F5" w14:paraId="0810BC29" w14:textId="579E5393">
    <w:pPr>
      <w:pStyle w:val="Encabezado"/>
    </w:pPr>
    <w:r w:rsidRPr="005E49B8">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Pr="005E49B8"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91E"/>
    <w:multiLevelType w:val="hybridMultilevel"/>
    <w:tmpl w:val="F47E44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1973C0"/>
    <w:multiLevelType w:val="hybridMultilevel"/>
    <w:tmpl w:val="35905C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D6F041A"/>
    <w:multiLevelType w:val="hybridMultilevel"/>
    <w:tmpl w:val="CF6E43C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 w15:restartNumberingAfterBreak="0">
    <w:nsid w:val="19260E7E"/>
    <w:multiLevelType w:val="hybridMultilevel"/>
    <w:tmpl w:val="1658A382"/>
    <w:lvl w:ilvl="0" w:tplc="5B30A26C">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9A09E1"/>
    <w:multiLevelType w:val="hybridMultilevel"/>
    <w:tmpl w:val="4DAC230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C944D3C"/>
    <w:multiLevelType w:val="hybridMultilevel"/>
    <w:tmpl w:val="06C61E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56F047E"/>
    <w:multiLevelType w:val="hybridMultilevel"/>
    <w:tmpl w:val="B1408B12"/>
    <w:lvl w:ilvl="0" w:tplc="D8189730">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42F2E63"/>
    <w:multiLevelType w:val="hybridMultilevel"/>
    <w:tmpl w:val="F4A054E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8683557"/>
    <w:multiLevelType w:val="hybridMultilevel"/>
    <w:tmpl w:val="16B8D46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CB10433"/>
    <w:multiLevelType w:val="hybridMultilevel"/>
    <w:tmpl w:val="85D49EE2"/>
    <w:lvl w:ilvl="0" w:tplc="D9426CE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2" w15:restartNumberingAfterBreak="0">
    <w:nsid w:val="6D4E2A0E"/>
    <w:multiLevelType w:val="hybridMultilevel"/>
    <w:tmpl w:val="E8CC6D2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093153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76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86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1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768510">
    <w:abstractNumId w:val="8"/>
  </w:num>
  <w:num w:numId="6" w16cid:durableId="669941158">
    <w:abstractNumId w:val="10"/>
  </w:num>
  <w:num w:numId="7" w16cid:durableId="768355813">
    <w:abstractNumId w:val="4"/>
  </w:num>
  <w:num w:numId="8" w16cid:durableId="1265191326">
    <w:abstractNumId w:val="7"/>
  </w:num>
  <w:num w:numId="9" w16cid:durableId="912393528">
    <w:abstractNumId w:val="2"/>
  </w:num>
  <w:num w:numId="10" w16cid:durableId="724915745">
    <w:abstractNumId w:val="11"/>
  </w:num>
  <w:num w:numId="11" w16cid:durableId="802118194">
    <w:abstractNumId w:val="12"/>
  </w:num>
  <w:num w:numId="12" w16cid:durableId="1848013628">
    <w:abstractNumId w:val="5"/>
  </w:num>
  <w:num w:numId="13" w16cid:durableId="12807982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6CD"/>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B7200"/>
    <w:rsid w:val="000C00A6"/>
    <w:rsid w:val="000C0734"/>
    <w:rsid w:val="000C1AAB"/>
    <w:rsid w:val="000C4FAF"/>
    <w:rsid w:val="000D3CCB"/>
    <w:rsid w:val="000D5F00"/>
    <w:rsid w:val="000E4569"/>
    <w:rsid w:val="000E483A"/>
    <w:rsid w:val="000E6CBA"/>
    <w:rsid w:val="000F17DA"/>
    <w:rsid w:val="000F1B4B"/>
    <w:rsid w:val="000F38C7"/>
    <w:rsid w:val="000F4CDC"/>
    <w:rsid w:val="000F56CC"/>
    <w:rsid w:val="000F6340"/>
    <w:rsid w:val="000F7B38"/>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04E5"/>
    <w:rsid w:val="0014650D"/>
    <w:rsid w:val="001468B0"/>
    <w:rsid w:val="00150874"/>
    <w:rsid w:val="001508BC"/>
    <w:rsid w:val="00151F82"/>
    <w:rsid w:val="0015215E"/>
    <w:rsid w:val="001529FE"/>
    <w:rsid w:val="001562DF"/>
    <w:rsid w:val="00157979"/>
    <w:rsid w:val="00160361"/>
    <w:rsid w:val="00160C79"/>
    <w:rsid w:val="0016270F"/>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78C"/>
    <w:rsid w:val="001B3EE9"/>
    <w:rsid w:val="001B552A"/>
    <w:rsid w:val="001B58A3"/>
    <w:rsid w:val="001C052B"/>
    <w:rsid w:val="001C3A70"/>
    <w:rsid w:val="001C6D0B"/>
    <w:rsid w:val="001D0EED"/>
    <w:rsid w:val="001D59D9"/>
    <w:rsid w:val="001D6136"/>
    <w:rsid w:val="001E119C"/>
    <w:rsid w:val="001E6657"/>
    <w:rsid w:val="001E69BA"/>
    <w:rsid w:val="001F0059"/>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E15"/>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3FC1"/>
    <w:rsid w:val="00294D98"/>
    <w:rsid w:val="00295828"/>
    <w:rsid w:val="0029673E"/>
    <w:rsid w:val="002A0247"/>
    <w:rsid w:val="002A31D3"/>
    <w:rsid w:val="002A3D36"/>
    <w:rsid w:val="002A5A2B"/>
    <w:rsid w:val="002A7E2E"/>
    <w:rsid w:val="002B2FD0"/>
    <w:rsid w:val="002B726E"/>
    <w:rsid w:val="002C130C"/>
    <w:rsid w:val="002C2A0F"/>
    <w:rsid w:val="002C4416"/>
    <w:rsid w:val="002C6367"/>
    <w:rsid w:val="002D08F7"/>
    <w:rsid w:val="002D0DB0"/>
    <w:rsid w:val="002D3B01"/>
    <w:rsid w:val="002D4977"/>
    <w:rsid w:val="002D69E1"/>
    <w:rsid w:val="002E0275"/>
    <w:rsid w:val="002E1221"/>
    <w:rsid w:val="002E14FD"/>
    <w:rsid w:val="002E17F9"/>
    <w:rsid w:val="002F09CA"/>
    <w:rsid w:val="002F35F0"/>
    <w:rsid w:val="002F478E"/>
    <w:rsid w:val="002F5119"/>
    <w:rsid w:val="00300D21"/>
    <w:rsid w:val="00300DDA"/>
    <w:rsid w:val="00303FA8"/>
    <w:rsid w:val="003045E3"/>
    <w:rsid w:val="00307720"/>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96623"/>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2762"/>
    <w:rsid w:val="003E2A5C"/>
    <w:rsid w:val="003E450C"/>
    <w:rsid w:val="003E7664"/>
    <w:rsid w:val="003F0C97"/>
    <w:rsid w:val="003F1149"/>
    <w:rsid w:val="003F1B5F"/>
    <w:rsid w:val="003F20C7"/>
    <w:rsid w:val="003F2DC2"/>
    <w:rsid w:val="00403814"/>
    <w:rsid w:val="00404288"/>
    <w:rsid w:val="004045DC"/>
    <w:rsid w:val="004049B9"/>
    <w:rsid w:val="00411866"/>
    <w:rsid w:val="00414A7B"/>
    <w:rsid w:val="00417E23"/>
    <w:rsid w:val="0042236E"/>
    <w:rsid w:val="004231F5"/>
    <w:rsid w:val="00425ACB"/>
    <w:rsid w:val="00425F75"/>
    <w:rsid w:val="00426C11"/>
    <w:rsid w:val="0043042E"/>
    <w:rsid w:val="00433E6D"/>
    <w:rsid w:val="00440BC2"/>
    <w:rsid w:val="00440F50"/>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26B3"/>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0ACC"/>
    <w:rsid w:val="005316B2"/>
    <w:rsid w:val="00531BEE"/>
    <w:rsid w:val="005323A2"/>
    <w:rsid w:val="0053470F"/>
    <w:rsid w:val="00535473"/>
    <w:rsid w:val="00535EE2"/>
    <w:rsid w:val="00536113"/>
    <w:rsid w:val="00537DBF"/>
    <w:rsid w:val="00540F01"/>
    <w:rsid w:val="00541534"/>
    <w:rsid w:val="00543015"/>
    <w:rsid w:val="00544BFC"/>
    <w:rsid w:val="00547D19"/>
    <w:rsid w:val="00547EE5"/>
    <w:rsid w:val="00547F11"/>
    <w:rsid w:val="00556526"/>
    <w:rsid w:val="00557E74"/>
    <w:rsid w:val="00560CBC"/>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13C"/>
    <w:rsid w:val="005A0A0B"/>
    <w:rsid w:val="005A0B70"/>
    <w:rsid w:val="005A40A4"/>
    <w:rsid w:val="005A76CB"/>
    <w:rsid w:val="005A782D"/>
    <w:rsid w:val="005B0224"/>
    <w:rsid w:val="005B2924"/>
    <w:rsid w:val="005B4DB2"/>
    <w:rsid w:val="005C3266"/>
    <w:rsid w:val="005C524E"/>
    <w:rsid w:val="005C5AB9"/>
    <w:rsid w:val="005C6AB8"/>
    <w:rsid w:val="005D3E68"/>
    <w:rsid w:val="005D5F88"/>
    <w:rsid w:val="005D64B6"/>
    <w:rsid w:val="005E0EC2"/>
    <w:rsid w:val="005E17C2"/>
    <w:rsid w:val="005E2CBE"/>
    <w:rsid w:val="005E4870"/>
    <w:rsid w:val="005E49B8"/>
    <w:rsid w:val="005E7D24"/>
    <w:rsid w:val="005F220A"/>
    <w:rsid w:val="005F4C97"/>
    <w:rsid w:val="00600E7F"/>
    <w:rsid w:val="006043E9"/>
    <w:rsid w:val="00605902"/>
    <w:rsid w:val="00606105"/>
    <w:rsid w:val="00613A39"/>
    <w:rsid w:val="006226DC"/>
    <w:rsid w:val="00622ABC"/>
    <w:rsid w:val="00623204"/>
    <w:rsid w:val="00624034"/>
    <w:rsid w:val="006266F4"/>
    <w:rsid w:val="00631028"/>
    <w:rsid w:val="00631C06"/>
    <w:rsid w:val="006403D7"/>
    <w:rsid w:val="0064374C"/>
    <w:rsid w:val="006442E0"/>
    <w:rsid w:val="006444C9"/>
    <w:rsid w:val="0064607A"/>
    <w:rsid w:val="00647AEA"/>
    <w:rsid w:val="00650612"/>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321"/>
    <w:rsid w:val="006C1704"/>
    <w:rsid w:val="006C1A65"/>
    <w:rsid w:val="006C29A7"/>
    <w:rsid w:val="006C6261"/>
    <w:rsid w:val="006D2BA9"/>
    <w:rsid w:val="006D397E"/>
    <w:rsid w:val="006E2366"/>
    <w:rsid w:val="006E4547"/>
    <w:rsid w:val="006E4689"/>
    <w:rsid w:val="006E5BE6"/>
    <w:rsid w:val="006F36EF"/>
    <w:rsid w:val="006F47A8"/>
    <w:rsid w:val="006F4986"/>
    <w:rsid w:val="006F4EC0"/>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131D"/>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1DA7"/>
    <w:rsid w:val="007B2721"/>
    <w:rsid w:val="007B2987"/>
    <w:rsid w:val="007B3958"/>
    <w:rsid w:val="007B3C05"/>
    <w:rsid w:val="007C14D0"/>
    <w:rsid w:val="007C1A22"/>
    <w:rsid w:val="007C213D"/>
    <w:rsid w:val="007C37E8"/>
    <w:rsid w:val="007C3CAC"/>
    <w:rsid w:val="007C4D67"/>
    <w:rsid w:val="007C4E10"/>
    <w:rsid w:val="007C69FE"/>
    <w:rsid w:val="007D13E3"/>
    <w:rsid w:val="007D13F3"/>
    <w:rsid w:val="007D26B5"/>
    <w:rsid w:val="007D2A4B"/>
    <w:rsid w:val="007D39D3"/>
    <w:rsid w:val="007D5BB1"/>
    <w:rsid w:val="007D7213"/>
    <w:rsid w:val="007E4325"/>
    <w:rsid w:val="007E50A5"/>
    <w:rsid w:val="007E5917"/>
    <w:rsid w:val="007F186A"/>
    <w:rsid w:val="007F38DF"/>
    <w:rsid w:val="007F74F1"/>
    <w:rsid w:val="008010D0"/>
    <w:rsid w:val="008020A1"/>
    <w:rsid w:val="00813611"/>
    <w:rsid w:val="00815B8C"/>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57EC1"/>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C04"/>
    <w:rsid w:val="00891DB3"/>
    <w:rsid w:val="00895A85"/>
    <w:rsid w:val="00896F8E"/>
    <w:rsid w:val="008A1D12"/>
    <w:rsid w:val="008A23EE"/>
    <w:rsid w:val="008A3A47"/>
    <w:rsid w:val="008B47F3"/>
    <w:rsid w:val="008B5C61"/>
    <w:rsid w:val="008B69A3"/>
    <w:rsid w:val="008B6A09"/>
    <w:rsid w:val="008B760D"/>
    <w:rsid w:val="008B7C97"/>
    <w:rsid w:val="008C2F89"/>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631"/>
    <w:rsid w:val="00974D2D"/>
    <w:rsid w:val="009754DD"/>
    <w:rsid w:val="00975745"/>
    <w:rsid w:val="0098136F"/>
    <w:rsid w:val="0098467A"/>
    <w:rsid w:val="00986F0C"/>
    <w:rsid w:val="00992626"/>
    <w:rsid w:val="00992CBB"/>
    <w:rsid w:val="0099320E"/>
    <w:rsid w:val="00993409"/>
    <w:rsid w:val="00997863"/>
    <w:rsid w:val="00997FC6"/>
    <w:rsid w:val="009A11D5"/>
    <w:rsid w:val="009A3B8F"/>
    <w:rsid w:val="009A3D48"/>
    <w:rsid w:val="009A40B3"/>
    <w:rsid w:val="009A50CC"/>
    <w:rsid w:val="009A5B27"/>
    <w:rsid w:val="009A5E2A"/>
    <w:rsid w:val="009A6404"/>
    <w:rsid w:val="009A701F"/>
    <w:rsid w:val="009A7E68"/>
    <w:rsid w:val="009B29C9"/>
    <w:rsid w:val="009B4291"/>
    <w:rsid w:val="009B4F3F"/>
    <w:rsid w:val="009B559E"/>
    <w:rsid w:val="009C0809"/>
    <w:rsid w:val="009C1066"/>
    <w:rsid w:val="009C1372"/>
    <w:rsid w:val="009C29C6"/>
    <w:rsid w:val="009C3D0C"/>
    <w:rsid w:val="009C503F"/>
    <w:rsid w:val="009C5373"/>
    <w:rsid w:val="009C6404"/>
    <w:rsid w:val="009D1062"/>
    <w:rsid w:val="009D2AD7"/>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3676"/>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367D"/>
    <w:rsid w:val="00AB7BFE"/>
    <w:rsid w:val="00AC07E0"/>
    <w:rsid w:val="00AC3F97"/>
    <w:rsid w:val="00AC4C86"/>
    <w:rsid w:val="00AC4CF3"/>
    <w:rsid w:val="00AC5A9E"/>
    <w:rsid w:val="00AD1FEC"/>
    <w:rsid w:val="00AD2DF1"/>
    <w:rsid w:val="00AD5CBE"/>
    <w:rsid w:val="00AE05B6"/>
    <w:rsid w:val="00AE3EA8"/>
    <w:rsid w:val="00AE4125"/>
    <w:rsid w:val="00AE58A1"/>
    <w:rsid w:val="00AE6BD5"/>
    <w:rsid w:val="00AF1C99"/>
    <w:rsid w:val="00AF5E87"/>
    <w:rsid w:val="00B00552"/>
    <w:rsid w:val="00B02BEE"/>
    <w:rsid w:val="00B033A5"/>
    <w:rsid w:val="00B0460C"/>
    <w:rsid w:val="00B10C38"/>
    <w:rsid w:val="00B11C1C"/>
    <w:rsid w:val="00B129BC"/>
    <w:rsid w:val="00B12C0B"/>
    <w:rsid w:val="00B12E7A"/>
    <w:rsid w:val="00B13613"/>
    <w:rsid w:val="00B17BD8"/>
    <w:rsid w:val="00B17E56"/>
    <w:rsid w:val="00B2422C"/>
    <w:rsid w:val="00B30AC9"/>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293C"/>
    <w:rsid w:val="00B833BE"/>
    <w:rsid w:val="00B87B08"/>
    <w:rsid w:val="00B93C7A"/>
    <w:rsid w:val="00B956C4"/>
    <w:rsid w:val="00B9570E"/>
    <w:rsid w:val="00BA1584"/>
    <w:rsid w:val="00BA2C0F"/>
    <w:rsid w:val="00BA3C20"/>
    <w:rsid w:val="00BA4B6B"/>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0492"/>
    <w:rsid w:val="00C51445"/>
    <w:rsid w:val="00C52848"/>
    <w:rsid w:val="00C52DD4"/>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4BAD"/>
    <w:rsid w:val="00CC6398"/>
    <w:rsid w:val="00CC6C0C"/>
    <w:rsid w:val="00CC719D"/>
    <w:rsid w:val="00CD4BE8"/>
    <w:rsid w:val="00CD7A34"/>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AB4"/>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C7EF5"/>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9"/>
    <w:rsid w:val="00EA2DDA"/>
    <w:rsid w:val="00EA44B9"/>
    <w:rsid w:val="00EA4C4B"/>
    <w:rsid w:val="00EA697A"/>
    <w:rsid w:val="00EA7250"/>
    <w:rsid w:val="00EA77BE"/>
    <w:rsid w:val="00EB1BD2"/>
    <w:rsid w:val="00EB1C7E"/>
    <w:rsid w:val="00EB7FDF"/>
    <w:rsid w:val="00EC19C1"/>
    <w:rsid w:val="00EC283A"/>
    <w:rsid w:val="00EC3551"/>
    <w:rsid w:val="00EC57A3"/>
    <w:rsid w:val="00EC7271"/>
    <w:rsid w:val="00ED2086"/>
    <w:rsid w:val="00ED38AF"/>
    <w:rsid w:val="00ED590B"/>
    <w:rsid w:val="00ED60A1"/>
    <w:rsid w:val="00ED6123"/>
    <w:rsid w:val="00EE1C4A"/>
    <w:rsid w:val="00EE2F04"/>
    <w:rsid w:val="00EE3E0F"/>
    <w:rsid w:val="00EE556A"/>
    <w:rsid w:val="00EE6D21"/>
    <w:rsid w:val="00EF32A0"/>
    <w:rsid w:val="00F01448"/>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3BD0"/>
    <w:rsid w:val="00F349E0"/>
    <w:rsid w:val="00F3565F"/>
    <w:rsid w:val="00F36BF0"/>
    <w:rsid w:val="00F423F5"/>
    <w:rsid w:val="00F42C0D"/>
    <w:rsid w:val="00F42F97"/>
    <w:rsid w:val="00F439B5"/>
    <w:rsid w:val="00F46E8C"/>
    <w:rsid w:val="00F52E75"/>
    <w:rsid w:val="00F54C75"/>
    <w:rsid w:val="00F57DED"/>
    <w:rsid w:val="00F60A18"/>
    <w:rsid w:val="00F63F49"/>
    <w:rsid w:val="00F65837"/>
    <w:rsid w:val="00F713A4"/>
    <w:rsid w:val="00F72D00"/>
    <w:rsid w:val="00F74748"/>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75"/>
    <w:rsid w:val="00FA55D5"/>
    <w:rsid w:val="00FB297F"/>
    <w:rsid w:val="00FB47E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0BF722C0"/>
    <w:rsid w:val="172B02F5"/>
    <w:rsid w:val="362F0C68"/>
    <w:rsid w:val="5BEDE805"/>
    <w:rsid w:val="60A930C3"/>
    <w:rsid w:val="691C7A49"/>
    <w:rsid w:val="74F11660"/>
    <w:rsid w:val="7BFD5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s-PE"/>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nhideWhenUsed/>
    <w:rsid w:val="00827F7F"/>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69148836">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14314747">
      <w:bodyDiv w:val="1"/>
      <w:marLeft w:val="0"/>
      <w:marRight w:val="0"/>
      <w:marTop w:val="0"/>
      <w:marBottom w:val="0"/>
      <w:divBdr>
        <w:top w:val="none" w:sz="0" w:space="0" w:color="auto"/>
        <w:left w:val="none" w:sz="0" w:space="0" w:color="auto"/>
        <w:bottom w:val="none" w:sz="0" w:space="0" w:color="auto"/>
        <w:right w:val="none" w:sz="0" w:space="0" w:color="auto"/>
      </w:divBdr>
    </w:div>
    <w:div w:id="252207637">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61883973">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89378387">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7350507">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56282512">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0926193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12429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02986524">
      <w:bodyDiv w:val="1"/>
      <w:marLeft w:val="0"/>
      <w:marRight w:val="0"/>
      <w:marTop w:val="0"/>
      <w:marBottom w:val="0"/>
      <w:divBdr>
        <w:top w:val="none" w:sz="0" w:space="0" w:color="auto"/>
        <w:left w:val="none" w:sz="0" w:space="0" w:color="auto"/>
        <w:bottom w:val="none" w:sz="0" w:space="0" w:color="auto"/>
        <w:right w:val="none" w:sz="0" w:space="0" w:color="auto"/>
      </w:divBdr>
    </w:div>
    <w:div w:id="92592391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31144897">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069578118">
      <w:bodyDiv w:val="1"/>
      <w:marLeft w:val="0"/>
      <w:marRight w:val="0"/>
      <w:marTop w:val="0"/>
      <w:marBottom w:val="0"/>
      <w:divBdr>
        <w:top w:val="none" w:sz="0" w:space="0" w:color="auto"/>
        <w:left w:val="none" w:sz="0" w:space="0" w:color="auto"/>
        <w:bottom w:val="none" w:sz="0" w:space="0" w:color="auto"/>
        <w:right w:val="none" w:sz="0" w:space="0" w:color="auto"/>
      </w:divBdr>
    </w:div>
    <w:div w:id="107651542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78690242">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34923129">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5727738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59089192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5922955">
      <w:bodyDiv w:val="1"/>
      <w:marLeft w:val="0"/>
      <w:marRight w:val="0"/>
      <w:marTop w:val="0"/>
      <w:marBottom w:val="0"/>
      <w:divBdr>
        <w:top w:val="none" w:sz="0" w:space="0" w:color="auto"/>
        <w:left w:val="none" w:sz="0" w:space="0" w:color="auto"/>
        <w:bottom w:val="none" w:sz="0" w:space="0" w:color="auto"/>
        <w:right w:val="none" w:sz="0" w:space="0" w:color="auto"/>
      </w:divBdr>
    </w:div>
    <w:div w:id="1627270601">
      <w:bodyDiv w:val="1"/>
      <w:marLeft w:val="0"/>
      <w:marRight w:val="0"/>
      <w:marTop w:val="0"/>
      <w:marBottom w:val="0"/>
      <w:divBdr>
        <w:top w:val="none" w:sz="0" w:space="0" w:color="auto"/>
        <w:left w:val="none" w:sz="0" w:space="0" w:color="auto"/>
        <w:bottom w:val="none" w:sz="0" w:space="0" w:color="auto"/>
        <w:right w:val="none" w:sz="0" w:space="0" w:color="auto"/>
      </w:divBdr>
    </w:div>
    <w:div w:id="1637832371">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47803875">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1264422">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26575265">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1984693829">
      <w:bodyDiv w:val="1"/>
      <w:marLeft w:val="0"/>
      <w:marRight w:val="0"/>
      <w:marTop w:val="0"/>
      <w:marBottom w:val="0"/>
      <w:divBdr>
        <w:top w:val="none" w:sz="0" w:space="0" w:color="auto"/>
        <w:left w:val="none" w:sz="0" w:space="0" w:color="auto"/>
        <w:bottom w:val="none" w:sz="0" w:space="0" w:color="auto"/>
        <w:right w:val="none" w:sz="0" w:space="0" w:color="auto"/>
      </w:divBdr>
    </w:div>
    <w:div w:id="1995332727">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0621966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36486780">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13F62C7-7DD5-42CB-91DE-520ACFEA7A1A}"/>
</file>

<file path=customXml/itemProps3.xml><?xml version="1.0" encoding="utf-8"?>
<ds:datastoreItem xmlns:ds="http://schemas.openxmlformats.org/officeDocument/2006/customXml" ds:itemID="{E02FA829-244F-4C66-B3C0-38C2FE98E617}"/>
</file>

<file path=customXml/itemProps4.xml><?xml version="1.0" encoding="utf-8"?>
<ds:datastoreItem xmlns:ds="http://schemas.openxmlformats.org/officeDocument/2006/customXml" ds:itemID="{14C15246-C0D0-4A32-BC0B-D51B7F31B31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471</cp:revision>
  <cp:lastPrinted>2024-12-20T12:18:00Z</cp:lastPrinted>
  <dcterms:created xsi:type="dcterms:W3CDTF">2023-02-14T22:37:00Z</dcterms:created>
  <dcterms:modified xsi:type="dcterms:W3CDTF">2025-12-15T21:16:34Z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