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38A0B00B" w:rsidR="00F15FBA" w:rsidRPr="00816E7B" w:rsidRDefault="00F15FBA" w:rsidP="00F15FBA">
      <w:pPr>
        <w:pStyle w:val="Ttulo"/>
        <w:outlineLvl w:val="0"/>
        <w:rPr>
          <w:lang w:val="es-PE"/>
        </w:rPr>
      </w:pPr>
      <w:r w:rsidRPr="00816E7B">
        <w:rPr>
          <w:lang w:val="es-PE"/>
        </w:rPr>
        <w:t>RESOLUCIÓN N</w:t>
      </w:r>
      <w:r w:rsidR="001631D6" w:rsidRPr="00816E7B">
        <w:rPr>
          <w:lang w:val="es-PE"/>
        </w:rPr>
        <w:t xml:space="preserve">° </w:t>
      </w:r>
      <w:r w:rsidR="003E6BA6" w:rsidRPr="00816E7B">
        <w:rPr>
          <w:lang w:val="es-PE"/>
        </w:rPr>
        <w:t>0</w:t>
      </w:r>
      <w:r w:rsidR="009B61F6" w:rsidRPr="00816E7B">
        <w:rPr>
          <w:lang w:val="es-PE"/>
        </w:rPr>
        <w:t>1</w:t>
      </w:r>
      <w:r w:rsidR="00F35D24" w:rsidRPr="00816E7B">
        <w:rPr>
          <w:lang w:val="es-PE"/>
        </w:rPr>
        <w:t>1</w:t>
      </w:r>
      <w:r w:rsidR="001631D6" w:rsidRPr="00816E7B">
        <w:rPr>
          <w:lang w:val="es-PE"/>
        </w:rPr>
        <w:t>/2</w:t>
      </w:r>
      <w:r w:rsidR="002B50D6" w:rsidRPr="00816E7B">
        <w:rPr>
          <w:lang w:val="es-PE"/>
        </w:rPr>
        <w:t>4</w:t>
      </w:r>
    </w:p>
    <w:p w14:paraId="425D596C" w14:textId="77777777" w:rsidR="007B46FF" w:rsidRPr="00816E7B" w:rsidRDefault="007B46FF" w:rsidP="007B46FF">
      <w:pPr>
        <w:rPr>
          <w:b/>
          <w:bCs/>
          <w:lang w:val="es-PE"/>
        </w:rPr>
      </w:pPr>
    </w:p>
    <w:p w14:paraId="00E5B85D" w14:textId="77777777" w:rsidR="00816E7B" w:rsidRPr="00816E7B" w:rsidRDefault="00816E7B" w:rsidP="00816E7B"/>
    <w:p w14:paraId="07DE8A7A" w14:textId="77777777" w:rsidR="00816E7B" w:rsidRDefault="00816E7B" w:rsidP="00816E7B">
      <w:pPr>
        <w:rPr>
          <w:b/>
        </w:rPr>
      </w:pPr>
      <w:r w:rsidRPr="00816E7B">
        <w:rPr>
          <w:b/>
        </w:rPr>
        <w:t>VISTOS:</w:t>
      </w:r>
    </w:p>
    <w:p w14:paraId="68E373C2" w14:textId="77777777" w:rsidR="00816E7B" w:rsidRPr="00816E7B" w:rsidRDefault="00816E7B" w:rsidP="00816E7B">
      <w:pPr>
        <w:rPr>
          <w:b/>
        </w:rPr>
      </w:pPr>
    </w:p>
    <w:p w14:paraId="7F7310C2" w14:textId="3E347106" w:rsidR="00816E7B" w:rsidRDefault="00816E7B" w:rsidP="00816E7B">
      <w:pPr>
        <w:jc w:val="both"/>
      </w:pPr>
      <w:r w:rsidRPr="00816E7B">
        <w:t>La reclamación presentada ante esta Defensoría del Asegurado (DEFASEG) por</w:t>
      </w:r>
      <w:r w:rsidR="00282B1B">
        <w:t xml:space="preserve"> ……………… </w:t>
      </w:r>
      <w:r w:rsidRPr="00816E7B">
        <w:t xml:space="preserve">contra </w:t>
      </w:r>
      <w:r w:rsidR="00282B1B">
        <w:t xml:space="preserve">……………… </w:t>
      </w:r>
      <w:r w:rsidRPr="00816E7B">
        <w:rPr>
          <w:lang w:val="es-MX"/>
        </w:rPr>
        <w:t>en</w:t>
      </w:r>
      <w:r w:rsidRPr="00816E7B">
        <w:t xml:space="preserve"> la que solicita se le otorgue la cobertura por siniestro ocurrido el 18 de octubre de 2021, correspondiente al </w:t>
      </w:r>
      <w:r w:rsidRPr="00816E7B">
        <w:rPr>
          <w:b/>
          <w:lang w:val="es-MX"/>
        </w:rPr>
        <w:t xml:space="preserve">SEGURO RESPONSABILIDAD CIVIL – PÓLIZA No </w:t>
      </w:r>
      <w:r w:rsidR="00282B1B">
        <w:t>………………</w:t>
      </w:r>
      <w:r w:rsidRPr="00816E7B">
        <w:t>;</w:t>
      </w:r>
    </w:p>
    <w:p w14:paraId="4B7DDB0C" w14:textId="77777777" w:rsidR="00816E7B" w:rsidRPr="00816E7B" w:rsidRDefault="00816E7B" w:rsidP="00816E7B">
      <w:pPr>
        <w:jc w:val="both"/>
      </w:pPr>
    </w:p>
    <w:p w14:paraId="7C56CEC8" w14:textId="77777777" w:rsidR="00816E7B" w:rsidRPr="00816E7B" w:rsidRDefault="00816E7B" w:rsidP="00816E7B">
      <w:pPr>
        <w:jc w:val="both"/>
        <w:rPr>
          <w:rFonts w:eastAsia="Arial Unicode MS"/>
        </w:rPr>
      </w:pPr>
      <w:r w:rsidRPr="00816E7B">
        <w:rPr>
          <w:rFonts w:eastAsia="Arial Unicode MS"/>
        </w:rPr>
        <w:t>Que, la señalada reclamación cumple con los requisitos de materia, cuantía y oportunidad establecidos en el Reglamento de la DEFASEG (http://www.defaseg.com.pe/reglamento);</w:t>
      </w:r>
    </w:p>
    <w:p w14:paraId="2947D142" w14:textId="55711E25" w:rsidR="00816E7B" w:rsidRDefault="00816E7B" w:rsidP="00816E7B">
      <w:pPr>
        <w:jc w:val="both"/>
      </w:pPr>
      <w:r w:rsidRPr="00816E7B">
        <w:t xml:space="preserve">Que, habiéndosele corrido traslado de la respectiva reclamación, </w:t>
      </w:r>
      <w:r w:rsidR="00282B1B">
        <w:t xml:space="preserve">……………… </w:t>
      </w:r>
      <w:r w:rsidRPr="00816E7B">
        <w:t>cumplió con presentar sus respectivos descargos;</w:t>
      </w:r>
    </w:p>
    <w:p w14:paraId="314B7A0C" w14:textId="77777777" w:rsidR="00816E7B" w:rsidRPr="00816E7B" w:rsidRDefault="00816E7B" w:rsidP="00816E7B">
      <w:pPr>
        <w:jc w:val="both"/>
        <w:rPr>
          <w:rFonts w:eastAsia="Arial Unicode MS"/>
        </w:rPr>
      </w:pPr>
    </w:p>
    <w:p w14:paraId="43339B88" w14:textId="77777777" w:rsidR="00816E7B" w:rsidRDefault="00816E7B" w:rsidP="00816E7B">
      <w:pPr>
        <w:tabs>
          <w:tab w:val="num" w:pos="720"/>
        </w:tabs>
        <w:jc w:val="both"/>
      </w:pPr>
      <w:r w:rsidRPr="00816E7B">
        <w:t>Que, el 27 de noviembre de 2023 se realizó la audiencia de vista con la participación de las partes, quienes tuvieron oportunidad de exponer su posición tratándose de la materia reclamada, absolviendo las diversas preguntas que les fueron formuladas;</w:t>
      </w:r>
    </w:p>
    <w:p w14:paraId="0BA53924" w14:textId="77777777" w:rsidR="00816E7B" w:rsidRPr="00816E7B" w:rsidRDefault="00816E7B" w:rsidP="00816E7B">
      <w:pPr>
        <w:tabs>
          <w:tab w:val="num" w:pos="720"/>
        </w:tabs>
        <w:jc w:val="both"/>
      </w:pPr>
    </w:p>
    <w:p w14:paraId="2DE27FFB" w14:textId="726C631A" w:rsidR="00816E7B" w:rsidRDefault="00816E7B" w:rsidP="00816E7B">
      <w:pPr>
        <w:jc w:val="both"/>
        <w:rPr>
          <w:i/>
          <w:iCs/>
        </w:rPr>
      </w:pPr>
      <w:r w:rsidRPr="00816E7B">
        <w:t xml:space="preserve">Que, la reclamante expresa su disconformidad con el rechazo de cobertura, solicitando que la DEFASEG se sirva atender su caso, considerando los antecedentes y fundamentos enunciados resumidamente a continuación: (1) el 18 de octubre de 2021, la grúa de propiedad de la empresa asegurada fue objeto de una volcadura durante las maniobras de </w:t>
      </w:r>
      <w:proofErr w:type="spellStart"/>
      <w:r w:rsidRPr="00816E7B">
        <w:t>izaje</w:t>
      </w:r>
      <w:proofErr w:type="spellEnd"/>
      <w:r w:rsidRPr="00816E7B">
        <w:t xml:space="preserve"> de planchas de acero que, debido a un error de cálculo por parte de los operadores de la grúa, ocasionó en forma involuntaria daños a las instalaciones de PETROPERU, donde se encontraba operando; (2) dichas circunstancias configuran un siniestro que se encontraría dentro de los alcances de la cobertura del seguro de responsabilidad civil; (3) en la fecha de ocurrencia del siniestro, Grúas Altes S.A.C. contaba con la póliza de responsabilidad civil </w:t>
      </w:r>
      <w:proofErr w:type="spellStart"/>
      <w:r w:rsidRPr="00816E7B">
        <w:t>N°</w:t>
      </w:r>
      <w:proofErr w:type="spellEnd"/>
      <w:r w:rsidRPr="00816E7B">
        <w:t xml:space="preserve"> </w:t>
      </w:r>
      <w:r w:rsidR="00282B1B">
        <w:t>………………</w:t>
      </w:r>
      <w:r w:rsidRPr="00816E7B">
        <w:t xml:space="preserve">, con vigencia del 26/08/2021 al 26/08/2022, que en las condiciones especiales señala, como descripción de la cobertura, que </w:t>
      </w:r>
      <w:r w:rsidRPr="00816E7B">
        <w:rPr>
          <w:i/>
          <w:iCs/>
        </w:rPr>
        <w:t xml:space="preserve">“se extiende a cubrir todas las cantidades que el Asegurado tuviera legalmente que pagar, hasta los límites establecidos en las Condiciones Particulares, por concepto de Responsabilidad Civil Extracontractual por daños corporales y/o materiales ocasionados a terceros, como consecuencia de accidentes ocasionados por los trabajos encargados al Asegurado, que hayan iniciado y culminado dentro de la vigencia de la póliza…” </w:t>
      </w:r>
      <w:r w:rsidRPr="00816E7B">
        <w:t xml:space="preserve">; (4) como parte de la mencionada póliza se contrató la Cláusula de ascensores, montacargas, grúas y escaleras mecánicas fijas. Dicha cláusula señala en sus condiciones que </w:t>
      </w:r>
      <w:r w:rsidRPr="00816E7B">
        <w:rPr>
          <w:i/>
          <w:iCs/>
        </w:rPr>
        <w:t xml:space="preserve">“se extiende a cubrir todas las cantidades que el Asegurado tuviera legalmente que pagar por Responsabilidad Civil Extracontractual derivada del uso de ascensores, montacargas fijos, grúas fijas y escaleras mecánicas fijas específicamente indicados en el texto de la póliza en su calidad de propietarios de los mismos…” </w:t>
      </w:r>
      <w:r w:rsidRPr="00816E7B">
        <w:t xml:space="preserve">Asimismo, dicha cláusula prescribe como exclusión que no se cubre la responsabilidad derivada de un accidente donde </w:t>
      </w:r>
      <w:r w:rsidRPr="00816E7B">
        <w:rPr>
          <w:i/>
          <w:iCs/>
        </w:rPr>
        <w:t xml:space="preserve">“la capacidad indicada en los aparatos haya sido transgredida.” </w:t>
      </w:r>
      <w:r w:rsidRPr="00816E7B">
        <w:t xml:space="preserve">; (5) la compañía de seguros contrató como ajustador del siniestro a los señores </w:t>
      </w:r>
      <w:r w:rsidR="00282B1B">
        <w:t xml:space="preserve">……………… </w:t>
      </w:r>
      <w:r w:rsidRPr="00816E7B">
        <w:t xml:space="preserve">Ajustadores de Seguros S.A., que mediante su comunicación del 18 de marzo de 2022 desestimaron la cobertura del siniestro en función a la exclusión señalada en la cláusula respectiva; indicando que por haberse transgredido la capacidad de la grúa al momento de realizar los trabajos de </w:t>
      </w:r>
      <w:proofErr w:type="spellStart"/>
      <w:r w:rsidRPr="00816E7B">
        <w:t>izaje</w:t>
      </w:r>
      <w:proofErr w:type="spellEnd"/>
      <w:r w:rsidRPr="00816E7B">
        <w:t xml:space="preserve">, esta perdió estabilidad, inclinándose y causando los daños antes descritos. Sin embargo, como se puede apreciar de la revisión de la comunicación del </w:t>
      </w:r>
      <w:r w:rsidRPr="00816E7B">
        <w:lastRenderedPageBreak/>
        <w:t xml:space="preserve">ajustador no se realiza mayor análisis de las circunstancias del siniestro, ni se tiene en cuenta que el accidente se produjo por un hecho involuntario, como fue el error de cálculo de parte de los operadores de la grúa; (6) la exclusión mencionada no puede ser aplicada en este caso; (7)  frente a la primera carta de rechazo del siniestro se solicitó, a través de la empresa MAVEV Corredores de Seguros, la realización de un nuevo ajuste del siniestro. Ello, al amparo de los artículos 74 y 75 de la Ley del Contrato de Seguro, Ley 29946; (8) la empresa </w:t>
      </w:r>
      <w:r w:rsidR="00E763C3">
        <w:t xml:space="preserve">……………… </w:t>
      </w:r>
      <w:r w:rsidR="00E763C3">
        <w:t xml:space="preserve"> </w:t>
      </w:r>
      <w:r w:rsidRPr="00816E7B">
        <w:t xml:space="preserve">emite su informe final el 28 de marzo del presente año, en el cual realiza un análisis exhaustivo de las circunstancias del siniestro, concluyendo que se encuentra amparado por la póliza de seguro. Al respecto, se señala que el hecho de haberse transgredido la capacidad operativa del equipo no es suficiente razón para aplicar la referida exclusión, considerando que el texto de la misma señala, en forma expresa, que esta capacidad operativa debe encontrarse </w:t>
      </w:r>
      <w:r w:rsidRPr="00816E7B">
        <w:rPr>
          <w:i/>
          <w:iCs/>
        </w:rPr>
        <w:t xml:space="preserve">“indicada en los aparatos”, </w:t>
      </w:r>
      <w:r w:rsidRPr="00816E7B">
        <w:t>lo cual no ocurrió</w:t>
      </w:r>
      <w:r w:rsidRPr="00816E7B">
        <w:rPr>
          <w:i/>
          <w:iCs/>
        </w:rPr>
        <w:t xml:space="preserve">. </w:t>
      </w:r>
      <w:r w:rsidRPr="00816E7B">
        <w:t xml:space="preserve">Si bien manifiestan que, se transgredió la capacidad operativa de la grúa, ello se debió a un error de cálculo, al haber considerado un peso erróneo en los aparejos de la grúa (de 300 kg en lugar de 800 kg), no existiendo evidencia que esta capacidad operativa transgredida haya estado indicada en el aparato, como se requiere para la aplicación de la mencionada cláusula. Por lo tanto, señalan que dicha exclusión no es aplicable al caso, y que el siniestro debe ser cubierto por la compañía de seguros, determinando una indemnización de USD 33,264.49, importe con el cual señala su conformidad; (9) la compañía de seguros emite nueva carta de rechazo el 05 de abril de 2023, reafirmando su posición que el siniestro se encontraba dentro de las exclusiones de la Cláusula de ascensores, montacargas, grúas y escaleras mecánicas fijas de la póliza de responsabilidad civil, por lo cual, no asumirían ninguna responsabilidad; (10) se debe otorgar cobertura al presente siniestro, al amparo de la Ley del Contrato de Seguro, Ley 29946, en especial de la Tercera regla de interpretación del contrato de seguro, conforme a la cual </w:t>
      </w:r>
      <w:r w:rsidRPr="00816E7B">
        <w:rPr>
          <w:i/>
          <w:iCs/>
        </w:rPr>
        <w:t xml:space="preserve">“Los términos del contrato que generen ambigüedad o dudas son interpretados en el sentido y con el alcance más favorable al asegurado…” </w:t>
      </w:r>
    </w:p>
    <w:p w14:paraId="4513E947" w14:textId="77777777" w:rsidR="00816E7B" w:rsidRPr="00816E7B" w:rsidRDefault="00816E7B" w:rsidP="00816E7B">
      <w:pPr>
        <w:jc w:val="both"/>
      </w:pPr>
    </w:p>
    <w:p w14:paraId="65549646" w14:textId="2892459F" w:rsidR="00816E7B" w:rsidRDefault="00816E7B" w:rsidP="00816E7B">
      <w:pPr>
        <w:jc w:val="both"/>
      </w:pPr>
      <w:r w:rsidRPr="00816E7B">
        <w:t xml:space="preserve">Que, por su parte, </w:t>
      </w:r>
      <w:r w:rsidR="00282B1B">
        <w:t xml:space="preserve">……………… </w:t>
      </w:r>
      <w:r w:rsidRPr="00816E7B">
        <w:t xml:space="preserve">solicita que la reclamación sea declarada infundada, atendiendo resumidamente a lo siguiente: (1) de acuerdo con la información brindada por el asegurado, su personal venía realizando trabajos de </w:t>
      </w:r>
      <w:proofErr w:type="spellStart"/>
      <w:r w:rsidRPr="00816E7B">
        <w:t>izaje</w:t>
      </w:r>
      <w:proofErr w:type="spellEnd"/>
      <w:r w:rsidRPr="00816E7B">
        <w:t xml:space="preserve"> de planchas de techo con una grúa dentro de las instalaciones de PETROPERU - Sede Piura; instantes en que la grúa se inclinó hacia un costado apoyándose sobre el tanque de propiedad del tercero afectado, ocasionando daños materiales sobre el mismo, esto a razón que la capacidad de la grúa había sido transgredida; (2) se ha podido evidenciar en el permiso de trabajo firmado por el asegurado, que el peso de los aparejos era de 0.8t, con lo cual queda evidenciado el sobreesfuerzo de la grúa, no encontrando amparo el siniestro a razón que, la circunstancia del evento se encuentra dentro de las Exclusiones de la Cláusula de Ascensores, Montacargas, Grúas y Escaleras Mecánicas Fijas de la póliza de Responsabilidad Civil:</w:t>
      </w:r>
      <w:r w:rsidRPr="00816E7B">
        <w:rPr>
          <w:color w:val="000000"/>
          <w:lang w:eastAsia="es-PE"/>
        </w:rPr>
        <w:t xml:space="preserve"> “</w:t>
      </w:r>
      <w:r w:rsidRPr="00816E7B">
        <w:rPr>
          <w:i/>
          <w:iCs/>
          <w:color w:val="000000"/>
          <w:lang w:eastAsia="es-PE"/>
        </w:rPr>
        <w:t xml:space="preserve">Cláusula De Ascensores, Montacargas, Grúas y Escaleras Mecánicas Fijas. 1. PROPIETARIOS “No obstante lo establecido en las Condiciones Generales de la póliza, ésta se extiende a cubrir todas las cantidades que el Asegurado tuviera legalmente que pagar por Responsabilidad Civil Extracontractual derivada del uso de ascensores, montacargas fijos, grúas fijas y escaleras mecánicas fijas específicamente indicados en el texto de la póliza en su calidad de propietarios de los mismos; sujeto al estricto cumplimiento del servicio de mantenimiento de los aparatos de acuerdo con lo establecido por las disposiciones legales vigentes.  </w:t>
      </w:r>
      <w:proofErr w:type="gramStart"/>
      <w:r w:rsidRPr="00816E7B">
        <w:rPr>
          <w:i/>
          <w:iCs/>
          <w:color w:val="000000"/>
          <w:lang w:eastAsia="es-PE"/>
        </w:rPr>
        <w:t>EXCLUSIONES  El</w:t>
      </w:r>
      <w:proofErr w:type="gramEnd"/>
      <w:r w:rsidRPr="00816E7B">
        <w:rPr>
          <w:i/>
          <w:iCs/>
          <w:color w:val="000000"/>
          <w:lang w:eastAsia="es-PE"/>
        </w:rPr>
        <w:t xml:space="preserve"> seguro otorgado bajo esta cláusula no cubre la responsabilidad derivada si:  a) Al momento de un accidente la capacidad indicada en los aparatos ha sido transgredida. (…)”</w:t>
      </w:r>
      <w:r w:rsidRPr="00816E7B">
        <w:rPr>
          <w:color w:val="000000"/>
          <w:lang w:eastAsia="es-PE"/>
        </w:rPr>
        <w:t xml:space="preserve">; (3) </w:t>
      </w:r>
      <w:r w:rsidRPr="00816E7B">
        <w:t xml:space="preserve">el informe de Consorcio Cobra también indica como causa raíz que </w:t>
      </w:r>
      <w:r w:rsidRPr="00816E7B">
        <w:lastRenderedPageBreak/>
        <w:t xml:space="preserve">el operador y </w:t>
      </w:r>
      <w:proofErr w:type="spellStart"/>
      <w:r w:rsidRPr="00816E7B">
        <w:t>rigger</w:t>
      </w:r>
      <w:proofErr w:type="spellEnd"/>
      <w:r w:rsidRPr="00816E7B">
        <w:t xml:space="preserve"> realizaron un análisis inadecuado en el </w:t>
      </w:r>
      <w:proofErr w:type="spellStart"/>
      <w:r w:rsidRPr="00816E7B">
        <w:t>izaje</w:t>
      </w:r>
      <w:proofErr w:type="spellEnd"/>
      <w:r w:rsidRPr="00816E7B">
        <w:t xml:space="preserve"> de las cargas, sobrepasando los porcentajes máximos permisibles incumpliendo los lineamientos de seguridad; (4) dentro del análisis del ajustador de seguros Charles Taylor, se determinó que, se transgredió la capacidad de la grúa al momento de realizar los trabajos de </w:t>
      </w:r>
      <w:proofErr w:type="spellStart"/>
      <w:r w:rsidRPr="00816E7B">
        <w:t>izaje</w:t>
      </w:r>
      <w:proofErr w:type="spellEnd"/>
      <w:r w:rsidRPr="00816E7B">
        <w:t xml:space="preserve">, hecho que posteriormente ocasionó que pierda estabilidad, inclinándose sobre el tanque de propiedad de PETROPERÚ; por tanto, esta situación configura una de las exclusiones de la póliza que dispone que no se cubre ningún tipo de responsabilidad derivada de un accidente donde la capacidad de los equipos haya sido transgredida; (5) el informe final emitido por los señores Charles Taylor Ajustadores de Seguros S.A., encargados del estudio y evaluación del siniestro de la referencia,  manifiestan que el  evento refiere a daños de la caldera de propiedad de la empresa PETROPERÚ, producto de la volcadura de una grúa de propiedad del asegurado. Asimismo, de acuerdo con el informe técnico presentado por el asegurado, el personal que realizaba las labores no realizó un cálculo correcto al momento de estimar la carga que debía tener este equipo, a razón que, </w:t>
      </w:r>
      <w:proofErr w:type="gramStart"/>
      <w:r w:rsidRPr="00816E7B">
        <w:t>de acuerdo al</w:t>
      </w:r>
      <w:proofErr w:type="gramEnd"/>
      <w:r w:rsidRPr="00816E7B">
        <w:t xml:space="preserve"> radio que debía trabajar y con el peso de las planchas, la carga máxima era de 2.3 toneladas. Sin embargo, el operario realizó un cálculo erróneo de 2.6 toneladas, lo cual ocasionó que la grúa pierda estabilidad y ocasiones los daños, no encontrando amparo el siniestro a razón que, la circunstancia del evento se encuentra dentro de las Exclusiones de la Cláusula de Ascensores, Montacargas, Grúas y Escaleras Mecánicas Fijas de la póliza de Responsabilidad Civil; (6) en el presente caso no existe ninguna duda que deba interpretarse a favor del asegurado, y la solicitud de cobertura se rechaza dado que el evento se encuentra excluido de la póliza de seguros contratada.</w:t>
      </w:r>
    </w:p>
    <w:p w14:paraId="36836B48" w14:textId="77777777" w:rsidR="00816E7B" w:rsidRPr="00816E7B" w:rsidRDefault="00816E7B" w:rsidP="00816E7B">
      <w:pPr>
        <w:jc w:val="both"/>
      </w:pPr>
    </w:p>
    <w:p w14:paraId="7915F051" w14:textId="77777777" w:rsidR="00816E7B" w:rsidRDefault="00816E7B" w:rsidP="00816E7B">
      <w:pPr>
        <w:jc w:val="both"/>
      </w:pPr>
      <w:r w:rsidRPr="00816E7B">
        <w:t>Que, a la fecha, el estado del proceso permite que el colegiado pueda expedir su pronunciamiento sobre el presente caso sometido a su conocimiento;</w:t>
      </w:r>
    </w:p>
    <w:p w14:paraId="1D01041F" w14:textId="77777777" w:rsidR="00816E7B" w:rsidRPr="00816E7B" w:rsidRDefault="00816E7B" w:rsidP="00816E7B">
      <w:pPr>
        <w:jc w:val="both"/>
      </w:pPr>
    </w:p>
    <w:p w14:paraId="59B13B0D" w14:textId="77777777" w:rsidR="00816E7B" w:rsidRDefault="00816E7B" w:rsidP="00816E7B">
      <w:pPr>
        <w:jc w:val="both"/>
        <w:rPr>
          <w:b/>
        </w:rPr>
      </w:pPr>
      <w:r w:rsidRPr="00816E7B">
        <w:rPr>
          <w:b/>
        </w:rPr>
        <w:t xml:space="preserve">CONSIDERANDO: </w:t>
      </w:r>
    </w:p>
    <w:p w14:paraId="081A9FBF" w14:textId="77777777" w:rsidR="00816E7B" w:rsidRPr="00816E7B" w:rsidRDefault="00816E7B" w:rsidP="00816E7B">
      <w:pPr>
        <w:jc w:val="both"/>
        <w:rPr>
          <w:b/>
        </w:rPr>
      </w:pPr>
    </w:p>
    <w:p w14:paraId="7F3343A7" w14:textId="77777777" w:rsidR="00816E7B" w:rsidRDefault="00816E7B" w:rsidP="00816E7B">
      <w:pPr>
        <w:jc w:val="both"/>
      </w:pPr>
      <w:r w:rsidRPr="00816E7B">
        <w:rPr>
          <w:b/>
          <w:u w:val="single"/>
        </w:rPr>
        <w:t>PRIMERO</w:t>
      </w:r>
      <w:r w:rsidRPr="00816E7B">
        <w:t>: Conforme a su reglamento, la</w:t>
      </w:r>
      <w:r w:rsidRPr="00816E7B">
        <w:rPr>
          <w:b/>
          <w:bCs/>
        </w:rPr>
        <w:t xml:space="preserve"> </w:t>
      </w:r>
      <w:r w:rsidRPr="00816E7B">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402DD664" w14:textId="77777777" w:rsidR="00816E7B" w:rsidRPr="00816E7B" w:rsidRDefault="00816E7B" w:rsidP="00816E7B">
      <w:pPr>
        <w:jc w:val="both"/>
      </w:pPr>
    </w:p>
    <w:p w14:paraId="6CB74704" w14:textId="77777777" w:rsidR="00816E7B" w:rsidRDefault="00816E7B" w:rsidP="00816E7B">
      <w:pPr>
        <w:jc w:val="both"/>
        <w:rPr>
          <w:rStyle w:val="Textoennegrita"/>
          <w:b w:val="0"/>
        </w:rPr>
      </w:pPr>
      <w:r w:rsidRPr="00816E7B">
        <w:rPr>
          <w:b/>
          <w:u w:val="single"/>
        </w:rPr>
        <w:t>SEGUNDO</w:t>
      </w:r>
      <w:r w:rsidRPr="00816E7B">
        <w:t xml:space="preserve">: Asimismo, de acuerdo con </w:t>
      </w:r>
      <w:r w:rsidRPr="00816E7B">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14:paraId="780F33DC" w14:textId="77777777" w:rsidR="00816E7B" w:rsidRPr="00816E7B" w:rsidRDefault="00816E7B" w:rsidP="00816E7B">
      <w:pPr>
        <w:jc w:val="both"/>
        <w:rPr>
          <w:rStyle w:val="Textoennegrita"/>
          <w:b w:val="0"/>
        </w:rPr>
      </w:pPr>
    </w:p>
    <w:p w14:paraId="4E2C4D47" w14:textId="77777777" w:rsidR="00816E7B" w:rsidRDefault="00816E7B" w:rsidP="00816E7B">
      <w:pPr>
        <w:jc w:val="both"/>
      </w:pPr>
      <w:r w:rsidRPr="00816E7B">
        <w:rPr>
          <w:rStyle w:val="Textoennegrita"/>
          <w:u w:val="single"/>
        </w:rPr>
        <w:t>TERCERO</w:t>
      </w:r>
      <w:r w:rsidRPr="00816E7B">
        <w:rPr>
          <w:rStyle w:val="Textoennegrita"/>
        </w:rPr>
        <w:t>:</w:t>
      </w:r>
      <w:r w:rsidRPr="00816E7B">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w:t>
      </w:r>
      <w:r w:rsidRPr="00816E7B">
        <w:lastRenderedPageBreak/>
        <w:t>naturaleza jurídica del seguro, siendo que sólo se aplica el derecho común a falta de disposiciones del derecho de seguros o de protección al consumidor.</w:t>
      </w:r>
    </w:p>
    <w:p w14:paraId="58C5CDF4" w14:textId="77777777" w:rsidR="00816E7B" w:rsidRPr="00816E7B" w:rsidRDefault="00816E7B" w:rsidP="00816E7B">
      <w:pPr>
        <w:jc w:val="both"/>
      </w:pPr>
    </w:p>
    <w:p w14:paraId="149D7B21" w14:textId="77777777" w:rsidR="00816E7B" w:rsidRPr="00816E7B" w:rsidRDefault="00816E7B" w:rsidP="00816E7B">
      <w:pPr>
        <w:contextualSpacing/>
        <w:jc w:val="both"/>
      </w:pPr>
      <w:r w:rsidRPr="00816E7B">
        <w:rPr>
          <w:b/>
          <w:u w:val="single"/>
        </w:rPr>
        <w:t>CUARTO</w:t>
      </w:r>
      <w:r w:rsidRPr="00816E7B">
        <w:rPr>
          <w:b/>
        </w:rPr>
        <w:t>:</w:t>
      </w:r>
      <w:r w:rsidRPr="00816E7B">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78896EC3" w14:textId="77777777" w:rsidR="00816E7B" w:rsidRPr="00816E7B" w:rsidRDefault="00816E7B" w:rsidP="00816E7B">
      <w:pPr>
        <w:contextualSpacing/>
        <w:jc w:val="both"/>
        <w:rPr>
          <w:b/>
          <w:u w:val="single"/>
        </w:rPr>
      </w:pPr>
    </w:p>
    <w:p w14:paraId="4B6B1D82" w14:textId="77777777" w:rsidR="00816E7B" w:rsidRDefault="00816E7B" w:rsidP="00816E7B">
      <w:pPr>
        <w:jc w:val="both"/>
      </w:pPr>
      <w:r w:rsidRPr="00816E7B">
        <w:rPr>
          <w:rStyle w:val="Textoennegrita"/>
          <w:u w:val="single"/>
        </w:rPr>
        <w:t>QUINTO</w:t>
      </w:r>
      <w:r w:rsidRPr="00816E7B">
        <w:rPr>
          <w:rStyle w:val="Textoennegrita"/>
        </w:rPr>
        <w:t>:</w:t>
      </w:r>
      <w:r w:rsidRPr="00816E7B">
        <w:rPr>
          <w:rStyle w:val="Textoennegrita"/>
          <w:b w:val="0"/>
        </w:rPr>
        <w:t xml:space="preserve"> Que, de acuerdo con el ar</w:t>
      </w:r>
      <w:r w:rsidRPr="00816E7B">
        <w:t>tículo 196 del Código Procesal Civil, la carga de la prueba corresponde a quien afirma hechos que configuran su pretensión, o a quien los contradice alegando nuevos hechos, salvo disposición legal diferente.</w:t>
      </w:r>
    </w:p>
    <w:p w14:paraId="006A37E0" w14:textId="77777777" w:rsidR="00816E7B" w:rsidRPr="00816E7B" w:rsidRDefault="00816E7B" w:rsidP="00816E7B">
      <w:pPr>
        <w:jc w:val="both"/>
      </w:pPr>
    </w:p>
    <w:p w14:paraId="6757E901" w14:textId="77777777" w:rsidR="00816E7B" w:rsidRDefault="00816E7B" w:rsidP="00816E7B">
      <w:pPr>
        <w:jc w:val="both"/>
        <w:rPr>
          <w:i/>
          <w:iCs/>
          <w:color w:val="000000"/>
          <w:lang w:eastAsia="es-PE"/>
        </w:rPr>
      </w:pPr>
      <w:r w:rsidRPr="00816E7B">
        <w:rPr>
          <w:b/>
          <w:u w:val="single"/>
        </w:rPr>
        <w:t>SEXTO</w:t>
      </w:r>
      <w:r w:rsidRPr="00816E7B">
        <w:rPr>
          <w:b/>
        </w:rPr>
        <w:t xml:space="preserve">: </w:t>
      </w:r>
      <w:r w:rsidRPr="00816E7B">
        <w:t>Que, conforme a lo identificado en la audiencia de vista, y sobre la base de los términos contenidos en el rechazo de cobertura, la reclamación y los descargos presentados, la cuestión controvertida radica en determinar si el rechazo de cobertura es legítimo o no</w:t>
      </w:r>
      <w:r w:rsidRPr="00816E7B">
        <w:rPr>
          <w:lang w:val="es-419"/>
        </w:rPr>
        <w:t>; es decir, si la exclusión opuesta por la aseguradora, esto es, que el seguro no cubre la responsabilidad derivada de un accidente causado por trasgresión de la capacidad indicada en los aparatos materia del seguro contratado</w:t>
      </w:r>
      <w:r w:rsidRPr="00816E7B">
        <w:rPr>
          <w:i/>
          <w:iCs/>
          <w:color w:val="000000"/>
          <w:lang w:eastAsia="es-PE"/>
        </w:rPr>
        <w:t>.</w:t>
      </w:r>
    </w:p>
    <w:p w14:paraId="227B8432" w14:textId="77777777" w:rsidR="00816E7B" w:rsidRPr="00816E7B" w:rsidRDefault="00816E7B" w:rsidP="00816E7B">
      <w:pPr>
        <w:jc w:val="both"/>
        <w:rPr>
          <w:lang w:val="es-419"/>
        </w:rPr>
      </w:pPr>
    </w:p>
    <w:p w14:paraId="3292B0F8" w14:textId="77777777" w:rsidR="00816E7B" w:rsidRPr="00816E7B" w:rsidRDefault="00816E7B" w:rsidP="00816E7B">
      <w:pPr>
        <w:jc w:val="both"/>
      </w:pPr>
      <w:r w:rsidRPr="00816E7B">
        <w:t>En efecto, en el rechazo de cobertura la aseguradora invoca la exclusión contenida en la Cláusula de Ascensores, Montacargas, Grúas y Escaleras Mecánicas Fijas de la Póliza de Responsabilidad Civil:</w:t>
      </w:r>
    </w:p>
    <w:p w14:paraId="409BD942" w14:textId="77777777" w:rsidR="00816E7B" w:rsidRPr="00816E7B" w:rsidRDefault="00816E7B" w:rsidP="00816E7B">
      <w:pPr>
        <w:pStyle w:val="Textoindependiente"/>
        <w:kinsoku w:val="0"/>
        <w:overflowPunct w:val="0"/>
        <w:spacing w:before="190"/>
        <w:ind w:left="708"/>
        <w:rPr>
          <w:i/>
          <w:iCs/>
          <w:spacing w:val="-2"/>
        </w:rPr>
      </w:pPr>
      <w:r w:rsidRPr="00816E7B">
        <w:rPr>
          <w:i/>
          <w:iCs/>
          <w:spacing w:val="-2"/>
        </w:rPr>
        <w:t>“RC.003</w:t>
      </w:r>
    </w:p>
    <w:p w14:paraId="35EA9789" w14:textId="77777777" w:rsidR="00816E7B" w:rsidRPr="00816E7B" w:rsidRDefault="00816E7B" w:rsidP="00816E7B">
      <w:pPr>
        <w:pStyle w:val="Textoindependiente"/>
        <w:kinsoku w:val="0"/>
        <w:overflowPunct w:val="0"/>
        <w:ind w:left="708"/>
        <w:rPr>
          <w:i/>
          <w:iCs/>
        </w:rPr>
      </w:pPr>
      <w:r w:rsidRPr="00816E7B">
        <w:rPr>
          <w:i/>
          <w:iCs/>
        </w:rPr>
        <w:t>Febrero 2016.</w:t>
      </w:r>
    </w:p>
    <w:p w14:paraId="03C44574" w14:textId="77777777" w:rsidR="00816E7B" w:rsidRPr="00816E7B" w:rsidRDefault="00816E7B" w:rsidP="00816E7B">
      <w:pPr>
        <w:pStyle w:val="Textoindependiente"/>
        <w:kinsoku w:val="0"/>
        <w:overflowPunct w:val="0"/>
        <w:ind w:left="708"/>
        <w:rPr>
          <w:i/>
          <w:iCs/>
        </w:rPr>
      </w:pPr>
      <w:r w:rsidRPr="00816E7B">
        <w:rPr>
          <w:i/>
          <w:iCs/>
        </w:rPr>
        <w:t>Adecuado a la Ley N°29946 y sus normas reglamentarias.</w:t>
      </w:r>
    </w:p>
    <w:p w14:paraId="1BA92F16" w14:textId="77777777" w:rsidR="00816E7B" w:rsidRPr="00816E7B" w:rsidRDefault="00816E7B" w:rsidP="00816E7B">
      <w:pPr>
        <w:pStyle w:val="Ttulo"/>
        <w:kinsoku w:val="0"/>
        <w:overflowPunct w:val="0"/>
        <w:ind w:left="819"/>
        <w:rPr>
          <w:i/>
          <w:iCs/>
        </w:rPr>
      </w:pPr>
      <w:r w:rsidRPr="00816E7B">
        <w:rPr>
          <w:i/>
          <w:iCs/>
        </w:rPr>
        <w:t>Cláusula</w:t>
      </w:r>
      <w:r w:rsidRPr="00816E7B">
        <w:rPr>
          <w:i/>
          <w:iCs/>
          <w:spacing w:val="51"/>
        </w:rPr>
        <w:t xml:space="preserve"> De</w:t>
      </w:r>
      <w:r w:rsidRPr="00816E7B">
        <w:rPr>
          <w:i/>
          <w:iCs/>
          <w:spacing w:val="50"/>
        </w:rPr>
        <w:t xml:space="preserve"> Ascensores</w:t>
      </w:r>
      <w:r w:rsidRPr="00816E7B">
        <w:rPr>
          <w:i/>
          <w:iCs/>
        </w:rPr>
        <w:t>,</w:t>
      </w:r>
      <w:r w:rsidRPr="00816E7B">
        <w:rPr>
          <w:i/>
          <w:iCs/>
          <w:spacing w:val="51"/>
        </w:rPr>
        <w:t xml:space="preserve"> Montacargas</w:t>
      </w:r>
      <w:r w:rsidRPr="00816E7B">
        <w:rPr>
          <w:i/>
          <w:iCs/>
        </w:rPr>
        <w:t>,</w:t>
      </w:r>
      <w:r w:rsidRPr="00816E7B">
        <w:rPr>
          <w:i/>
          <w:iCs/>
          <w:spacing w:val="50"/>
        </w:rPr>
        <w:t xml:space="preserve"> Grúas Y</w:t>
      </w:r>
      <w:r w:rsidRPr="00816E7B">
        <w:rPr>
          <w:i/>
          <w:iCs/>
          <w:spacing w:val="53"/>
        </w:rPr>
        <w:t xml:space="preserve"> Escaleras</w:t>
      </w:r>
      <w:r w:rsidRPr="00816E7B">
        <w:rPr>
          <w:i/>
          <w:iCs/>
          <w:spacing w:val="50"/>
        </w:rPr>
        <w:t xml:space="preserve"> Mecánicas Fijas</w:t>
      </w:r>
      <w:r w:rsidRPr="00816E7B">
        <w:rPr>
          <w:i/>
          <w:iCs/>
          <w:spacing w:val="80"/>
          <w:w w:val="150"/>
        </w:rPr>
        <w:t xml:space="preserve">             </w:t>
      </w:r>
    </w:p>
    <w:p w14:paraId="44801E75" w14:textId="77777777" w:rsidR="00816E7B" w:rsidRPr="00816E7B" w:rsidRDefault="00816E7B" w:rsidP="00816E7B">
      <w:pPr>
        <w:pStyle w:val="Prrafodelista"/>
        <w:numPr>
          <w:ilvl w:val="0"/>
          <w:numId w:val="5"/>
        </w:numPr>
        <w:tabs>
          <w:tab w:val="left" w:pos="470"/>
        </w:tabs>
        <w:kinsoku w:val="0"/>
        <w:overflowPunct w:val="0"/>
        <w:autoSpaceDE w:val="0"/>
        <w:autoSpaceDN w:val="0"/>
        <w:adjustRightInd w:val="0"/>
        <w:spacing w:before="7"/>
        <w:ind w:left="1178" w:hanging="355"/>
        <w:contextualSpacing w:val="0"/>
        <w:rPr>
          <w:b/>
          <w:bCs/>
          <w:i/>
          <w:iCs/>
          <w:spacing w:val="-2"/>
        </w:rPr>
      </w:pPr>
      <w:r w:rsidRPr="00816E7B">
        <w:rPr>
          <w:b/>
          <w:bCs/>
          <w:i/>
          <w:iCs/>
          <w:spacing w:val="-2"/>
        </w:rPr>
        <w:t>PROPIETARIOS</w:t>
      </w:r>
    </w:p>
    <w:p w14:paraId="021D4294" w14:textId="77777777" w:rsidR="00816E7B" w:rsidRPr="00816E7B" w:rsidRDefault="00816E7B" w:rsidP="00816E7B">
      <w:pPr>
        <w:pStyle w:val="Textoindependiente"/>
        <w:kinsoku w:val="0"/>
        <w:overflowPunct w:val="0"/>
        <w:spacing w:line="254" w:lineRule="auto"/>
        <w:ind w:left="1539" w:right="116" w:hanging="360"/>
        <w:rPr>
          <w:i/>
          <w:iCs/>
        </w:rPr>
      </w:pPr>
      <w:r w:rsidRPr="00816E7B">
        <w:rPr>
          <w:i/>
          <w:iCs/>
        </w:rPr>
        <w:t>No</w:t>
      </w:r>
      <w:r w:rsidRPr="00816E7B">
        <w:rPr>
          <w:i/>
          <w:iCs/>
          <w:spacing w:val="-1"/>
        </w:rPr>
        <w:t xml:space="preserve"> </w:t>
      </w:r>
      <w:r w:rsidRPr="00816E7B">
        <w:rPr>
          <w:i/>
          <w:iCs/>
        </w:rPr>
        <w:t>obstante</w:t>
      </w:r>
      <w:r w:rsidRPr="00816E7B">
        <w:rPr>
          <w:i/>
          <w:iCs/>
          <w:spacing w:val="-7"/>
        </w:rPr>
        <w:t xml:space="preserve"> </w:t>
      </w:r>
      <w:r w:rsidRPr="00816E7B">
        <w:rPr>
          <w:i/>
          <w:iCs/>
        </w:rPr>
        <w:t>lo</w:t>
      </w:r>
      <w:r w:rsidRPr="00816E7B">
        <w:rPr>
          <w:i/>
          <w:iCs/>
          <w:spacing w:val="-2"/>
        </w:rPr>
        <w:t xml:space="preserve"> </w:t>
      </w:r>
      <w:r w:rsidRPr="00816E7B">
        <w:rPr>
          <w:i/>
          <w:iCs/>
        </w:rPr>
        <w:t>establecido</w:t>
      </w:r>
      <w:r w:rsidRPr="00816E7B">
        <w:rPr>
          <w:i/>
          <w:iCs/>
          <w:spacing w:val="-6"/>
        </w:rPr>
        <w:t xml:space="preserve"> </w:t>
      </w:r>
      <w:r w:rsidRPr="00816E7B">
        <w:rPr>
          <w:i/>
          <w:iCs/>
        </w:rPr>
        <w:t>en las</w:t>
      </w:r>
      <w:r w:rsidRPr="00816E7B">
        <w:rPr>
          <w:i/>
          <w:iCs/>
          <w:spacing w:val="-1"/>
        </w:rPr>
        <w:t xml:space="preserve"> </w:t>
      </w:r>
      <w:r w:rsidRPr="00816E7B">
        <w:rPr>
          <w:i/>
          <w:iCs/>
        </w:rPr>
        <w:t>Condiciones</w:t>
      </w:r>
      <w:r w:rsidRPr="00816E7B">
        <w:rPr>
          <w:i/>
          <w:iCs/>
          <w:spacing w:val="-5"/>
        </w:rPr>
        <w:t xml:space="preserve"> </w:t>
      </w:r>
      <w:r w:rsidRPr="00816E7B">
        <w:rPr>
          <w:i/>
          <w:iCs/>
        </w:rPr>
        <w:t>Generales de</w:t>
      </w:r>
      <w:r w:rsidRPr="00816E7B">
        <w:rPr>
          <w:i/>
          <w:iCs/>
          <w:spacing w:val="-5"/>
        </w:rPr>
        <w:t xml:space="preserve"> </w:t>
      </w:r>
      <w:r w:rsidRPr="00816E7B">
        <w:rPr>
          <w:i/>
          <w:iCs/>
        </w:rPr>
        <w:t>la</w:t>
      </w:r>
      <w:r w:rsidRPr="00816E7B">
        <w:rPr>
          <w:i/>
          <w:iCs/>
          <w:spacing w:val="-2"/>
        </w:rPr>
        <w:t xml:space="preserve"> </w:t>
      </w:r>
      <w:r w:rsidRPr="00816E7B">
        <w:rPr>
          <w:i/>
          <w:iCs/>
        </w:rPr>
        <w:t>póliza,</w:t>
      </w:r>
      <w:r w:rsidRPr="00816E7B">
        <w:rPr>
          <w:i/>
          <w:iCs/>
          <w:spacing w:val="-4"/>
        </w:rPr>
        <w:t xml:space="preserve"> </w:t>
      </w:r>
      <w:r w:rsidRPr="00816E7B">
        <w:rPr>
          <w:i/>
          <w:iCs/>
        </w:rPr>
        <w:t>ésta</w:t>
      </w:r>
      <w:r w:rsidRPr="00816E7B">
        <w:rPr>
          <w:i/>
          <w:iCs/>
          <w:spacing w:val="-6"/>
        </w:rPr>
        <w:t xml:space="preserve"> </w:t>
      </w:r>
      <w:r w:rsidRPr="00816E7B">
        <w:rPr>
          <w:i/>
          <w:iCs/>
        </w:rPr>
        <w:t>se extiende</w:t>
      </w:r>
      <w:r w:rsidRPr="00816E7B">
        <w:rPr>
          <w:i/>
          <w:iCs/>
          <w:spacing w:val="-6"/>
        </w:rPr>
        <w:t xml:space="preserve"> </w:t>
      </w:r>
      <w:r w:rsidRPr="00816E7B">
        <w:rPr>
          <w:i/>
          <w:iCs/>
        </w:rPr>
        <w:t>a cubrir todas</w:t>
      </w:r>
      <w:r w:rsidRPr="00816E7B">
        <w:rPr>
          <w:i/>
          <w:iCs/>
          <w:spacing w:val="-5"/>
        </w:rPr>
        <w:t xml:space="preserve"> </w:t>
      </w:r>
      <w:r w:rsidRPr="00816E7B">
        <w:rPr>
          <w:i/>
          <w:iCs/>
        </w:rPr>
        <w:t>las</w:t>
      </w:r>
      <w:r w:rsidRPr="00816E7B">
        <w:rPr>
          <w:i/>
          <w:iCs/>
          <w:spacing w:val="-1"/>
        </w:rPr>
        <w:t xml:space="preserve"> </w:t>
      </w:r>
      <w:r w:rsidRPr="00816E7B">
        <w:rPr>
          <w:i/>
          <w:iCs/>
        </w:rPr>
        <w:t>cantidades</w:t>
      </w:r>
      <w:r w:rsidRPr="00816E7B">
        <w:rPr>
          <w:i/>
          <w:iCs/>
          <w:spacing w:val="-4"/>
        </w:rPr>
        <w:t xml:space="preserve"> </w:t>
      </w:r>
      <w:r w:rsidRPr="00816E7B">
        <w:rPr>
          <w:i/>
          <w:iCs/>
        </w:rPr>
        <w:t>que el</w:t>
      </w:r>
      <w:r w:rsidRPr="00816E7B">
        <w:rPr>
          <w:i/>
          <w:iCs/>
          <w:spacing w:val="-4"/>
        </w:rPr>
        <w:t xml:space="preserve"> </w:t>
      </w:r>
      <w:r w:rsidRPr="00816E7B">
        <w:rPr>
          <w:b/>
          <w:bCs/>
          <w:i/>
          <w:iCs/>
        </w:rPr>
        <w:t>Asegurado</w:t>
      </w:r>
      <w:r w:rsidRPr="00816E7B">
        <w:rPr>
          <w:b/>
          <w:bCs/>
          <w:i/>
          <w:iCs/>
          <w:spacing w:val="6"/>
        </w:rPr>
        <w:t xml:space="preserve"> </w:t>
      </w:r>
      <w:r w:rsidRPr="00816E7B">
        <w:rPr>
          <w:i/>
          <w:iCs/>
        </w:rPr>
        <w:t>tuviera legalmente que pagar</w:t>
      </w:r>
      <w:r w:rsidRPr="00816E7B">
        <w:rPr>
          <w:i/>
          <w:iCs/>
          <w:spacing w:val="7"/>
        </w:rPr>
        <w:t xml:space="preserve"> </w:t>
      </w:r>
      <w:r w:rsidRPr="00816E7B">
        <w:rPr>
          <w:i/>
          <w:iCs/>
        </w:rPr>
        <w:t>por</w:t>
      </w:r>
      <w:r w:rsidRPr="00816E7B">
        <w:rPr>
          <w:i/>
          <w:iCs/>
          <w:spacing w:val="6"/>
        </w:rPr>
        <w:t xml:space="preserve"> </w:t>
      </w:r>
      <w:r w:rsidRPr="00816E7B">
        <w:rPr>
          <w:i/>
          <w:iCs/>
        </w:rPr>
        <w:t>Responsabilidad Civil</w:t>
      </w:r>
      <w:r w:rsidRPr="00816E7B">
        <w:rPr>
          <w:i/>
          <w:iCs/>
          <w:spacing w:val="-1"/>
        </w:rPr>
        <w:t xml:space="preserve"> </w:t>
      </w:r>
      <w:r w:rsidRPr="00816E7B">
        <w:rPr>
          <w:i/>
          <w:iCs/>
        </w:rPr>
        <w:t>Extracontractual</w:t>
      </w:r>
      <w:r w:rsidRPr="00816E7B">
        <w:rPr>
          <w:i/>
          <w:iCs/>
          <w:spacing w:val="5"/>
        </w:rPr>
        <w:t xml:space="preserve"> </w:t>
      </w:r>
      <w:r w:rsidRPr="00816E7B">
        <w:rPr>
          <w:i/>
          <w:iCs/>
        </w:rPr>
        <w:t>derivada del uso de</w:t>
      </w:r>
      <w:r w:rsidRPr="00816E7B">
        <w:rPr>
          <w:i/>
          <w:iCs/>
          <w:spacing w:val="4"/>
        </w:rPr>
        <w:t xml:space="preserve"> </w:t>
      </w:r>
      <w:r w:rsidRPr="00816E7B">
        <w:rPr>
          <w:i/>
          <w:iCs/>
        </w:rPr>
        <w:t>ascensores,</w:t>
      </w:r>
      <w:r w:rsidRPr="00816E7B">
        <w:rPr>
          <w:i/>
          <w:iCs/>
          <w:spacing w:val="-3"/>
        </w:rPr>
        <w:t xml:space="preserve"> </w:t>
      </w:r>
      <w:r w:rsidRPr="00816E7B">
        <w:rPr>
          <w:i/>
          <w:iCs/>
        </w:rPr>
        <w:t>montacargas</w:t>
      </w:r>
      <w:r w:rsidRPr="00816E7B">
        <w:rPr>
          <w:i/>
          <w:iCs/>
          <w:spacing w:val="25"/>
        </w:rPr>
        <w:t xml:space="preserve"> </w:t>
      </w:r>
      <w:r w:rsidRPr="00816E7B">
        <w:rPr>
          <w:i/>
          <w:iCs/>
        </w:rPr>
        <w:t>fijos,</w:t>
      </w:r>
      <w:r w:rsidRPr="00816E7B">
        <w:rPr>
          <w:i/>
          <w:iCs/>
          <w:spacing w:val="11"/>
        </w:rPr>
        <w:t xml:space="preserve"> </w:t>
      </w:r>
      <w:r w:rsidRPr="00816E7B">
        <w:rPr>
          <w:i/>
          <w:iCs/>
        </w:rPr>
        <w:t>grúas</w:t>
      </w:r>
      <w:r w:rsidRPr="00816E7B">
        <w:rPr>
          <w:i/>
          <w:iCs/>
          <w:spacing w:val="26"/>
        </w:rPr>
        <w:t xml:space="preserve"> </w:t>
      </w:r>
      <w:r w:rsidRPr="00816E7B">
        <w:rPr>
          <w:i/>
          <w:iCs/>
        </w:rPr>
        <w:t>fijas</w:t>
      </w:r>
      <w:r w:rsidRPr="00816E7B">
        <w:rPr>
          <w:i/>
          <w:iCs/>
          <w:spacing w:val="13"/>
        </w:rPr>
        <w:t xml:space="preserve"> </w:t>
      </w:r>
      <w:r w:rsidRPr="00816E7B">
        <w:rPr>
          <w:i/>
          <w:iCs/>
        </w:rPr>
        <w:t>y</w:t>
      </w:r>
      <w:r w:rsidRPr="00816E7B">
        <w:rPr>
          <w:i/>
          <w:iCs/>
          <w:spacing w:val="22"/>
        </w:rPr>
        <w:t xml:space="preserve"> </w:t>
      </w:r>
      <w:r w:rsidRPr="00816E7B">
        <w:rPr>
          <w:i/>
          <w:iCs/>
        </w:rPr>
        <w:t>escaleras</w:t>
      </w:r>
      <w:r w:rsidRPr="00816E7B">
        <w:rPr>
          <w:i/>
          <w:iCs/>
          <w:spacing w:val="22"/>
        </w:rPr>
        <w:t xml:space="preserve"> </w:t>
      </w:r>
      <w:r w:rsidRPr="00816E7B">
        <w:rPr>
          <w:i/>
          <w:iCs/>
        </w:rPr>
        <w:t>mecánicas</w:t>
      </w:r>
      <w:r w:rsidRPr="00816E7B">
        <w:rPr>
          <w:i/>
          <w:iCs/>
          <w:spacing w:val="23"/>
        </w:rPr>
        <w:t xml:space="preserve"> </w:t>
      </w:r>
      <w:r w:rsidRPr="00816E7B">
        <w:rPr>
          <w:i/>
          <w:iCs/>
        </w:rPr>
        <w:t>fijas</w:t>
      </w:r>
      <w:r w:rsidRPr="00816E7B">
        <w:rPr>
          <w:i/>
          <w:iCs/>
          <w:spacing w:val="13"/>
        </w:rPr>
        <w:t xml:space="preserve"> </w:t>
      </w:r>
      <w:r w:rsidRPr="00816E7B">
        <w:rPr>
          <w:i/>
          <w:iCs/>
        </w:rPr>
        <w:t>específicamente</w:t>
      </w:r>
      <w:r w:rsidRPr="00816E7B">
        <w:rPr>
          <w:i/>
          <w:iCs/>
          <w:spacing w:val="18"/>
        </w:rPr>
        <w:t xml:space="preserve"> </w:t>
      </w:r>
      <w:r w:rsidRPr="00816E7B">
        <w:rPr>
          <w:i/>
          <w:iCs/>
        </w:rPr>
        <w:t>indicados</w:t>
      </w:r>
      <w:r w:rsidRPr="00816E7B">
        <w:rPr>
          <w:i/>
          <w:iCs/>
          <w:spacing w:val="18"/>
        </w:rPr>
        <w:t xml:space="preserve"> </w:t>
      </w:r>
      <w:r w:rsidRPr="00816E7B">
        <w:rPr>
          <w:i/>
          <w:iCs/>
        </w:rPr>
        <w:t>en</w:t>
      </w:r>
      <w:r w:rsidRPr="00816E7B">
        <w:rPr>
          <w:i/>
          <w:iCs/>
          <w:spacing w:val="22"/>
        </w:rPr>
        <w:t xml:space="preserve"> </w:t>
      </w:r>
      <w:r w:rsidRPr="00816E7B">
        <w:rPr>
          <w:i/>
          <w:iCs/>
        </w:rPr>
        <w:t>el</w:t>
      </w:r>
      <w:r w:rsidRPr="00816E7B">
        <w:rPr>
          <w:i/>
          <w:iCs/>
          <w:spacing w:val="16"/>
        </w:rPr>
        <w:t xml:space="preserve"> </w:t>
      </w:r>
      <w:r w:rsidRPr="00816E7B">
        <w:rPr>
          <w:i/>
          <w:iCs/>
        </w:rPr>
        <w:t>texto</w:t>
      </w:r>
      <w:r w:rsidRPr="00816E7B">
        <w:rPr>
          <w:i/>
          <w:iCs/>
          <w:spacing w:val="19"/>
        </w:rPr>
        <w:t xml:space="preserve"> </w:t>
      </w:r>
      <w:r w:rsidRPr="00816E7B">
        <w:rPr>
          <w:i/>
          <w:iCs/>
        </w:rPr>
        <w:t>de</w:t>
      </w:r>
      <w:r w:rsidRPr="00816E7B">
        <w:rPr>
          <w:i/>
          <w:iCs/>
          <w:spacing w:val="17"/>
        </w:rPr>
        <w:t xml:space="preserve"> </w:t>
      </w:r>
      <w:r w:rsidRPr="00816E7B">
        <w:rPr>
          <w:i/>
          <w:iCs/>
        </w:rPr>
        <w:t>la</w:t>
      </w:r>
      <w:r w:rsidRPr="00816E7B">
        <w:rPr>
          <w:i/>
          <w:iCs/>
          <w:spacing w:val="20"/>
        </w:rPr>
        <w:t xml:space="preserve"> </w:t>
      </w:r>
      <w:r w:rsidRPr="00816E7B">
        <w:rPr>
          <w:i/>
          <w:iCs/>
        </w:rPr>
        <w:t>póliza</w:t>
      </w:r>
      <w:r w:rsidRPr="00816E7B">
        <w:rPr>
          <w:i/>
          <w:iCs/>
          <w:spacing w:val="16"/>
        </w:rPr>
        <w:t xml:space="preserve"> </w:t>
      </w:r>
      <w:r w:rsidRPr="00816E7B">
        <w:rPr>
          <w:i/>
          <w:iCs/>
        </w:rPr>
        <w:t>en</w:t>
      </w:r>
      <w:r w:rsidRPr="00816E7B">
        <w:rPr>
          <w:i/>
          <w:iCs/>
          <w:spacing w:val="22"/>
        </w:rPr>
        <w:t xml:space="preserve"> </w:t>
      </w:r>
      <w:r w:rsidRPr="00816E7B">
        <w:rPr>
          <w:i/>
          <w:iCs/>
        </w:rPr>
        <w:t>su</w:t>
      </w:r>
      <w:r w:rsidRPr="00816E7B">
        <w:rPr>
          <w:i/>
          <w:iCs/>
          <w:spacing w:val="-4"/>
        </w:rPr>
        <w:t xml:space="preserve"> </w:t>
      </w:r>
      <w:r w:rsidRPr="00816E7B">
        <w:rPr>
          <w:i/>
          <w:iCs/>
        </w:rPr>
        <w:t>calidad</w:t>
      </w:r>
      <w:r w:rsidRPr="00816E7B">
        <w:rPr>
          <w:i/>
          <w:iCs/>
          <w:spacing w:val="-1"/>
        </w:rPr>
        <w:t xml:space="preserve"> </w:t>
      </w:r>
      <w:r w:rsidRPr="00816E7B">
        <w:rPr>
          <w:i/>
          <w:iCs/>
        </w:rPr>
        <w:t>de</w:t>
      </w:r>
      <w:r w:rsidRPr="00816E7B">
        <w:rPr>
          <w:i/>
          <w:iCs/>
          <w:spacing w:val="-5"/>
        </w:rPr>
        <w:t xml:space="preserve"> </w:t>
      </w:r>
      <w:r w:rsidRPr="00816E7B">
        <w:rPr>
          <w:i/>
          <w:iCs/>
        </w:rPr>
        <w:t>propietarios de</w:t>
      </w:r>
      <w:r w:rsidRPr="00816E7B">
        <w:rPr>
          <w:i/>
          <w:iCs/>
          <w:spacing w:val="-5"/>
        </w:rPr>
        <w:t xml:space="preserve"> </w:t>
      </w:r>
      <w:r w:rsidRPr="00816E7B">
        <w:rPr>
          <w:i/>
          <w:iCs/>
        </w:rPr>
        <w:t>los</w:t>
      </w:r>
      <w:r w:rsidRPr="00816E7B">
        <w:rPr>
          <w:i/>
          <w:iCs/>
          <w:spacing w:val="-1"/>
        </w:rPr>
        <w:t xml:space="preserve"> </w:t>
      </w:r>
      <w:r w:rsidRPr="00816E7B">
        <w:rPr>
          <w:i/>
          <w:iCs/>
        </w:rPr>
        <w:t>mismos;</w:t>
      </w:r>
      <w:r w:rsidRPr="00816E7B">
        <w:rPr>
          <w:i/>
          <w:iCs/>
          <w:spacing w:val="-5"/>
        </w:rPr>
        <w:t xml:space="preserve"> </w:t>
      </w:r>
      <w:r w:rsidRPr="00816E7B">
        <w:rPr>
          <w:i/>
          <w:iCs/>
        </w:rPr>
        <w:t>sujeto</w:t>
      </w:r>
      <w:r w:rsidRPr="00816E7B">
        <w:rPr>
          <w:i/>
          <w:iCs/>
          <w:spacing w:val="-7"/>
        </w:rPr>
        <w:t xml:space="preserve"> </w:t>
      </w:r>
      <w:r w:rsidRPr="00816E7B">
        <w:rPr>
          <w:i/>
          <w:iCs/>
        </w:rPr>
        <w:t>al</w:t>
      </w:r>
      <w:r w:rsidRPr="00816E7B">
        <w:rPr>
          <w:i/>
          <w:iCs/>
          <w:spacing w:val="-2"/>
        </w:rPr>
        <w:t xml:space="preserve"> </w:t>
      </w:r>
      <w:r w:rsidRPr="00816E7B">
        <w:rPr>
          <w:i/>
          <w:iCs/>
        </w:rPr>
        <w:t>estricto</w:t>
      </w:r>
      <w:r w:rsidRPr="00816E7B">
        <w:rPr>
          <w:i/>
          <w:iCs/>
          <w:spacing w:val="-6"/>
        </w:rPr>
        <w:t xml:space="preserve"> </w:t>
      </w:r>
      <w:r w:rsidRPr="00816E7B">
        <w:rPr>
          <w:i/>
          <w:iCs/>
        </w:rPr>
        <w:t>cumplimiento</w:t>
      </w:r>
      <w:r w:rsidRPr="00816E7B">
        <w:rPr>
          <w:i/>
          <w:iCs/>
          <w:spacing w:val="-8"/>
        </w:rPr>
        <w:t xml:space="preserve"> </w:t>
      </w:r>
      <w:r w:rsidRPr="00816E7B">
        <w:rPr>
          <w:i/>
          <w:iCs/>
        </w:rPr>
        <w:t>del</w:t>
      </w:r>
      <w:r w:rsidRPr="00816E7B">
        <w:rPr>
          <w:i/>
          <w:iCs/>
          <w:spacing w:val="-6"/>
        </w:rPr>
        <w:t xml:space="preserve"> </w:t>
      </w:r>
      <w:r w:rsidRPr="00816E7B">
        <w:rPr>
          <w:i/>
          <w:iCs/>
        </w:rPr>
        <w:t>servicio de mantenimiento</w:t>
      </w:r>
      <w:r w:rsidRPr="00816E7B">
        <w:rPr>
          <w:i/>
          <w:iCs/>
          <w:spacing w:val="-13"/>
        </w:rPr>
        <w:t xml:space="preserve"> </w:t>
      </w:r>
      <w:r w:rsidRPr="00816E7B">
        <w:rPr>
          <w:i/>
          <w:iCs/>
        </w:rPr>
        <w:t>de los</w:t>
      </w:r>
      <w:r w:rsidRPr="00816E7B">
        <w:rPr>
          <w:i/>
          <w:iCs/>
          <w:spacing w:val="-6"/>
        </w:rPr>
        <w:t xml:space="preserve"> </w:t>
      </w:r>
      <w:r w:rsidRPr="00816E7B">
        <w:rPr>
          <w:i/>
          <w:iCs/>
        </w:rPr>
        <w:t>aparatos de</w:t>
      </w:r>
      <w:r w:rsidRPr="00816E7B">
        <w:rPr>
          <w:i/>
          <w:iCs/>
          <w:spacing w:val="-4"/>
        </w:rPr>
        <w:t xml:space="preserve"> </w:t>
      </w:r>
      <w:r w:rsidRPr="00816E7B">
        <w:rPr>
          <w:i/>
          <w:iCs/>
        </w:rPr>
        <w:t>acuerdo</w:t>
      </w:r>
      <w:r w:rsidRPr="00816E7B">
        <w:rPr>
          <w:i/>
          <w:iCs/>
          <w:spacing w:val="-4"/>
        </w:rPr>
        <w:t xml:space="preserve"> </w:t>
      </w:r>
      <w:r w:rsidRPr="00816E7B">
        <w:rPr>
          <w:i/>
          <w:iCs/>
        </w:rPr>
        <w:t>con</w:t>
      </w:r>
      <w:r w:rsidRPr="00816E7B">
        <w:rPr>
          <w:i/>
          <w:iCs/>
          <w:spacing w:val="-4"/>
        </w:rPr>
        <w:t xml:space="preserve"> </w:t>
      </w:r>
      <w:r w:rsidRPr="00816E7B">
        <w:rPr>
          <w:i/>
          <w:iCs/>
        </w:rPr>
        <w:t>lo</w:t>
      </w:r>
      <w:r w:rsidRPr="00816E7B">
        <w:rPr>
          <w:i/>
          <w:iCs/>
          <w:spacing w:val="-4"/>
        </w:rPr>
        <w:t xml:space="preserve"> </w:t>
      </w:r>
      <w:r w:rsidRPr="00816E7B">
        <w:rPr>
          <w:i/>
          <w:iCs/>
        </w:rPr>
        <w:t>establecido</w:t>
      </w:r>
      <w:r w:rsidRPr="00816E7B">
        <w:rPr>
          <w:i/>
          <w:iCs/>
          <w:spacing w:val="-4"/>
        </w:rPr>
        <w:t xml:space="preserve"> </w:t>
      </w:r>
      <w:r w:rsidRPr="00816E7B">
        <w:rPr>
          <w:i/>
          <w:iCs/>
        </w:rPr>
        <w:t>por</w:t>
      </w:r>
      <w:r w:rsidRPr="00816E7B">
        <w:rPr>
          <w:i/>
          <w:iCs/>
          <w:spacing w:val="-3"/>
        </w:rPr>
        <w:t xml:space="preserve"> </w:t>
      </w:r>
      <w:r w:rsidRPr="00816E7B">
        <w:rPr>
          <w:i/>
          <w:iCs/>
        </w:rPr>
        <w:t>las</w:t>
      </w:r>
      <w:r w:rsidRPr="00816E7B">
        <w:rPr>
          <w:i/>
          <w:iCs/>
          <w:spacing w:val="-4"/>
        </w:rPr>
        <w:t xml:space="preserve"> </w:t>
      </w:r>
      <w:r w:rsidRPr="00816E7B">
        <w:rPr>
          <w:i/>
          <w:iCs/>
        </w:rPr>
        <w:t>disposiciones</w:t>
      </w:r>
      <w:r w:rsidRPr="00816E7B">
        <w:rPr>
          <w:i/>
          <w:iCs/>
          <w:spacing w:val="-4"/>
        </w:rPr>
        <w:t xml:space="preserve"> </w:t>
      </w:r>
      <w:r w:rsidRPr="00816E7B">
        <w:rPr>
          <w:i/>
          <w:iCs/>
        </w:rPr>
        <w:t>legales</w:t>
      </w:r>
      <w:r w:rsidRPr="00816E7B">
        <w:rPr>
          <w:i/>
          <w:iCs/>
          <w:spacing w:val="-4"/>
        </w:rPr>
        <w:t xml:space="preserve"> </w:t>
      </w:r>
      <w:r w:rsidRPr="00816E7B">
        <w:rPr>
          <w:i/>
          <w:iCs/>
        </w:rPr>
        <w:t>vigentes.</w:t>
      </w:r>
    </w:p>
    <w:p w14:paraId="378FD399" w14:textId="77777777" w:rsidR="00816E7B" w:rsidRPr="00816E7B" w:rsidRDefault="00816E7B" w:rsidP="00816E7B">
      <w:pPr>
        <w:pStyle w:val="Textoindependiente"/>
        <w:kinsoku w:val="0"/>
        <w:overflowPunct w:val="0"/>
        <w:spacing w:before="22"/>
        <w:ind w:left="708"/>
        <w:rPr>
          <w:i/>
          <w:iCs/>
        </w:rPr>
      </w:pPr>
    </w:p>
    <w:p w14:paraId="23B57864" w14:textId="77777777" w:rsidR="00816E7B" w:rsidRPr="00816E7B" w:rsidRDefault="00816E7B" w:rsidP="00816E7B">
      <w:pPr>
        <w:pStyle w:val="Textoindependiente"/>
        <w:kinsoku w:val="0"/>
        <w:overflowPunct w:val="0"/>
        <w:spacing w:before="1"/>
        <w:ind w:left="1179"/>
        <w:rPr>
          <w:b/>
          <w:bCs/>
          <w:i/>
          <w:iCs/>
          <w:spacing w:val="-2"/>
        </w:rPr>
      </w:pPr>
      <w:r w:rsidRPr="00816E7B">
        <w:rPr>
          <w:b/>
          <w:bCs/>
          <w:i/>
          <w:iCs/>
          <w:spacing w:val="-2"/>
        </w:rPr>
        <w:t>EXCLUSIONES</w:t>
      </w:r>
    </w:p>
    <w:p w14:paraId="03D85CB6" w14:textId="77777777" w:rsidR="00816E7B" w:rsidRPr="00816E7B" w:rsidRDefault="00816E7B" w:rsidP="00816E7B">
      <w:pPr>
        <w:pStyle w:val="Textoindependiente"/>
        <w:kinsoku w:val="0"/>
        <w:overflowPunct w:val="0"/>
        <w:spacing w:before="11"/>
        <w:ind w:left="1179"/>
        <w:rPr>
          <w:b/>
          <w:bCs/>
          <w:i/>
          <w:iCs/>
        </w:rPr>
      </w:pPr>
      <w:r w:rsidRPr="00816E7B">
        <w:rPr>
          <w:b/>
          <w:bCs/>
          <w:i/>
          <w:iCs/>
        </w:rPr>
        <w:t>El seguro otorgado bajo esta cláusula no cubre la responsabilidad derivada si:</w:t>
      </w:r>
    </w:p>
    <w:p w14:paraId="1E69776E" w14:textId="77777777" w:rsidR="00816E7B" w:rsidRPr="00816E7B" w:rsidRDefault="00816E7B" w:rsidP="00816E7B">
      <w:pPr>
        <w:pStyle w:val="Textoindependiente"/>
        <w:kinsoku w:val="0"/>
        <w:overflowPunct w:val="0"/>
        <w:spacing w:before="23"/>
        <w:ind w:left="708"/>
        <w:rPr>
          <w:b/>
          <w:bCs/>
          <w:i/>
          <w:iCs/>
        </w:rPr>
      </w:pPr>
    </w:p>
    <w:p w14:paraId="4F176B1C" w14:textId="77777777" w:rsidR="00816E7B" w:rsidRPr="00816E7B" w:rsidRDefault="00816E7B" w:rsidP="00816E7B">
      <w:pPr>
        <w:pStyle w:val="Prrafodelista"/>
        <w:numPr>
          <w:ilvl w:val="1"/>
          <w:numId w:val="5"/>
        </w:numPr>
        <w:tabs>
          <w:tab w:val="left" w:pos="830"/>
        </w:tabs>
        <w:kinsoku w:val="0"/>
        <w:overflowPunct w:val="0"/>
        <w:autoSpaceDE w:val="0"/>
        <w:autoSpaceDN w:val="0"/>
        <w:adjustRightInd w:val="0"/>
        <w:ind w:left="1538" w:hanging="359"/>
        <w:contextualSpacing w:val="0"/>
        <w:rPr>
          <w:b/>
          <w:bCs/>
          <w:i/>
          <w:iCs/>
        </w:rPr>
      </w:pPr>
      <w:r w:rsidRPr="00816E7B">
        <w:rPr>
          <w:b/>
          <w:bCs/>
          <w:i/>
          <w:iCs/>
        </w:rPr>
        <w:t>Al momento de un accidente la capacidad indicada en los aparatos ha sido transgredida.</w:t>
      </w:r>
    </w:p>
    <w:p w14:paraId="5074FB32" w14:textId="77777777" w:rsidR="00816E7B" w:rsidRPr="00816E7B" w:rsidRDefault="00816E7B" w:rsidP="00816E7B">
      <w:pPr>
        <w:jc w:val="both"/>
      </w:pPr>
    </w:p>
    <w:p w14:paraId="32D587D4" w14:textId="77777777" w:rsidR="00816E7B" w:rsidRDefault="00816E7B" w:rsidP="00816E7B">
      <w:pPr>
        <w:jc w:val="both"/>
        <w:rPr>
          <w:lang w:val="es-MX"/>
        </w:rPr>
      </w:pPr>
      <w:r w:rsidRPr="00816E7B">
        <w:rPr>
          <w:b/>
          <w:u w:val="single"/>
        </w:rPr>
        <w:t>SÉPTIMO</w:t>
      </w:r>
      <w:r w:rsidRPr="00816E7B">
        <w:rPr>
          <w:b/>
        </w:rPr>
        <w:t xml:space="preserve">: </w:t>
      </w:r>
      <w:r w:rsidRPr="00816E7B">
        <w:rPr>
          <w:bCs/>
        </w:rPr>
        <w:t xml:space="preserve">En la medida que el </w:t>
      </w:r>
      <w:r w:rsidRPr="00816E7B">
        <w:rPr>
          <w:lang w:val="es-MX"/>
        </w:rPr>
        <w:t xml:space="preserve">rechazo se fundamenta en la invocación de la indicada exclusión corresponde verificar si en el presente caso se han configurado los presupuestos </w:t>
      </w:r>
      <w:r w:rsidRPr="00816E7B">
        <w:rPr>
          <w:lang w:val="es-MX"/>
        </w:rPr>
        <w:lastRenderedPageBreak/>
        <w:t>fácticos que la materializan según los términos previstos en el contrato de seguro que vincula a las partes.</w:t>
      </w:r>
    </w:p>
    <w:p w14:paraId="31E8E465" w14:textId="77777777" w:rsidR="00816E7B" w:rsidRPr="00816E7B" w:rsidRDefault="00816E7B" w:rsidP="00816E7B">
      <w:pPr>
        <w:jc w:val="both"/>
        <w:rPr>
          <w:lang w:val="es-MX"/>
        </w:rPr>
      </w:pPr>
    </w:p>
    <w:p w14:paraId="44C8A19D" w14:textId="77777777" w:rsidR="00816E7B" w:rsidRDefault="00816E7B" w:rsidP="00816E7B">
      <w:pPr>
        <w:jc w:val="both"/>
        <w:rPr>
          <w:lang w:val="es-MX"/>
        </w:rPr>
      </w:pPr>
      <w:r w:rsidRPr="00816E7B">
        <w:rPr>
          <w:lang w:val="es-MX"/>
        </w:rPr>
        <w:t>A este efecto, se debe partir de la aplicación de una interpretación literal, tal como lo dispone la regla séptima del artículo IV de la Ley del Contrato de Seguro:</w:t>
      </w:r>
    </w:p>
    <w:p w14:paraId="54DAA5FF" w14:textId="77777777" w:rsidR="00816E7B" w:rsidRPr="00816E7B" w:rsidRDefault="00816E7B" w:rsidP="00816E7B">
      <w:pPr>
        <w:jc w:val="both"/>
        <w:rPr>
          <w:lang w:val="es-MX"/>
        </w:rPr>
      </w:pPr>
    </w:p>
    <w:p w14:paraId="5FECD674" w14:textId="77777777" w:rsidR="00816E7B" w:rsidRPr="00816E7B" w:rsidRDefault="00816E7B" w:rsidP="00816E7B">
      <w:pPr>
        <w:ind w:left="708"/>
        <w:jc w:val="both"/>
        <w:rPr>
          <w:i/>
          <w:iCs/>
          <w:lang w:val="es-MX"/>
        </w:rPr>
      </w:pPr>
      <w:r w:rsidRPr="00816E7B">
        <w:rPr>
          <w:i/>
          <w:iCs/>
          <w:lang w:val="es-MX"/>
        </w:rPr>
        <w:t>“Artículo IV. En la interpretación del contrato de seguro se aplican las reglas siguientes:</w:t>
      </w:r>
    </w:p>
    <w:p w14:paraId="1BEC18DA" w14:textId="77777777" w:rsidR="00816E7B" w:rsidRPr="00816E7B" w:rsidRDefault="00816E7B" w:rsidP="00816E7B">
      <w:pPr>
        <w:ind w:left="708"/>
        <w:jc w:val="both"/>
        <w:rPr>
          <w:i/>
          <w:iCs/>
          <w:lang w:val="es-MX"/>
        </w:rPr>
      </w:pPr>
      <w:r w:rsidRPr="00816E7B">
        <w:rPr>
          <w:i/>
          <w:iCs/>
          <w:lang w:val="es-MX"/>
        </w:rPr>
        <w:t>(…)</w:t>
      </w:r>
    </w:p>
    <w:p w14:paraId="4B822E93" w14:textId="77777777" w:rsidR="00816E7B" w:rsidRPr="00816E7B" w:rsidRDefault="00816E7B" w:rsidP="00816E7B">
      <w:pPr>
        <w:ind w:left="708"/>
        <w:jc w:val="both"/>
        <w:rPr>
          <w:i/>
          <w:iCs/>
          <w:lang w:val="es-MX"/>
        </w:rPr>
      </w:pPr>
      <w:r w:rsidRPr="00816E7B">
        <w:rPr>
          <w:i/>
          <w:iCs/>
          <w:lang w:val="es-MX"/>
        </w:rPr>
        <w:t xml:space="preserve">Séptima. La cobertura, exclusiones y, en general, la extensión del </w:t>
      </w:r>
      <w:proofErr w:type="gramStart"/>
      <w:r w:rsidRPr="00816E7B">
        <w:rPr>
          <w:i/>
          <w:iCs/>
          <w:lang w:val="es-MX"/>
        </w:rPr>
        <w:t>riesgo</w:t>
      </w:r>
      <w:proofErr w:type="gramEnd"/>
      <w:r w:rsidRPr="00816E7B">
        <w:rPr>
          <w:i/>
          <w:iCs/>
          <w:lang w:val="es-MX"/>
        </w:rPr>
        <w:t xml:space="preserve"> así como los derechos de los beneficiarios, previstos en el contrato de seguro deben interpretarse literalmente.</w:t>
      </w:r>
    </w:p>
    <w:p w14:paraId="5C418CE6" w14:textId="77777777" w:rsidR="00816E7B" w:rsidRDefault="00816E7B" w:rsidP="00816E7B">
      <w:pPr>
        <w:ind w:left="708"/>
        <w:jc w:val="both"/>
        <w:rPr>
          <w:i/>
          <w:iCs/>
          <w:lang w:val="es-MX"/>
        </w:rPr>
      </w:pPr>
      <w:r w:rsidRPr="00816E7B">
        <w:rPr>
          <w:i/>
          <w:iCs/>
          <w:lang w:val="es-MX"/>
        </w:rPr>
        <w:t>(…)”</w:t>
      </w:r>
    </w:p>
    <w:p w14:paraId="377CF783" w14:textId="77777777" w:rsidR="00816E7B" w:rsidRPr="00816E7B" w:rsidRDefault="00816E7B" w:rsidP="00816E7B">
      <w:pPr>
        <w:ind w:left="708"/>
        <w:jc w:val="both"/>
        <w:rPr>
          <w:i/>
          <w:iCs/>
          <w:lang w:val="es-MX"/>
        </w:rPr>
      </w:pPr>
    </w:p>
    <w:p w14:paraId="59C7490A" w14:textId="77777777" w:rsidR="00816E7B" w:rsidRDefault="00816E7B" w:rsidP="00816E7B">
      <w:pPr>
        <w:pStyle w:val="Prrafodelista"/>
        <w:ind w:left="0" w:right="-8"/>
        <w:jc w:val="both"/>
        <w:rPr>
          <w:lang w:val="es-ES_tradnl"/>
        </w:rPr>
      </w:pPr>
      <w:r w:rsidRPr="00816E7B">
        <w:rPr>
          <w:lang w:val="es-ES_tradnl"/>
        </w:rPr>
        <w:t>El criterio de interpretación textual o literal (artículo 168 del Código Civil</w:t>
      </w:r>
      <w:r w:rsidRPr="00816E7B">
        <w:rPr>
          <w:rStyle w:val="Refdenotaalpie"/>
          <w:lang w:val="es-ES_tradnl"/>
        </w:rPr>
        <w:footnoteReference w:id="1"/>
      </w:r>
      <w:r w:rsidRPr="00816E7B">
        <w:rPr>
          <w:lang w:val="es-ES_tradnl"/>
        </w:rPr>
        <w:t>) el cual se basa en el significado expreso de las palabras del texto y de sus conexiones sintácticas, según el código lingüístico compartido por la comunidad de parlantes a la cual pertenecen los contratantes</w:t>
      </w:r>
      <w:r w:rsidRPr="00816E7B">
        <w:rPr>
          <w:rStyle w:val="Refdenotaalpie"/>
          <w:lang w:val="es-ES_tradnl"/>
        </w:rPr>
        <w:footnoteReference w:id="2"/>
      </w:r>
      <w:r w:rsidRPr="00816E7B">
        <w:rPr>
          <w:lang w:val="es-ES_tradnl"/>
        </w:rPr>
        <w:t>.</w:t>
      </w:r>
    </w:p>
    <w:p w14:paraId="614C522C" w14:textId="77777777" w:rsidR="00816E7B" w:rsidRPr="00816E7B" w:rsidRDefault="00816E7B" w:rsidP="00816E7B">
      <w:pPr>
        <w:pStyle w:val="Prrafodelista"/>
        <w:ind w:left="0" w:right="-8"/>
        <w:jc w:val="both"/>
      </w:pPr>
    </w:p>
    <w:p w14:paraId="4D49FDA4" w14:textId="77777777" w:rsidR="00816E7B" w:rsidRPr="00816E7B" w:rsidRDefault="00816E7B" w:rsidP="00816E7B">
      <w:pPr>
        <w:pStyle w:val="Prrafodelista"/>
        <w:ind w:left="0" w:right="-8"/>
        <w:jc w:val="both"/>
      </w:pPr>
      <w:r w:rsidRPr="00816E7B">
        <w:t xml:space="preserve">El </w:t>
      </w:r>
      <w:r w:rsidRPr="00816E7B">
        <w:rPr>
          <w:rFonts w:eastAsia="Arial Unicode MS"/>
        </w:rPr>
        <w:t xml:space="preserve">artículo </w:t>
      </w:r>
      <w:r w:rsidRPr="00816E7B">
        <w:t xml:space="preserve">168 del Código Civil señala que los actos jurídicos se interpretan de acuerdo con lo expresado en ellos y en virtud del principio de la buena fe. Esta norma recoge el principio de literalidad (además del de buena fe) para la interpretación de las normas. </w:t>
      </w:r>
    </w:p>
    <w:p w14:paraId="2A9463D5" w14:textId="77777777" w:rsidR="00816E7B" w:rsidRPr="00816E7B" w:rsidRDefault="00816E7B" w:rsidP="00816E7B">
      <w:pPr>
        <w:pStyle w:val="Prrafodelista"/>
        <w:ind w:left="-314"/>
      </w:pPr>
    </w:p>
    <w:p w14:paraId="19C6A165" w14:textId="77777777" w:rsidR="00816E7B" w:rsidRPr="00816E7B" w:rsidRDefault="00816E7B" w:rsidP="00816E7B">
      <w:pPr>
        <w:pStyle w:val="Prrafodelista"/>
        <w:ind w:left="0" w:right="-8"/>
        <w:jc w:val="both"/>
      </w:pPr>
      <w:r w:rsidRPr="00816E7B">
        <w:t>Sobre este principio, el artículo 1361º del Código Civil que señala: “</w:t>
      </w:r>
      <w:r w:rsidRPr="00816E7B">
        <w:rPr>
          <w:i/>
        </w:rPr>
        <w:t>Se presume que la declaración expresada en el contrato responde a la voluntad común de las partes y quien niegue esa coincidencia debe probarla</w:t>
      </w:r>
      <w:r w:rsidRPr="00816E7B">
        <w:t>”.</w:t>
      </w:r>
    </w:p>
    <w:p w14:paraId="742A7050" w14:textId="77777777" w:rsidR="00816E7B" w:rsidRPr="00816E7B" w:rsidRDefault="00816E7B" w:rsidP="00816E7B">
      <w:pPr>
        <w:pStyle w:val="Prrafodelista"/>
        <w:ind w:left="0" w:right="-8"/>
        <w:jc w:val="both"/>
      </w:pPr>
    </w:p>
    <w:p w14:paraId="1B2397FD" w14:textId="77777777" w:rsidR="00816E7B" w:rsidRDefault="00816E7B" w:rsidP="00816E7B">
      <w:pPr>
        <w:jc w:val="both"/>
        <w:rPr>
          <w:b/>
          <w:bCs/>
        </w:rPr>
      </w:pPr>
      <w:r w:rsidRPr="00816E7B">
        <w:t>Atendiendo al significado expreso del texto de la exclusión bajo análisis, se advierte que el supuesto de hecho excluido de cobertura son todos aquellos accidentes causados cuando “</w:t>
      </w:r>
      <w:r w:rsidRPr="00816E7B">
        <w:rPr>
          <w:b/>
          <w:bCs/>
          <w:i/>
          <w:iCs/>
        </w:rPr>
        <w:t xml:space="preserve">la capacidad </w:t>
      </w:r>
      <w:r w:rsidRPr="00816E7B">
        <w:rPr>
          <w:b/>
          <w:bCs/>
          <w:i/>
          <w:iCs/>
          <w:u w:val="single"/>
        </w:rPr>
        <w:t>indicada en</w:t>
      </w:r>
      <w:r w:rsidRPr="00816E7B">
        <w:rPr>
          <w:b/>
          <w:bCs/>
          <w:i/>
          <w:iCs/>
        </w:rPr>
        <w:t xml:space="preserve"> los aparatos ha sido transgredida”</w:t>
      </w:r>
      <w:r w:rsidRPr="00816E7B">
        <w:rPr>
          <w:b/>
          <w:bCs/>
        </w:rPr>
        <w:t>.</w:t>
      </w:r>
    </w:p>
    <w:p w14:paraId="3F78DF53" w14:textId="77777777" w:rsidR="00816E7B" w:rsidRPr="00816E7B" w:rsidRDefault="00816E7B" w:rsidP="00816E7B">
      <w:pPr>
        <w:jc w:val="both"/>
      </w:pPr>
    </w:p>
    <w:p w14:paraId="3F8A802E" w14:textId="77777777" w:rsidR="00816E7B" w:rsidRDefault="00816E7B" w:rsidP="00816E7B">
      <w:pPr>
        <w:jc w:val="both"/>
        <w:rPr>
          <w:lang w:val="es-MX"/>
        </w:rPr>
      </w:pPr>
      <w:r w:rsidRPr="00816E7B">
        <w:rPr>
          <w:lang w:val="es-MX"/>
        </w:rPr>
        <w:t>Bajo esos términos, un requisito fáctico para la aplicación de la exclusión es que la información o data sobre la capacidad de los aparatos (grúa) que no puede ser trasgredida debe necesariamente estar “</w:t>
      </w:r>
      <w:r w:rsidRPr="00816E7B">
        <w:rPr>
          <w:b/>
          <w:bCs/>
          <w:i/>
          <w:iCs/>
          <w:u w:val="single"/>
          <w:lang w:val="es-MX"/>
        </w:rPr>
        <w:t>indicada en</w:t>
      </w:r>
      <w:r w:rsidRPr="00816E7B">
        <w:rPr>
          <w:lang w:val="es-MX"/>
        </w:rPr>
        <w:t>” estos.</w:t>
      </w:r>
    </w:p>
    <w:p w14:paraId="27B13EB9" w14:textId="77777777" w:rsidR="00816E7B" w:rsidRPr="00816E7B" w:rsidRDefault="00816E7B" w:rsidP="00816E7B">
      <w:pPr>
        <w:jc w:val="both"/>
        <w:rPr>
          <w:lang w:val="es-MX"/>
        </w:rPr>
      </w:pPr>
    </w:p>
    <w:p w14:paraId="3F643230" w14:textId="77777777" w:rsidR="00816E7B" w:rsidRDefault="00816E7B" w:rsidP="00816E7B">
      <w:pPr>
        <w:jc w:val="both"/>
        <w:rPr>
          <w:lang w:val="es-MX"/>
        </w:rPr>
      </w:pPr>
      <w:r w:rsidRPr="00816E7B">
        <w:rPr>
          <w:lang w:val="es-MX"/>
        </w:rPr>
        <w:t>Es así como al utilizarse expresamente la preposición “en”, resulta evidente que la cláusula pre redactada por la aseguradora no lo ha sido en términos amplios, sino muy precisos y limitativos respecto a donde debe encontrarse la información de la capacidad trasgredida al momento de uso del aparato (grúa) objeto de cobertura.</w:t>
      </w:r>
    </w:p>
    <w:p w14:paraId="43714B58" w14:textId="77777777" w:rsidR="00816E7B" w:rsidRPr="00816E7B" w:rsidRDefault="00816E7B" w:rsidP="00816E7B">
      <w:pPr>
        <w:jc w:val="both"/>
        <w:rPr>
          <w:lang w:val="es-MX"/>
        </w:rPr>
      </w:pPr>
    </w:p>
    <w:p w14:paraId="01E62E3D" w14:textId="77777777" w:rsidR="00816E7B" w:rsidRPr="00816E7B" w:rsidRDefault="00816E7B" w:rsidP="00816E7B">
      <w:pPr>
        <w:jc w:val="both"/>
        <w:rPr>
          <w:lang w:val="es-MX"/>
        </w:rPr>
      </w:pPr>
      <w:r w:rsidRPr="00816E7B">
        <w:rPr>
          <w:lang w:val="es-MX"/>
        </w:rPr>
        <w:t>En efecto, de acuerdo con el Diccionario de la lengua española de la Real Academia Española, dicha preposición denota en qué lugar, tiempo o modo se realiza lo expresado por el verbo a que se refiere. En ese sentido, la preposición “en” se utiliza para indicar el momento o el lugar de una acción, de un estado o de un proceso.</w:t>
      </w:r>
    </w:p>
    <w:p w14:paraId="7688829E" w14:textId="77777777" w:rsidR="00816E7B" w:rsidRDefault="00816E7B" w:rsidP="00816E7B">
      <w:pPr>
        <w:jc w:val="both"/>
        <w:rPr>
          <w:lang w:val="es-MX"/>
        </w:rPr>
      </w:pPr>
      <w:r w:rsidRPr="00816E7B">
        <w:rPr>
          <w:lang w:val="es-MX"/>
        </w:rPr>
        <w:lastRenderedPageBreak/>
        <w:t xml:space="preserve">Es decir, al redactarse la exclusión con la preposición “en” expresamente se pactó que el “lugar” en que debe estar “indicada” la capacidad es en los propios aparatos (grúa). </w:t>
      </w:r>
    </w:p>
    <w:p w14:paraId="5F5832B6" w14:textId="77777777" w:rsidR="00816E7B" w:rsidRPr="00816E7B" w:rsidRDefault="00816E7B" w:rsidP="00816E7B">
      <w:pPr>
        <w:jc w:val="both"/>
        <w:rPr>
          <w:lang w:val="es-MX"/>
        </w:rPr>
      </w:pPr>
    </w:p>
    <w:p w14:paraId="6E07EAE6" w14:textId="77777777" w:rsidR="00816E7B" w:rsidRDefault="00816E7B" w:rsidP="00816E7B">
      <w:pPr>
        <w:jc w:val="both"/>
        <w:rPr>
          <w:lang w:val="es-MX"/>
        </w:rPr>
      </w:pPr>
      <w:r w:rsidRPr="00816E7B">
        <w:rPr>
          <w:lang w:val="es-MX"/>
        </w:rPr>
        <w:t xml:space="preserve">Por lo tanto, tal como ha sido redactada la cláusula de exclusión por la aseguradora, no es suficiente probar que se ha trasgredido la capacidad indicada para los aparatos (grúa), sino que además es menester acreditar que dicha capacidad estaba indicada “en” el aparato mismo. </w:t>
      </w:r>
    </w:p>
    <w:p w14:paraId="39A6D2B4" w14:textId="77777777" w:rsidR="00816E7B" w:rsidRPr="00816E7B" w:rsidRDefault="00816E7B" w:rsidP="00816E7B">
      <w:pPr>
        <w:jc w:val="both"/>
        <w:rPr>
          <w:lang w:val="es-MX"/>
        </w:rPr>
      </w:pPr>
    </w:p>
    <w:p w14:paraId="40CB61EE" w14:textId="77777777" w:rsidR="00816E7B" w:rsidRDefault="00816E7B" w:rsidP="00816E7B">
      <w:pPr>
        <w:jc w:val="both"/>
        <w:rPr>
          <w:lang w:val="es-MX"/>
        </w:rPr>
      </w:pPr>
      <w:r w:rsidRPr="00816E7B">
        <w:rPr>
          <w:lang w:val="es-MX"/>
        </w:rPr>
        <w:t>De manera que si no se acredita que en el propio aparato (grúa) estaba indicada la capacidad, la exclusión no podrá ser aplicada.</w:t>
      </w:r>
    </w:p>
    <w:p w14:paraId="7CE9F1D8" w14:textId="77777777" w:rsidR="00816E7B" w:rsidRPr="00816E7B" w:rsidRDefault="00816E7B" w:rsidP="00816E7B">
      <w:pPr>
        <w:jc w:val="both"/>
        <w:rPr>
          <w:lang w:val="es-MX"/>
        </w:rPr>
      </w:pPr>
    </w:p>
    <w:p w14:paraId="5578C259" w14:textId="77777777" w:rsidR="00816E7B" w:rsidRDefault="00816E7B" w:rsidP="00816E7B">
      <w:pPr>
        <w:jc w:val="both"/>
      </w:pPr>
      <w:r w:rsidRPr="00816E7B">
        <w:rPr>
          <w:b/>
          <w:u w:val="single"/>
        </w:rPr>
        <w:t>OCTAVO</w:t>
      </w:r>
      <w:r w:rsidRPr="00816E7B">
        <w:rPr>
          <w:b/>
        </w:rPr>
        <w:t xml:space="preserve">: </w:t>
      </w:r>
      <w:r w:rsidRPr="00816E7B">
        <w:rPr>
          <w:bCs/>
        </w:rPr>
        <w:t xml:space="preserve">Es un hecho no controvertido que el siniestro se produjo como consecuencia de </w:t>
      </w:r>
      <w:r w:rsidRPr="00816E7B">
        <w:t xml:space="preserve">haberse transgredido la capacidad de la grúa al momento de realizar los trabajos de </w:t>
      </w:r>
      <w:proofErr w:type="spellStart"/>
      <w:r w:rsidRPr="00816E7B">
        <w:t>izaje</w:t>
      </w:r>
      <w:proofErr w:type="spellEnd"/>
      <w:r w:rsidRPr="00816E7B">
        <w:t>, debido al error de cálculo de parte de los operadores de la grúa que consideraron un peso erróneo en los aparejos de la grúa (de 300 kg en lugar de 800 kg).</w:t>
      </w:r>
    </w:p>
    <w:p w14:paraId="4EE3863B" w14:textId="77777777" w:rsidR="00816E7B" w:rsidRPr="00816E7B" w:rsidRDefault="00816E7B" w:rsidP="00816E7B">
      <w:pPr>
        <w:jc w:val="both"/>
      </w:pPr>
    </w:p>
    <w:p w14:paraId="14C4B6D6" w14:textId="32216696" w:rsidR="00816E7B" w:rsidRPr="00816E7B" w:rsidRDefault="00816E7B" w:rsidP="00816E7B">
      <w:pPr>
        <w:pStyle w:val="Default"/>
        <w:jc w:val="both"/>
        <w:rPr>
          <w:rFonts w:ascii="Times New Roman" w:hAnsi="Times New Roman" w:cs="Times New Roman"/>
          <w:noProof/>
        </w:rPr>
      </w:pPr>
      <w:r w:rsidRPr="00816E7B">
        <w:rPr>
          <w:rFonts w:ascii="Times New Roman" w:hAnsi="Times New Roman" w:cs="Times New Roman"/>
          <w:noProof/>
        </w:rPr>
        <w:drawing>
          <wp:inline distT="0" distB="0" distL="0" distR="0" wp14:anchorId="75A92ABE" wp14:editId="5E9FC3A4">
            <wp:extent cx="5580380" cy="2232025"/>
            <wp:effectExtent l="0" t="0" r="1270" b="0"/>
            <wp:docPr id="974891876"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232025"/>
                    </a:xfrm>
                    <a:prstGeom prst="rect">
                      <a:avLst/>
                    </a:prstGeom>
                    <a:noFill/>
                    <a:ln>
                      <a:noFill/>
                    </a:ln>
                  </pic:spPr>
                </pic:pic>
              </a:graphicData>
            </a:graphic>
          </wp:inline>
        </w:drawing>
      </w:r>
    </w:p>
    <w:p w14:paraId="59A6F5CD" w14:textId="77777777" w:rsidR="00816E7B" w:rsidRPr="00816E7B" w:rsidRDefault="00816E7B" w:rsidP="00816E7B">
      <w:pPr>
        <w:pStyle w:val="Default"/>
        <w:jc w:val="both"/>
        <w:rPr>
          <w:rFonts w:ascii="Times New Roman" w:hAnsi="Times New Roman" w:cs="Times New Roman"/>
          <w:noProof/>
        </w:rPr>
      </w:pPr>
    </w:p>
    <w:p w14:paraId="75308CF1" w14:textId="77777777" w:rsidR="00816E7B" w:rsidRPr="00816E7B" w:rsidRDefault="00816E7B" w:rsidP="00816E7B">
      <w:pPr>
        <w:autoSpaceDE w:val="0"/>
        <w:autoSpaceDN w:val="0"/>
        <w:adjustRightInd w:val="0"/>
        <w:jc w:val="both"/>
        <w:rPr>
          <w:i/>
          <w:iCs/>
        </w:rPr>
      </w:pPr>
      <w:r w:rsidRPr="00816E7B">
        <w:rPr>
          <w:i/>
          <w:iCs/>
        </w:rPr>
        <w:t>Permiso de trabajo firmado por el asegurado:</w:t>
      </w:r>
    </w:p>
    <w:p w14:paraId="629BE0BA" w14:textId="5D88C89E" w:rsidR="00816E7B" w:rsidRPr="00816E7B" w:rsidRDefault="00816E7B" w:rsidP="00816E7B">
      <w:pPr>
        <w:autoSpaceDE w:val="0"/>
        <w:autoSpaceDN w:val="0"/>
        <w:adjustRightInd w:val="0"/>
        <w:jc w:val="both"/>
        <w:rPr>
          <w:lang w:eastAsia="es-PE"/>
        </w:rPr>
      </w:pPr>
      <w:r w:rsidRPr="00816E7B">
        <w:rPr>
          <w:noProof/>
        </w:rPr>
        <w:drawing>
          <wp:inline distT="0" distB="0" distL="0" distR="0" wp14:anchorId="75D9C005" wp14:editId="149CC6F1">
            <wp:extent cx="5580380" cy="1544320"/>
            <wp:effectExtent l="0" t="0" r="1270" b="0"/>
            <wp:docPr id="98848489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544320"/>
                    </a:xfrm>
                    <a:prstGeom prst="rect">
                      <a:avLst/>
                    </a:prstGeom>
                    <a:noFill/>
                    <a:ln>
                      <a:noFill/>
                    </a:ln>
                  </pic:spPr>
                </pic:pic>
              </a:graphicData>
            </a:graphic>
          </wp:inline>
        </w:drawing>
      </w:r>
    </w:p>
    <w:p w14:paraId="11091E0F" w14:textId="77777777" w:rsidR="00816E7B" w:rsidRPr="00816E7B" w:rsidRDefault="00816E7B" w:rsidP="00816E7B">
      <w:pPr>
        <w:autoSpaceDE w:val="0"/>
        <w:autoSpaceDN w:val="0"/>
        <w:adjustRightInd w:val="0"/>
        <w:jc w:val="both"/>
        <w:rPr>
          <w:lang w:eastAsia="es-PE"/>
        </w:rPr>
      </w:pPr>
    </w:p>
    <w:p w14:paraId="25D2DACD" w14:textId="6F156537" w:rsidR="00816E7B" w:rsidRPr="00816E7B" w:rsidRDefault="00816E7B" w:rsidP="00816E7B">
      <w:pPr>
        <w:pStyle w:val="Default"/>
        <w:jc w:val="both"/>
        <w:rPr>
          <w:rFonts w:ascii="Times New Roman" w:hAnsi="Times New Roman" w:cs="Times New Roman"/>
        </w:rPr>
      </w:pPr>
      <w:r w:rsidRPr="00816E7B">
        <w:rPr>
          <w:rFonts w:ascii="Times New Roman" w:hAnsi="Times New Roman" w:cs="Times New Roman"/>
          <w:noProof/>
        </w:rPr>
        <w:drawing>
          <wp:inline distT="0" distB="0" distL="0" distR="0" wp14:anchorId="3DA8698A" wp14:editId="5EC2B7E3">
            <wp:extent cx="5580380" cy="1099185"/>
            <wp:effectExtent l="0" t="0" r="1270" b="5715"/>
            <wp:docPr id="5586398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099185"/>
                    </a:xfrm>
                    <a:prstGeom prst="rect">
                      <a:avLst/>
                    </a:prstGeom>
                    <a:noFill/>
                    <a:ln>
                      <a:noFill/>
                    </a:ln>
                  </pic:spPr>
                </pic:pic>
              </a:graphicData>
            </a:graphic>
          </wp:inline>
        </w:drawing>
      </w:r>
    </w:p>
    <w:p w14:paraId="2520AA8A" w14:textId="77777777" w:rsidR="00816E7B" w:rsidRPr="00816E7B" w:rsidRDefault="00816E7B" w:rsidP="00816E7B">
      <w:pPr>
        <w:pStyle w:val="Default"/>
        <w:jc w:val="both"/>
        <w:rPr>
          <w:rFonts w:ascii="Times New Roman" w:hAnsi="Times New Roman" w:cs="Times New Roman"/>
        </w:rPr>
      </w:pPr>
    </w:p>
    <w:p w14:paraId="713B2F38" w14:textId="77777777" w:rsidR="00816E7B" w:rsidRPr="00816E7B" w:rsidRDefault="00816E7B" w:rsidP="00816E7B">
      <w:pPr>
        <w:pStyle w:val="Default"/>
        <w:jc w:val="both"/>
        <w:rPr>
          <w:rFonts w:ascii="Times New Roman" w:hAnsi="Times New Roman" w:cs="Times New Roman"/>
        </w:rPr>
      </w:pPr>
    </w:p>
    <w:p w14:paraId="068F754D" w14:textId="77777777" w:rsidR="00816E7B" w:rsidRPr="00816E7B" w:rsidRDefault="00816E7B" w:rsidP="00816E7B">
      <w:pPr>
        <w:pStyle w:val="Default"/>
        <w:jc w:val="both"/>
        <w:rPr>
          <w:rFonts w:ascii="Times New Roman" w:hAnsi="Times New Roman" w:cs="Times New Roman"/>
        </w:rPr>
      </w:pPr>
      <w:r w:rsidRPr="00816E7B">
        <w:rPr>
          <w:rFonts w:ascii="Times New Roman" w:hAnsi="Times New Roman" w:cs="Times New Roman"/>
        </w:rPr>
        <w:t>Sin embargo, el hecho de haberse transgredido la capacidad operativa del equipo no es condición suficiente para aplicar la exclusión contenida en la Cláusula de Ascensores, Montacargas, Grúas y Escaleras Mecánicas Fijas de la Póliza de Responsabilidad Civil.</w:t>
      </w:r>
    </w:p>
    <w:p w14:paraId="4893CB7C" w14:textId="77777777" w:rsidR="00816E7B" w:rsidRPr="00816E7B" w:rsidRDefault="00816E7B" w:rsidP="00816E7B">
      <w:pPr>
        <w:pStyle w:val="Default"/>
        <w:jc w:val="both"/>
        <w:rPr>
          <w:rFonts w:ascii="Times New Roman" w:hAnsi="Times New Roman" w:cs="Times New Roman"/>
        </w:rPr>
      </w:pPr>
    </w:p>
    <w:p w14:paraId="68F23CF2" w14:textId="77777777" w:rsidR="00816E7B" w:rsidRPr="00816E7B" w:rsidRDefault="00816E7B" w:rsidP="00816E7B">
      <w:pPr>
        <w:pStyle w:val="Default"/>
        <w:jc w:val="both"/>
        <w:rPr>
          <w:rFonts w:ascii="Times New Roman" w:hAnsi="Times New Roman" w:cs="Times New Roman"/>
        </w:rPr>
      </w:pPr>
      <w:r w:rsidRPr="00816E7B">
        <w:rPr>
          <w:rFonts w:ascii="Times New Roman" w:hAnsi="Times New Roman" w:cs="Times New Roman"/>
        </w:rPr>
        <w:t>En efecto, como se ha analizado, el texto expreso de la indicada cláusula limita el supuesto de hecho excluido a los casos en que la capacidad operativa haya estado “</w:t>
      </w:r>
      <w:r w:rsidRPr="00816E7B">
        <w:rPr>
          <w:rFonts w:ascii="Times New Roman" w:hAnsi="Times New Roman" w:cs="Times New Roman"/>
          <w:b/>
          <w:bCs/>
          <w:i/>
          <w:iCs/>
          <w:u w:val="single"/>
        </w:rPr>
        <w:t>indicada en los aparatos</w:t>
      </w:r>
      <w:r w:rsidRPr="00816E7B">
        <w:rPr>
          <w:rFonts w:ascii="Times New Roman" w:hAnsi="Times New Roman" w:cs="Times New Roman"/>
          <w:i/>
          <w:iCs/>
        </w:rPr>
        <w:t xml:space="preserve">” </w:t>
      </w:r>
      <w:r w:rsidRPr="00816E7B">
        <w:rPr>
          <w:rFonts w:ascii="Times New Roman" w:hAnsi="Times New Roman" w:cs="Times New Roman"/>
        </w:rPr>
        <w:t xml:space="preserve">como se requiere para la aplicación de la mencionada cláusula. </w:t>
      </w:r>
    </w:p>
    <w:p w14:paraId="3018F525" w14:textId="77777777" w:rsidR="00816E7B" w:rsidRPr="00816E7B" w:rsidRDefault="00816E7B" w:rsidP="00816E7B">
      <w:pPr>
        <w:pStyle w:val="Default"/>
        <w:jc w:val="both"/>
        <w:rPr>
          <w:rFonts w:ascii="Times New Roman" w:hAnsi="Times New Roman" w:cs="Times New Roman"/>
        </w:rPr>
      </w:pPr>
    </w:p>
    <w:p w14:paraId="48814F21" w14:textId="77777777" w:rsidR="00816E7B" w:rsidRPr="00816E7B" w:rsidRDefault="00816E7B" w:rsidP="00816E7B">
      <w:pPr>
        <w:pStyle w:val="Default"/>
        <w:jc w:val="both"/>
        <w:rPr>
          <w:rFonts w:ascii="Times New Roman" w:hAnsi="Times New Roman" w:cs="Times New Roman"/>
        </w:rPr>
      </w:pPr>
      <w:r w:rsidRPr="00816E7B">
        <w:rPr>
          <w:rFonts w:ascii="Times New Roman" w:hAnsi="Times New Roman" w:cs="Times New Roman"/>
        </w:rPr>
        <w:t>Por lo tanto, al haberse probado que la capacidad operativa transgredida haya estado indicada en el aparato (grúa), la exclusión invocada por la aseguradora no es aplicable al presente siniestro.</w:t>
      </w:r>
    </w:p>
    <w:p w14:paraId="23C571CB" w14:textId="77777777" w:rsidR="00816E7B" w:rsidRPr="00816E7B" w:rsidRDefault="00816E7B" w:rsidP="00816E7B">
      <w:pPr>
        <w:pStyle w:val="Default"/>
        <w:jc w:val="both"/>
        <w:rPr>
          <w:rFonts w:ascii="Times New Roman" w:hAnsi="Times New Roman" w:cs="Times New Roman"/>
        </w:rPr>
      </w:pPr>
    </w:p>
    <w:p w14:paraId="68AB3330" w14:textId="0C19BE82" w:rsidR="00816E7B" w:rsidRPr="00816E7B" w:rsidRDefault="00816E7B" w:rsidP="00816E7B">
      <w:pPr>
        <w:pStyle w:val="Textoindependiente"/>
        <w:kinsoku w:val="0"/>
        <w:overflowPunct w:val="0"/>
        <w:spacing w:before="18"/>
      </w:pPr>
      <w:r w:rsidRPr="00816E7B">
        <w:t xml:space="preserve">En ese sentido, las razones de rechazo que invoca la aseguradora en la carta </w:t>
      </w:r>
      <w:r w:rsidR="00E825D1">
        <w:t xml:space="preserve">……………… </w:t>
      </w:r>
      <w:r w:rsidRPr="00816E7B">
        <w:t>2023 mediante la cual deniega la atención de la reclamación carecen de fundamento amparable en los términos de cobertura.</w:t>
      </w:r>
      <w:bookmarkStart w:id="0" w:name="Señores"/>
      <w:bookmarkStart w:id="1" w:name="GRÚAS_ALTES_S.A.C."/>
      <w:bookmarkStart w:id="2" w:name="Cal._German_Schereiber_Nro._276_Urb._San"/>
      <w:bookmarkStart w:id="3" w:name="Lima.-"/>
      <w:bookmarkStart w:id="4" w:name="LPG.SINIESTROS.LIM_N_519-2023"/>
      <w:bookmarkEnd w:id="0"/>
      <w:bookmarkEnd w:id="1"/>
      <w:bookmarkEnd w:id="2"/>
      <w:bookmarkEnd w:id="3"/>
      <w:bookmarkEnd w:id="4"/>
    </w:p>
    <w:p w14:paraId="0AD7AC5B" w14:textId="77777777" w:rsidR="00816E7B" w:rsidRPr="00816E7B" w:rsidRDefault="00816E7B" w:rsidP="00816E7B">
      <w:pPr>
        <w:pStyle w:val="Textoindependiente"/>
        <w:kinsoku w:val="0"/>
        <w:overflowPunct w:val="0"/>
        <w:spacing w:before="18"/>
      </w:pPr>
    </w:p>
    <w:p w14:paraId="0EFBD276" w14:textId="77777777" w:rsidR="00816E7B" w:rsidRPr="00816E7B" w:rsidRDefault="00816E7B" w:rsidP="00816E7B">
      <w:pPr>
        <w:pStyle w:val="Textoindependiente"/>
        <w:kinsoku w:val="0"/>
        <w:overflowPunct w:val="0"/>
        <w:spacing w:before="18"/>
      </w:pPr>
      <w:r w:rsidRPr="00816E7B">
        <w:t>EN CONSECUENCIA, ESTE COLEGIADO CONCLUYE SU APRECIACIÓN RAZONADA Y CONJUNTA AL AMPARO DE LO ESTABLECIDO EN SU REGLAMENTO, POR LO QUE;</w:t>
      </w:r>
    </w:p>
    <w:p w14:paraId="6DC5C391" w14:textId="77777777" w:rsidR="00816E7B" w:rsidRPr="00816E7B" w:rsidRDefault="00816E7B" w:rsidP="00816E7B">
      <w:pPr>
        <w:jc w:val="both"/>
        <w:rPr>
          <w:b/>
        </w:rPr>
      </w:pPr>
    </w:p>
    <w:p w14:paraId="56EC958C" w14:textId="77777777" w:rsidR="00816E7B" w:rsidRDefault="00816E7B" w:rsidP="00816E7B">
      <w:pPr>
        <w:jc w:val="both"/>
        <w:rPr>
          <w:b/>
        </w:rPr>
      </w:pPr>
      <w:r w:rsidRPr="00816E7B">
        <w:rPr>
          <w:b/>
        </w:rPr>
        <w:t>RESUELVE:</w:t>
      </w:r>
    </w:p>
    <w:p w14:paraId="12714855" w14:textId="77777777" w:rsidR="00816E7B" w:rsidRPr="00816E7B" w:rsidRDefault="00816E7B" w:rsidP="00816E7B">
      <w:pPr>
        <w:jc w:val="both"/>
        <w:rPr>
          <w:b/>
        </w:rPr>
      </w:pPr>
    </w:p>
    <w:p w14:paraId="4D321013" w14:textId="25D193DC" w:rsidR="00816E7B" w:rsidRPr="00816E7B" w:rsidRDefault="00816E7B" w:rsidP="00816E7B">
      <w:pPr>
        <w:jc w:val="both"/>
        <w:rPr>
          <w:bCs/>
        </w:rPr>
      </w:pPr>
      <w:r w:rsidRPr="00816E7B">
        <w:rPr>
          <w:rFonts w:eastAsia="Arial Unicode MS"/>
        </w:rPr>
        <w:t xml:space="preserve">Declarar </w:t>
      </w:r>
      <w:r w:rsidRPr="00816E7B">
        <w:rPr>
          <w:rFonts w:eastAsia="Arial Unicode MS"/>
          <w:b/>
        </w:rPr>
        <w:t>FUNDADA</w:t>
      </w:r>
      <w:r w:rsidRPr="00816E7B">
        <w:rPr>
          <w:rFonts w:eastAsia="Arial Unicode MS"/>
        </w:rPr>
        <w:t xml:space="preserve"> la reclamación interpuesta por</w:t>
      </w:r>
      <w:r w:rsidRPr="00816E7B">
        <w:t xml:space="preserve"> </w:t>
      </w:r>
      <w:r w:rsidR="00282B1B">
        <w:t xml:space="preserve">……………… </w:t>
      </w:r>
      <w:r w:rsidR="00282B1B">
        <w:t xml:space="preserve"> </w:t>
      </w:r>
      <w:r w:rsidRPr="00816E7B">
        <w:t xml:space="preserve">contra </w:t>
      </w:r>
      <w:r w:rsidR="00282B1B">
        <w:t>………………</w:t>
      </w:r>
      <w:r w:rsidRPr="00816E7B">
        <w:rPr>
          <w:lang w:val="es-MX"/>
        </w:rPr>
        <w:t xml:space="preserve">, debiendo la aseguradora  </w:t>
      </w:r>
      <w:r w:rsidRPr="00816E7B">
        <w:rPr>
          <w:b/>
          <w:bCs/>
          <w:lang w:val="es-MX"/>
        </w:rPr>
        <w:t xml:space="preserve"> </w:t>
      </w:r>
      <w:r w:rsidRPr="00816E7B">
        <w:rPr>
          <w:lang w:val="es-MX"/>
        </w:rPr>
        <w:t xml:space="preserve">brindar la cobertura </w:t>
      </w:r>
      <w:r w:rsidRPr="00816E7B">
        <w:t xml:space="preserve">por siniestro ocurrido el 18 de octubre de 2021, correspondiente al </w:t>
      </w:r>
      <w:r w:rsidRPr="00816E7B">
        <w:rPr>
          <w:b/>
          <w:lang w:val="es-MX"/>
        </w:rPr>
        <w:t xml:space="preserve">SEGURO RESPONSABILIDAD CIVIL – PÓLIZA No </w:t>
      </w:r>
      <w:r w:rsidR="00282B1B">
        <w:t>………………</w:t>
      </w:r>
      <w:r w:rsidRPr="00816E7B">
        <w:rPr>
          <w:bCs/>
          <w:lang w:val="es-MX"/>
        </w:rPr>
        <w:t>.</w:t>
      </w:r>
    </w:p>
    <w:p w14:paraId="70E046FE" w14:textId="77777777" w:rsidR="00F15FBA" w:rsidRPr="00816E7B" w:rsidRDefault="00F15FBA" w:rsidP="00F15FBA">
      <w:pPr>
        <w:jc w:val="right"/>
        <w:outlineLvl w:val="0"/>
        <w:rPr>
          <w:lang w:val="es-PE"/>
        </w:rPr>
      </w:pPr>
      <w:r w:rsidRPr="00816E7B">
        <w:rPr>
          <w:lang w:val="es-PE"/>
        </w:rPr>
        <w:t xml:space="preserve"> </w:t>
      </w:r>
    </w:p>
    <w:p w14:paraId="48C7895B" w14:textId="66AAC44E" w:rsidR="001631D6" w:rsidRPr="00816E7B" w:rsidRDefault="00F15FBA" w:rsidP="00F202DC">
      <w:pPr>
        <w:jc w:val="right"/>
        <w:outlineLvl w:val="0"/>
        <w:rPr>
          <w:lang w:val="es-PE"/>
        </w:rPr>
      </w:pPr>
      <w:r w:rsidRPr="00816E7B">
        <w:rPr>
          <w:lang w:val="es-PE"/>
        </w:rPr>
        <w:t xml:space="preserve">Lima, </w:t>
      </w:r>
      <w:r w:rsidR="00C55A2D" w:rsidRPr="00816E7B">
        <w:t>15</w:t>
      </w:r>
      <w:r w:rsidR="00195646" w:rsidRPr="00816E7B">
        <w:t xml:space="preserve"> </w:t>
      </w:r>
      <w:r w:rsidRPr="00816E7B">
        <w:rPr>
          <w:lang w:val="es-PE"/>
        </w:rPr>
        <w:t>de</w:t>
      </w:r>
      <w:r w:rsidR="001631D6" w:rsidRPr="00816E7B">
        <w:rPr>
          <w:lang w:val="es-PE"/>
        </w:rPr>
        <w:t xml:space="preserve"> </w:t>
      </w:r>
      <w:r w:rsidR="003E6BA6" w:rsidRPr="00816E7B">
        <w:rPr>
          <w:lang w:val="es-PE"/>
        </w:rPr>
        <w:t>en</w:t>
      </w:r>
      <w:r w:rsidR="00807D21" w:rsidRPr="00816E7B">
        <w:rPr>
          <w:lang w:val="es-PE"/>
        </w:rPr>
        <w:t>ero</w:t>
      </w:r>
      <w:r w:rsidR="001631D6" w:rsidRPr="00816E7B">
        <w:rPr>
          <w:lang w:val="es-PE"/>
        </w:rPr>
        <w:t xml:space="preserve"> </w:t>
      </w:r>
      <w:r w:rsidRPr="00816E7B">
        <w:rPr>
          <w:lang w:val="es-PE"/>
        </w:rPr>
        <w:t>de 20</w:t>
      </w:r>
      <w:r w:rsidR="001631D6" w:rsidRPr="00816E7B">
        <w:rPr>
          <w:lang w:val="es-PE"/>
        </w:rPr>
        <w:t>2</w:t>
      </w:r>
      <w:r w:rsidR="00E82564" w:rsidRPr="00816E7B">
        <w:rPr>
          <w:lang w:val="es-PE"/>
        </w:rPr>
        <w:t>4</w:t>
      </w:r>
    </w:p>
    <w:p w14:paraId="30F8D459" w14:textId="2A212DE5" w:rsidR="001631D6" w:rsidRPr="00816E7B" w:rsidRDefault="001631D6" w:rsidP="001631D6">
      <w:pPr>
        <w:jc w:val="both"/>
      </w:pPr>
    </w:p>
    <w:p w14:paraId="55EA6443" w14:textId="77777777" w:rsidR="00F202DC" w:rsidRPr="00816E7B" w:rsidRDefault="00F202DC" w:rsidP="001631D6">
      <w:pPr>
        <w:jc w:val="both"/>
      </w:pPr>
    </w:p>
    <w:p w14:paraId="54F717D9" w14:textId="77777777" w:rsidR="001631D6" w:rsidRPr="00816E7B" w:rsidRDefault="001631D6" w:rsidP="001631D6">
      <w:pPr>
        <w:jc w:val="both"/>
        <w:rPr>
          <w:b/>
          <w:bCs/>
          <w:i/>
          <w:iCs/>
          <w:lang w:val="es-ES_tradnl"/>
        </w:rPr>
      </w:pPr>
      <w:r w:rsidRPr="00816E7B">
        <w:rPr>
          <w:b/>
          <w:bCs/>
          <w:i/>
          <w:iCs/>
          <w:lang w:val="es-ES_tradnl"/>
        </w:rPr>
        <w:t>La Secretaría Técnica certifica que la presente resolución cuenta con el voto de los vocales cuyos nombres figuran en el presente documento.</w:t>
      </w:r>
    </w:p>
    <w:p w14:paraId="265ABE8B" w14:textId="77777777" w:rsidR="001631D6" w:rsidRPr="00816E7B" w:rsidRDefault="001631D6" w:rsidP="001631D6">
      <w:pPr>
        <w:jc w:val="both"/>
        <w:rPr>
          <w:b/>
          <w:bCs/>
          <w:i/>
          <w:iCs/>
          <w:lang w:val="es-ES_tradnl"/>
        </w:rPr>
      </w:pPr>
    </w:p>
    <w:p w14:paraId="024CA4C1" w14:textId="4785C9C9" w:rsidR="001631D6" w:rsidRPr="00816E7B" w:rsidRDefault="00356B1A" w:rsidP="00356B1A">
      <w:pPr>
        <w:spacing w:line="360" w:lineRule="auto"/>
        <w:jc w:val="center"/>
        <w:rPr>
          <w:b/>
          <w:bCs/>
        </w:rPr>
      </w:pPr>
      <w:r w:rsidRPr="00816E7B">
        <w:rPr>
          <w:b/>
          <w:bCs/>
        </w:rPr>
        <w:t xml:space="preserve">María Eugenia Valdez Fernández Baca – </w:t>
      </w:r>
      <w:proofErr w:type="gramStart"/>
      <w:r w:rsidR="00D43CAB" w:rsidRPr="00816E7B">
        <w:rPr>
          <w:b/>
          <w:bCs/>
        </w:rPr>
        <w:t>Presidente</w:t>
      </w:r>
      <w:proofErr w:type="gramEnd"/>
    </w:p>
    <w:p w14:paraId="515933D0" w14:textId="5FD7ECBB" w:rsidR="001631D6" w:rsidRPr="00816E7B" w:rsidRDefault="001631D6" w:rsidP="001631D6">
      <w:pPr>
        <w:spacing w:line="360" w:lineRule="auto"/>
        <w:jc w:val="center"/>
        <w:rPr>
          <w:b/>
          <w:bCs/>
        </w:rPr>
      </w:pPr>
      <w:r w:rsidRPr="00816E7B">
        <w:rPr>
          <w:b/>
          <w:bCs/>
        </w:rPr>
        <w:t xml:space="preserve">Rolando Eyzaguirre </w:t>
      </w:r>
      <w:proofErr w:type="spellStart"/>
      <w:r w:rsidRPr="00816E7B">
        <w:rPr>
          <w:b/>
          <w:bCs/>
        </w:rPr>
        <w:t>Maccan</w:t>
      </w:r>
      <w:proofErr w:type="spellEnd"/>
      <w:r w:rsidRPr="00816E7B">
        <w:rPr>
          <w:b/>
          <w:bCs/>
        </w:rPr>
        <w:t xml:space="preserve"> – </w:t>
      </w:r>
      <w:r w:rsidR="003E6BA6" w:rsidRPr="00816E7B">
        <w:rPr>
          <w:b/>
          <w:bCs/>
        </w:rPr>
        <w:t>Vocal</w:t>
      </w:r>
    </w:p>
    <w:p w14:paraId="4B70DE1B" w14:textId="0A8BEEE9" w:rsidR="001631D6" w:rsidRPr="00816E7B" w:rsidRDefault="00807D21" w:rsidP="001631D6">
      <w:pPr>
        <w:spacing w:line="360" w:lineRule="auto"/>
        <w:jc w:val="center"/>
        <w:rPr>
          <w:b/>
          <w:bCs/>
        </w:rPr>
      </w:pPr>
      <w:r w:rsidRPr="00816E7B">
        <w:rPr>
          <w:b/>
          <w:bCs/>
        </w:rPr>
        <w:t>Omar Alfaro Villanueva</w:t>
      </w:r>
      <w:r w:rsidR="001631D6" w:rsidRPr="00816E7B">
        <w:rPr>
          <w:b/>
          <w:bCs/>
        </w:rPr>
        <w:t xml:space="preserve"> – Vocal</w:t>
      </w:r>
    </w:p>
    <w:p w14:paraId="22C77427" w14:textId="498B9F06" w:rsidR="00F15FBA" w:rsidRPr="00816E7B" w:rsidRDefault="001631D6" w:rsidP="00E03444">
      <w:pPr>
        <w:spacing w:line="360" w:lineRule="auto"/>
        <w:jc w:val="center"/>
        <w:rPr>
          <w:lang w:val="es-MX"/>
        </w:rPr>
      </w:pPr>
      <w:r w:rsidRPr="00816E7B">
        <w:rPr>
          <w:b/>
          <w:bCs/>
        </w:rPr>
        <w:t>Gonzalo Abad del Busto - Vocal</w:t>
      </w:r>
    </w:p>
    <w:p w14:paraId="58BFC23A" w14:textId="77777777" w:rsidR="00F15FBA" w:rsidRPr="00816E7B" w:rsidRDefault="00F15FBA" w:rsidP="00F15FBA"/>
    <w:p w14:paraId="3CD6760A" w14:textId="77777777" w:rsidR="00AA6EF2" w:rsidRPr="0094536D" w:rsidRDefault="00AA6EF2"/>
    <w:sectPr w:rsidR="00AA6EF2" w:rsidRPr="0094536D" w:rsidSect="00BA18ED">
      <w:headerReference w:type="default" r:id="rId11"/>
      <w:footerReference w:type="default" r:id="rId12"/>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4E2D" w14:textId="77777777" w:rsidR="00BA18ED" w:rsidRDefault="00BA18ED" w:rsidP="005F148C">
      <w:r>
        <w:separator/>
      </w:r>
    </w:p>
  </w:endnote>
  <w:endnote w:type="continuationSeparator" w:id="0">
    <w:p w14:paraId="2A778CB6" w14:textId="77777777" w:rsidR="00BA18ED" w:rsidRDefault="00BA18ED"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3B8C" w14:textId="77777777" w:rsidR="00BA18ED" w:rsidRDefault="00BA18ED" w:rsidP="005F148C">
      <w:r>
        <w:separator/>
      </w:r>
    </w:p>
  </w:footnote>
  <w:footnote w:type="continuationSeparator" w:id="0">
    <w:p w14:paraId="1A9D84B4" w14:textId="77777777" w:rsidR="00BA18ED" w:rsidRDefault="00BA18ED" w:rsidP="005F148C">
      <w:r>
        <w:continuationSeparator/>
      </w:r>
    </w:p>
  </w:footnote>
  <w:footnote w:id="1">
    <w:p w14:paraId="149F782E" w14:textId="77777777" w:rsidR="00816E7B" w:rsidRPr="009C0272" w:rsidRDefault="00816E7B" w:rsidP="00816E7B">
      <w:pPr>
        <w:pStyle w:val="Textonotapie"/>
        <w:jc w:val="both"/>
        <w:rPr>
          <w:rFonts w:ascii="Georgia" w:hAnsi="Georgia" w:cs="Arial"/>
        </w:rPr>
      </w:pPr>
      <w:r w:rsidRPr="009C0272">
        <w:rPr>
          <w:rStyle w:val="Refdenotaalpie"/>
          <w:rFonts w:ascii="Georgia" w:hAnsi="Georgia" w:cs="Arial"/>
        </w:rPr>
        <w:footnoteRef/>
      </w:r>
      <w:r w:rsidRPr="009C0272">
        <w:rPr>
          <w:rFonts w:ascii="Georgia" w:hAnsi="Georgia" w:cs="Arial"/>
        </w:rPr>
        <w:t xml:space="preserve"> </w:t>
      </w:r>
      <w:r w:rsidRPr="009C0272">
        <w:rPr>
          <w:rFonts w:ascii="Georgia" w:hAnsi="Georgia" w:cs="Arial"/>
          <w:i/>
        </w:rPr>
        <w:t>«El acto jurídico debe ser interpretado de acuerdo con lo que se haya expresado en él […]».</w:t>
      </w:r>
    </w:p>
  </w:footnote>
  <w:footnote w:id="2">
    <w:p w14:paraId="44D236EE" w14:textId="77777777" w:rsidR="00816E7B" w:rsidRPr="009C0272" w:rsidRDefault="00816E7B" w:rsidP="00816E7B">
      <w:pPr>
        <w:pStyle w:val="Textonotapie"/>
        <w:jc w:val="both"/>
        <w:rPr>
          <w:rFonts w:ascii="Georgia" w:hAnsi="Georgia" w:cs="Arial"/>
        </w:rPr>
      </w:pPr>
      <w:r w:rsidRPr="009C0272">
        <w:rPr>
          <w:rStyle w:val="Refdenotaalpie"/>
          <w:rFonts w:ascii="Georgia" w:hAnsi="Georgia" w:cs="Arial"/>
        </w:rPr>
        <w:footnoteRef/>
      </w:r>
      <w:r w:rsidRPr="009C0272">
        <w:rPr>
          <w:rFonts w:ascii="Georgia" w:hAnsi="Georgia" w:cs="Arial"/>
        </w:rPr>
        <w:t xml:space="preserve"> </w:t>
      </w:r>
      <w:r w:rsidRPr="009C0272">
        <w:rPr>
          <w:rFonts w:ascii="Georgia" w:hAnsi="Georgia" w:cs="Arial"/>
          <w:smallCaps/>
        </w:rPr>
        <w:t>Sacco</w:t>
      </w:r>
      <w:r w:rsidRPr="009C0272">
        <w:rPr>
          <w:rFonts w:ascii="Georgia" w:hAnsi="Georgia" w:cs="Arial"/>
        </w:rPr>
        <w:t xml:space="preserve">, Rodolfo y </w:t>
      </w:r>
      <w:r w:rsidRPr="009C0272">
        <w:rPr>
          <w:rFonts w:ascii="Georgia" w:hAnsi="Georgia" w:cs="Arial"/>
          <w:smallCaps/>
        </w:rPr>
        <w:t>De Nova</w:t>
      </w:r>
      <w:r w:rsidRPr="009C0272">
        <w:rPr>
          <w:rFonts w:ascii="Georgia" w:hAnsi="Georgia" w:cs="Arial"/>
        </w:rPr>
        <w:t>, Giorgio. Ob. Cit., pág. 383.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F372E7"/>
    <w:multiLevelType w:val="hybridMultilevel"/>
    <w:tmpl w:val="3E1E6526"/>
    <w:lvl w:ilvl="0" w:tplc="B48ABC1E">
      <w:start w:val="5"/>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2"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2"/>
  </w:num>
  <w:num w:numId="2" w16cid:durableId="484517491">
    <w:abstractNumId w:val="21"/>
  </w:num>
  <w:num w:numId="3" w16cid:durableId="818159359">
    <w:abstractNumId w:val="15"/>
  </w:num>
  <w:num w:numId="4" w16cid:durableId="1722173265">
    <w:abstractNumId w:val="2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2"/>
  </w:num>
  <w:num w:numId="17" w16cid:durableId="1943803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4"/>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D2700"/>
    <w:rsid w:val="000D5261"/>
    <w:rsid w:val="000F3798"/>
    <w:rsid w:val="000F511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82B1B"/>
    <w:rsid w:val="002A2188"/>
    <w:rsid w:val="002B14D5"/>
    <w:rsid w:val="002B50D6"/>
    <w:rsid w:val="002E35A4"/>
    <w:rsid w:val="002E3B7A"/>
    <w:rsid w:val="002E708C"/>
    <w:rsid w:val="00316A1B"/>
    <w:rsid w:val="0032570B"/>
    <w:rsid w:val="00356B1A"/>
    <w:rsid w:val="00381555"/>
    <w:rsid w:val="003977C8"/>
    <w:rsid w:val="003B46E3"/>
    <w:rsid w:val="003B4770"/>
    <w:rsid w:val="003B5737"/>
    <w:rsid w:val="003E6BA6"/>
    <w:rsid w:val="004133B4"/>
    <w:rsid w:val="00417664"/>
    <w:rsid w:val="00417E23"/>
    <w:rsid w:val="00444D29"/>
    <w:rsid w:val="00467825"/>
    <w:rsid w:val="00477D05"/>
    <w:rsid w:val="004854D9"/>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9382D"/>
    <w:rsid w:val="006A0CDE"/>
    <w:rsid w:val="006A1077"/>
    <w:rsid w:val="006D33B8"/>
    <w:rsid w:val="007224F7"/>
    <w:rsid w:val="00734447"/>
    <w:rsid w:val="00742D07"/>
    <w:rsid w:val="007474DB"/>
    <w:rsid w:val="00782489"/>
    <w:rsid w:val="00793F6A"/>
    <w:rsid w:val="0079416E"/>
    <w:rsid w:val="00796B1E"/>
    <w:rsid w:val="007B46FF"/>
    <w:rsid w:val="007B49ED"/>
    <w:rsid w:val="007C2FC5"/>
    <w:rsid w:val="007C3730"/>
    <w:rsid w:val="007D353F"/>
    <w:rsid w:val="00807D21"/>
    <w:rsid w:val="00816E7B"/>
    <w:rsid w:val="00834DFE"/>
    <w:rsid w:val="00835D6A"/>
    <w:rsid w:val="00853DD1"/>
    <w:rsid w:val="00864800"/>
    <w:rsid w:val="00865B73"/>
    <w:rsid w:val="00892A1F"/>
    <w:rsid w:val="008930FB"/>
    <w:rsid w:val="00895FF5"/>
    <w:rsid w:val="008A1DAB"/>
    <w:rsid w:val="008A67AB"/>
    <w:rsid w:val="008B79EC"/>
    <w:rsid w:val="008D0547"/>
    <w:rsid w:val="0092266A"/>
    <w:rsid w:val="00931D3E"/>
    <w:rsid w:val="009334B0"/>
    <w:rsid w:val="00934888"/>
    <w:rsid w:val="0094536D"/>
    <w:rsid w:val="009767BB"/>
    <w:rsid w:val="00977F56"/>
    <w:rsid w:val="009A7580"/>
    <w:rsid w:val="009B3934"/>
    <w:rsid w:val="009B61F6"/>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E015A1"/>
    <w:rsid w:val="00E03444"/>
    <w:rsid w:val="00E120D5"/>
    <w:rsid w:val="00E716AC"/>
    <w:rsid w:val="00E763C3"/>
    <w:rsid w:val="00E82564"/>
    <w:rsid w:val="00E825D1"/>
    <w:rsid w:val="00E83C90"/>
    <w:rsid w:val="00E908BC"/>
    <w:rsid w:val="00EB6E02"/>
    <w:rsid w:val="00EF4FF0"/>
    <w:rsid w:val="00F029DD"/>
    <w:rsid w:val="00F1075C"/>
    <w:rsid w:val="00F15FBA"/>
    <w:rsid w:val="00F202DC"/>
    <w:rsid w:val="00F2461F"/>
    <w:rsid w:val="00F35D24"/>
    <w:rsid w:val="00F42DC6"/>
    <w:rsid w:val="00F465F7"/>
    <w:rsid w:val="00F71D17"/>
    <w:rsid w:val="00F7704A"/>
    <w:rsid w:val="00F85626"/>
    <w:rsid w:val="00F97A17"/>
    <w:rsid w:val="00F9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customStyle="1" w:styleId="TextonotapieCar">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customStyle="1" w:styleId="TextoindependienteCar">
    <w:name w:val="Texto independiente Car"/>
    <w:basedOn w:val="Fuentedeprrafopredeter"/>
    <w:link w:val="Textoindependiente"/>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customStyle="1" w:styleId="PrrafodelistaCar">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3FF0687-6445-4A54-A4C6-C856EF3BA052}"/>
</file>

<file path=customXml/itemProps3.xml><?xml version="1.0" encoding="utf-8"?>
<ds:datastoreItem xmlns:ds="http://schemas.openxmlformats.org/officeDocument/2006/customXml" ds:itemID="{24334AA5-6793-4677-884F-A339982FEB6D}"/>
</file>

<file path=customXml/itemProps4.xml><?xml version="1.0" encoding="utf-8"?>
<ds:datastoreItem xmlns:ds="http://schemas.openxmlformats.org/officeDocument/2006/customXml" ds:itemID="{6F514E91-A40F-4480-A9D0-DA1CDE0E6E59}"/>
</file>

<file path=docProps/app.xml><?xml version="1.0" encoding="utf-8"?>
<Properties xmlns="http://schemas.openxmlformats.org/officeDocument/2006/extended-properties" xmlns:vt="http://schemas.openxmlformats.org/officeDocument/2006/docPropsVTypes">
  <Template>Normal</Template>
  <TotalTime>70</TotalTime>
  <Pages>7</Pages>
  <Words>2867</Words>
  <Characters>15770</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65</cp:revision>
  <cp:lastPrinted>2024-01-15T17:03:00Z</cp:lastPrinted>
  <dcterms:created xsi:type="dcterms:W3CDTF">2020-12-18T20:09:00Z</dcterms:created>
  <dcterms:modified xsi:type="dcterms:W3CDTF">2025-03-03T17:11:00Z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