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E3CFD" w:rsidR="00F15FBA" w:rsidP="00F15FBA" w:rsidRDefault="00F15FBA" w14:paraId="6BA6C8A5" w14:textId="2120457D">
      <w:pPr>
        <w:pStyle w:val="Ttulo"/>
        <w:outlineLvl w:val="0"/>
        <w:rPr>
          <w:lang w:val="es-PE"/>
        </w:rPr>
      </w:pPr>
      <w:r w:rsidRPr="002E3CFD">
        <w:rPr>
          <w:lang w:val="es-PE"/>
        </w:rPr>
        <w:t>RESOLUCIÓN N</w:t>
      </w:r>
      <w:r w:rsidRPr="002E3CFD" w:rsidR="001631D6">
        <w:rPr>
          <w:lang w:val="es-PE"/>
        </w:rPr>
        <w:t xml:space="preserve">° </w:t>
      </w:r>
      <w:r w:rsidRPr="002E3CFD" w:rsidR="003E6BA6">
        <w:rPr>
          <w:lang w:val="es-PE"/>
        </w:rPr>
        <w:t>0</w:t>
      </w:r>
      <w:r w:rsidRPr="002E3CFD" w:rsidR="004A0A3B">
        <w:rPr>
          <w:lang w:val="es-PE"/>
        </w:rPr>
        <w:t>22</w:t>
      </w:r>
      <w:r w:rsidRPr="002E3CFD" w:rsidR="001631D6">
        <w:rPr>
          <w:lang w:val="es-PE"/>
        </w:rPr>
        <w:t>/2</w:t>
      </w:r>
      <w:r w:rsidRPr="002E3CFD" w:rsidR="002B50D6">
        <w:rPr>
          <w:lang w:val="es-PE"/>
        </w:rPr>
        <w:t>4</w:t>
      </w:r>
    </w:p>
    <w:p w:rsidRPr="002E3CFD" w:rsidR="002E3CFD" w:rsidP="002E3CFD" w:rsidRDefault="002E3CFD" w14:paraId="1F1701FC" w14:textId="77777777">
      <w:pPr>
        <w:rPr>
          <w:rStyle w:val="Textoennegrita"/>
        </w:rPr>
      </w:pPr>
    </w:p>
    <w:p w:rsidRPr="002E3CFD" w:rsidR="002E3CFD" w:rsidP="002E3CFD" w:rsidRDefault="002E3CFD" w14:paraId="50B3F66A" w14:textId="77777777">
      <w:pPr>
        <w:jc w:val="both"/>
      </w:pPr>
      <w:r w:rsidRPr="002E3CFD">
        <w:rPr>
          <w:rStyle w:val="Textoennegrita"/>
        </w:rPr>
        <w:t>VISTOS:</w:t>
      </w:r>
    </w:p>
    <w:p w:rsidRPr="002E3CFD" w:rsidR="002E3CFD" w:rsidP="002E3CFD" w:rsidRDefault="002E3CFD" w14:paraId="2301207E" w14:textId="77777777">
      <w:pPr>
        <w:jc w:val="both"/>
        <w:rPr>
          <w:lang w:val="es-PE"/>
        </w:rPr>
      </w:pPr>
    </w:p>
    <w:p w:rsidRPr="002E3CFD" w:rsidR="002E3CFD" w:rsidP="002E3CFD" w:rsidRDefault="002E3CFD" w14:paraId="7D484F65" w14:textId="68FDF6F1">
      <w:pPr>
        <w:jc w:val="both"/>
        <w:rPr>
          <w:lang w:val="es-PE"/>
        </w:rPr>
      </w:pPr>
      <w:r w:rsidRPr="32BD9C93" w:rsidR="002E3CFD">
        <w:rPr>
          <w:lang w:val="es-PE"/>
        </w:rPr>
        <w:t xml:space="preserve">Que, doña </w:t>
      </w:r>
      <w:r w:rsidRPr="32BD9C93" w:rsidR="4C1C859C">
        <w:rPr>
          <w:b w:val="1"/>
          <w:bCs w:val="1"/>
        </w:rPr>
        <w:t>..................................................</w:t>
      </w:r>
      <w:r w:rsidRPr="32BD9C93" w:rsidR="002E3CFD">
        <w:rPr>
          <w:b w:val="1"/>
          <w:bCs w:val="1"/>
          <w:lang w:val="es-PE"/>
        </w:rPr>
        <w:t xml:space="preserve"> </w:t>
      </w:r>
      <w:r w:rsidRPr="32BD9C93" w:rsidR="002E3CFD">
        <w:rPr>
          <w:lang w:val="es-PE"/>
        </w:rPr>
        <w:t xml:space="preserve">(en adelante, la reclamante) interpone reclamación ante esta Defensoría del Asegurado (DEFASEG), solicitando que </w:t>
      </w:r>
      <w:r w:rsidRPr="32BD9C93" w:rsidR="53F2C2FE">
        <w:rPr>
          <w:b w:val="1"/>
          <w:bCs w:val="1"/>
          <w:lang w:val="es-PE"/>
        </w:rPr>
        <w:t>...............................................................................</w:t>
      </w:r>
      <w:r w:rsidRPr="32BD9C93" w:rsidR="002E3CFD">
        <w:rPr>
          <w:b w:val="1"/>
          <w:bCs w:val="1"/>
          <w:lang w:val="es-PE"/>
        </w:rPr>
        <w:t xml:space="preserve"> </w:t>
      </w:r>
      <w:r w:rsidRPr="32BD9C93" w:rsidR="002E3CFD">
        <w:rPr>
          <w:lang w:val="es-PE"/>
        </w:rPr>
        <w:t>(en adelante, la aseguradora)</w:t>
      </w:r>
      <w:r w:rsidRPr="32BD9C93" w:rsidR="002E3CFD">
        <w:rPr>
          <w:b w:val="1"/>
          <w:bCs w:val="1"/>
          <w:lang w:val="es-PE"/>
        </w:rPr>
        <w:t xml:space="preserve"> </w:t>
      </w:r>
      <w:r w:rsidRPr="32BD9C93" w:rsidR="002E3CFD">
        <w:rPr>
          <w:lang w:val="es-PE"/>
        </w:rPr>
        <w:t xml:space="preserve">apruebe su solicitud de cobertura, conforme a la POLIZA MULTIRIESGO N.º </w:t>
      </w:r>
      <w:r w:rsidRPr="32BD9C93" w:rsidR="1D16F3EE">
        <w:rPr>
          <w:lang w:val="es-PE"/>
        </w:rPr>
        <w:t>..............................</w:t>
      </w:r>
      <w:r w:rsidRPr="32BD9C93" w:rsidR="002E3CFD">
        <w:rPr>
          <w:lang w:val="es-PE"/>
        </w:rPr>
        <w:t xml:space="preserve"> y Certificado </w:t>
      </w:r>
      <w:r w:rsidRPr="32BD9C93" w:rsidR="002E3CFD">
        <w:rPr>
          <w:lang w:val="es-PE"/>
        </w:rPr>
        <w:t>N°</w:t>
      </w:r>
      <w:r w:rsidRPr="32BD9C93" w:rsidR="002E3CFD">
        <w:rPr>
          <w:lang w:val="es-PE"/>
        </w:rPr>
        <w:t xml:space="preserve"> </w:t>
      </w:r>
      <w:r w:rsidRPr="32BD9C93" w:rsidR="68DC9F50">
        <w:rPr>
          <w:lang w:val="es-PE"/>
        </w:rPr>
        <w:t>...........</w:t>
      </w:r>
      <w:r w:rsidRPr="32BD9C93" w:rsidR="002E3CFD">
        <w:rPr>
          <w:lang w:val="es-PE"/>
        </w:rPr>
        <w:t xml:space="preserve"> (en adelante, la póliza)</w:t>
      </w:r>
    </w:p>
    <w:p w:rsidRPr="002E3CFD" w:rsidR="002E3CFD" w:rsidP="002E3CFD" w:rsidRDefault="002E3CFD" w14:paraId="5A1ADCC9" w14:textId="77777777">
      <w:pPr>
        <w:jc w:val="both"/>
        <w:rPr>
          <w:lang w:val="es-PE"/>
        </w:rPr>
      </w:pPr>
    </w:p>
    <w:p w:rsidRPr="002E3CFD" w:rsidR="002E3CFD" w:rsidP="002E3CFD" w:rsidRDefault="002E3CFD" w14:paraId="5394F80A" w14:textId="77777777">
      <w:pPr>
        <w:jc w:val="both"/>
        <w:rPr>
          <w:rFonts w:eastAsia="Arial Unicode MS"/>
          <w:lang w:val="es-PE"/>
        </w:rPr>
      </w:pPr>
      <w:r w:rsidRPr="002E3CFD">
        <w:rPr>
          <w:rFonts w:eastAsia="Arial Unicode MS"/>
          <w:lang w:val="es-PE"/>
        </w:rPr>
        <w:t>Que, la señalada reclamación cumple con los requisitos de materia, cuantía y oportunidad establecidos en el Reglamento de la DEFASEG (http://www.defaseg.com.pe/reglamento);</w:t>
      </w:r>
    </w:p>
    <w:p w:rsidRPr="002E3CFD" w:rsidR="002E3CFD" w:rsidP="002E3CFD" w:rsidRDefault="002E3CFD" w14:paraId="14FC7C7D" w14:textId="77777777">
      <w:pPr>
        <w:tabs>
          <w:tab w:val="left" w:pos="2160"/>
        </w:tabs>
        <w:jc w:val="both"/>
        <w:rPr>
          <w:lang w:val="es-PE"/>
        </w:rPr>
      </w:pPr>
    </w:p>
    <w:p w:rsidRPr="002E3CFD" w:rsidR="002E3CFD" w:rsidP="002E3CFD" w:rsidRDefault="002E3CFD" w14:paraId="35408D9E" w14:textId="77777777">
      <w:pPr>
        <w:tabs>
          <w:tab w:val="num" w:pos="720"/>
        </w:tabs>
        <w:jc w:val="both"/>
        <w:rPr>
          <w:lang w:val="es-PE"/>
        </w:rPr>
      </w:pPr>
      <w:r w:rsidRPr="002E3CFD">
        <w:rPr>
          <w:lang w:val="es-PE"/>
        </w:rPr>
        <w:t>Que, habiéndosele corrido traslado de la respectiva reclamación, la aseguradora presentó sus respectivos descargos y la documentación solicitada;</w:t>
      </w:r>
    </w:p>
    <w:p w:rsidRPr="002E3CFD" w:rsidR="002E3CFD" w:rsidP="002E3CFD" w:rsidRDefault="002E3CFD" w14:paraId="0885C7CF" w14:textId="77777777">
      <w:pPr>
        <w:tabs>
          <w:tab w:val="num" w:pos="720"/>
        </w:tabs>
        <w:jc w:val="both"/>
        <w:rPr>
          <w:lang w:val="es-PE"/>
        </w:rPr>
      </w:pPr>
    </w:p>
    <w:p w:rsidRPr="002E3CFD" w:rsidR="002E3CFD" w:rsidP="002E3CFD" w:rsidRDefault="002E3CFD" w14:paraId="0F4F08C6" w14:textId="77777777">
      <w:pPr>
        <w:tabs>
          <w:tab w:val="num" w:pos="720"/>
        </w:tabs>
        <w:jc w:val="both"/>
        <w:rPr>
          <w:lang w:val="es-PE"/>
        </w:rPr>
      </w:pPr>
      <w:r w:rsidRPr="002E3CFD">
        <w:rPr>
          <w:lang w:val="es-PE"/>
        </w:rPr>
        <w:t>Que, el 13 de noviembre de 2023 se realizó la audiencia virtual de vista con la concurrencia de ambas partes, quienes tuvieron oportunidad de exponer sus respectivas posiciones tratándose de la materia reclamada, absolviendo las diversas preguntas que les fueron formuladas;</w:t>
      </w:r>
    </w:p>
    <w:p w:rsidRPr="002E3CFD" w:rsidR="002E3CFD" w:rsidP="002E3CFD" w:rsidRDefault="002E3CFD" w14:paraId="66104CB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2E3CFD" w:rsidR="002E3CFD" w:rsidP="002E3CFD" w:rsidRDefault="002E3CFD" w14:paraId="1A5C4946" w14:textId="04896BD8">
      <w:pPr>
        <w:jc w:val="both"/>
      </w:pPr>
      <w:r w:rsidR="002E3CFD">
        <w:rPr/>
        <w:t xml:space="preserve">Que, en síntesis, la reclamante manifiesta lo siguiente: a) </w:t>
      </w:r>
      <w:r w:rsidRPr="32BD9C93" w:rsidR="002E3CFD">
        <w:rPr>
          <w:lang w:val="es-PE"/>
        </w:rPr>
        <w:t xml:space="preserve">con contrato de préstamo dinerario con garantía hipotecaria, denominado “Construyo”, firmado el 01 de julio de 2022, se suscribió un préstamo con el BBVA Banco Continental, por un periodo de 240 meses, con un monto aprobado de S/ 400,000.00 (cuatrocientos mil con 00/100 soles); b) se comunicó con la aseguradora para informarle respecto del siniestro, quienes la contactaron con Master Ajustadores para que se encarguen de evaluar el mismo; c) la visita de la empresa ajustadora se llevó a cabo el 21 de julio de 2023 en el inmueble ubicado en </w:t>
      </w:r>
      <w:r w:rsidRPr="32BD9C93" w:rsidR="3CCFB85D">
        <w:rPr>
          <w:lang w:val="es-PE"/>
        </w:rPr>
        <w:t>....................................................................................................................................................................................................</w:t>
      </w:r>
      <w:r w:rsidRPr="32BD9C93" w:rsidR="002E3CFD">
        <w:rPr>
          <w:lang w:val="es-PE"/>
        </w:rPr>
        <w:t xml:space="preserve"> d) la aseguradora mediante Carta </w:t>
      </w:r>
      <w:r w:rsidRPr="32BD9C93" w:rsidR="39E6AA3A">
        <w:rPr>
          <w:lang w:val="es-PE"/>
        </w:rPr>
        <w:t>......................</w:t>
      </w:r>
      <w:r w:rsidRPr="32BD9C93" w:rsidR="002E3CFD">
        <w:rPr>
          <w:lang w:val="es-PE"/>
        </w:rPr>
        <w:t xml:space="preserve"> / 202 de fecha 23 de agosto informa que los daños ascienden a S/ 18,000.00 (dieciocho mil con 00/100 soles), sin embargo, alega, el seguro contra todo riesgo, no procede ya que, según lo determinado en comunicación con el BBVA Banco Continental, el inmueble continúa con la denominación de “Terreno”; e) a raíz de las intensas lluvias acaecidas en la ciudad de Piura en el mes de marzo, el inmueble se vio afectado, hecho que, alega, fue verificado por la aseguradora y obtuvo el monto a reparar ascendente a S/ 18,000.00; sin embargo, mediante la comunicación señalada en el numeral anterior, la aseguradora le hace saber que el reclamo planteado no es indemnizable bajo la Póliza contratada; f) no es su responsabilidad que el BBVA Banco Continental no haya actuado en el momento oportuno aun contando con la información del Cronograma de Obra enviado por su sectorista, en el cual se informó que la obra culminaba el 28 de febrero;</w:t>
      </w:r>
    </w:p>
    <w:p w:rsidRPr="002E3CFD" w:rsidR="002E3CFD" w:rsidP="002E3CFD" w:rsidRDefault="002E3CFD" w14:paraId="6173C3C4" w14:textId="77777777">
      <w:pPr>
        <w:jc w:val="both"/>
      </w:pPr>
    </w:p>
    <w:p w:rsidRPr="002E3CFD" w:rsidR="002E3CFD" w:rsidP="002E3CFD" w:rsidRDefault="002E3CFD" w14:paraId="312A1F07" w14:textId="7FE74355">
      <w:pPr>
        <w:jc w:val="both"/>
        <w:rPr>
          <w:lang w:val="es-PE"/>
        </w:rPr>
      </w:pPr>
      <w:r w:rsidRPr="002E3CFD" w:rsidR="002E3CFD">
        <w:rPr/>
        <w:t xml:space="preserve">Que, por su parte, la aseguradora sustenta su posición resumidamente en lo siguiente: </w:t>
      </w:r>
      <w:r w:rsidRPr="002E3CFD" w:rsidR="002E3CFD">
        <w:rPr>
          <w:lang w:val="es-PE"/>
        </w:rPr>
        <w:t xml:space="preserve">a) la cobertura del seguro fue solicitada a consecuencia de los daños ocasionados por las lluvias acaecidas en la ciudad de Piura el 24 de marzo de 2023, en el inmueble ubicado en Miraflores </w:t>
      </w:r>
      <w:r w:rsidRPr="002E3CFD" w:rsidR="7666B41B">
        <w:rPr>
          <w:lang w:val="es-PE"/>
        </w:rPr>
        <w:t xml:space="preserve">...............................................................................................</w:t>
      </w:r>
      <w:r w:rsidRPr="002E3CFD" w:rsidR="002E3CFD">
        <w:rPr>
          <w:lang w:val="es-PE"/>
        </w:rPr>
        <w:t xml:space="preserve"> b) </w:t>
      </w:r>
      <w:r w:rsidRPr="32BD9C93" w:rsidR="002E3CFD">
        <w:rPr>
          <w:lang w:val="es-PE"/>
        </w:rPr>
        <w:t xml:space="preserve">a fin de evaluar el siniestro, se instruyó a la empresa “Master Ajustadores de Seguros” para que pudieran apersonarse al inmueble afectado para la inspección correspondiente; c) la empresa ajustadora verificó que se trataba de una vivienda de un nivel, construida, de 200m2 y en donde se estaba </w:t>
      </w:r>
      <w:r w:rsidRPr="32BD9C93" w:rsidR="002E3CFD">
        <w:rPr>
          <w:lang w:val="es-PE"/>
        </w:rPr>
        <w:lastRenderedPageBreak/>
        <w:t xml:space="preserve">construyendo un segundo nivel; d) la finalidad de las empresas ajustadoras es de evaluar el siniestro ocurrido y cuantificar los daños ocasionados, en virtud de ello, la empresa Master Ajustadores de Seguros advirtió daños por la suma de S/ 18,000.00 (dieciocho mil con 00/100 Soles); e) posteriormente a lo determinado por la empresa ajustadora, esta recibió una comunicación de, alega, el Banco </w:t>
      </w:r>
      <w:r w:rsidRPr="32BD9C93" w:rsidR="002E3CFD">
        <w:rPr>
          <w:lang w:val="es-PE"/>
        </w:rPr>
        <w:t>Banbif</w:t>
      </w:r>
      <w:r w:rsidRPr="32BD9C93">
        <w:rPr>
          <w:vertAlign w:val="superscript"/>
          <w:lang w:val="es-PE"/>
        </w:rPr>
        <w:footnoteReference w:id="1"/>
      </w:r>
      <w:r w:rsidRPr="32BD9C93" w:rsidR="002E3CFD">
        <w:rPr>
          <w:lang w:val="es-PE"/>
        </w:rPr>
        <w:t xml:space="preserve">(entidad bancaria que, refiere la aseguradora, es aquella mediante la cual se contrató el seguro). En dicha comunicación esta le </w:t>
      </w:r>
      <w:r w:rsidRPr="32BD9C93" w:rsidR="002E3CFD">
        <w:rPr>
          <w:lang w:val="es-PE"/>
        </w:rPr>
        <w:t xml:space="preserve">inform</w:t>
      </w:r>
      <w:r w:rsidRPr="32BD9C93" w:rsidR="002E3CFD">
        <w:rPr>
          <w:lang w:val="es-PE"/>
        </w:rPr>
        <w:t xml:space="preserve">ó</w:t>
      </w:r>
      <w:r w:rsidRPr="32BD9C93" w:rsidR="002E3CFD">
        <w:rPr>
          <w:lang w:val="es-PE"/>
        </w:rPr>
        <w:t xml:space="preserve"> que el bien asegurado se encontraba registrado como terreno y no se contaba con una póliza vigente que asegure la edificación de dos pisos; f) no ha incurrido en contradicción alguna, toda vez que la empresa ajustadora no es la encargada de verificar la vigencia de las pólizas sino de cuantificar los daños, por ello estimó un monto aproximado de indemnización. Y refiere, además, que posteriormen</w:t>
      </w:r>
      <w:r w:rsidRPr="32BD9C93" w:rsidR="002E3CFD">
        <w:rPr>
          <w:lang w:val="es-PE"/>
        </w:rPr>
        <w:t xml:space="preserve">te a lo estimado por la empresa ajustadora, el Banco </w:t>
      </w:r>
      <w:r w:rsidRPr="32BD9C93" w:rsidR="002E3CFD">
        <w:rPr>
          <w:lang w:val="es-PE"/>
        </w:rPr>
        <w:t>Banbif</w:t>
      </w:r>
      <w:r w:rsidRPr="32BD9C93" w:rsidR="002E3CFD">
        <w:rPr>
          <w:lang w:val="es-PE"/>
        </w:rPr>
        <w:t xml:space="preserve"> informó que a la fecha el </w:t>
      </w:r>
      <w:r w:rsidRPr="32BD9C93" w:rsidR="002E3CFD">
        <w:rPr>
          <w:lang w:val="es-PE"/>
        </w:rPr>
        <w:t xml:space="preserve">rec</w:t>
      </w:r>
      <w:r w:rsidRPr="32BD9C93" w:rsidR="002E3CFD">
        <w:rPr>
          <w:lang w:val="es-PE"/>
        </w:rPr>
        <w:t xml:space="preserve">lamo n</w:t>
      </w:r>
      <w:r w:rsidRPr="32BD9C93" w:rsidR="002E3CFD">
        <w:rPr>
          <w:lang w:val="es-PE"/>
        </w:rPr>
        <w:t xml:space="preserve">o contaba con una póliza vigente para la edificación; g) </w:t>
      </w:r>
      <w:r w:rsidRPr="002E3CFD" w:rsidR="002E3CFD">
        <w:rPr>
          <w:lang w:val="es-PE"/>
        </w:rPr>
        <w:t xml:space="preserve">se advierte en la Sección 1 – Construcción bajo las Condiciones Generales que la cobertura principal de la póliza cubre la obra descrita como materia asegurada en las Condiciones Particulares contra las pérdidas físicas o daños materiales que le ocurran durante la vigencia de la Póliza; h) </w:t>
      </w:r>
      <w:r w:rsidRPr="32BD9C93" w:rsidR="002E3CFD">
        <w:rPr>
          <w:lang w:val="es-PE"/>
        </w:rPr>
        <w:t>respecto a lo indicado en el numeral anterior, la cobertura de daños que puedan ocurrir sólo podrá ser activada siempre y cuando dichos daños ocurriesen a la obra descrita como materia asegurada por la póliza. Explica, además, que no es posible brindar una cobertura a un bien distinto al descrito en la póliza de seguros; i) la póliza cubría el bien descrito como “terreno” y no a la posterior edificación que sufrió el siniestro. En ese sentido, señala, al no haber una póliza vigente a la fecha de ocurrencia del siniestro, es que se rechazó lo solicitado por la reclamante; j) la póliza contratada no se encontraba vigente al momento del siniestro;</w:t>
      </w:r>
    </w:p>
    <w:p w:rsidRPr="002E3CFD" w:rsidR="002E3CFD" w:rsidP="002E3CFD" w:rsidRDefault="002E3CFD" w14:paraId="37F52DCE" w14:textId="77777777">
      <w:pPr>
        <w:jc w:val="both"/>
        <w:rPr>
          <w:rStyle w:val="Textoennegrita"/>
        </w:rPr>
      </w:pPr>
    </w:p>
    <w:p w:rsidRPr="002E3CFD" w:rsidR="002E3CFD" w:rsidP="002E3CFD" w:rsidRDefault="002E3CFD" w14:paraId="53EAFEA4" w14:textId="77777777">
      <w:pPr>
        <w:jc w:val="both"/>
      </w:pPr>
      <w:r w:rsidRPr="002E3CFD">
        <w:rPr>
          <w:rStyle w:val="Textoennegrita"/>
        </w:rPr>
        <w:t>CONSIDERANDO:</w:t>
      </w:r>
    </w:p>
    <w:p w:rsidRPr="002E3CFD" w:rsidR="002E3CFD" w:rsidP="002E3CFD" w:rsidRDefault="002E3CFD" w14:paraId="7937CC5D" w14:textId="77777777">
      <w:pPr>
        <w:jc w:val="both"/>
      </w:pPr>
      <w:r w:rsidRPr="002E3CFD">
        <w:t> </w:t>
      </w:r>
    </w:p>
    <w:p w:rsidRPr="002E3CFD" w:rsidR="002E3CFD" w:rsidP="002E3CFD" w:rsidRDefault="002E3CFD" w14:paraId="6CA8167A" w14:textId="77777777">
      <w:pPr>
        <w:jc w:val="both"/>
        <w:rPr>
          <w:lang w:val="es-PE"/>
        </w:rPr>
      </w:pPr>
      <w:r w:rsidRPr="002E3CFD">
        <w:rPr>
          <w:b/>
          <w:u w:val="single"/>
          <w:lang w:val="es-PE"/>
        </w:rPr>
        <w:t>Primero</w:t>
      </w:r>
      <w:r w:rsidRPr="002E3CFD">
        <w:rPr>
          <w:b/>
          <w:lang w:val="es-PE"/>
        </w:rPr>
        <w:t xml:space="preserve">: </w:t>
      </w:r>
      <w:r w:rsidRPr="002E3CFD">
        <w:rPr>
          <w:lang w:val="es-PE"/>
        </w:rPr>
        <w:t>Conforme a su Reglamento, la</w:t>
      </w:r>
      <w:r w:rsidRPr="002E3CFD">
        <w:rPr>
          <w:b/>
          <w:bCs/>
          <w:lang w:val="es-PE"/>
        </w:rPr>
        <w:t xml:space="preserve"> </w:t>
      </w:r>
      <w:r w:rsidRPr="002E3CFD">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E3CFD" w:rsidR="002E3CFD" w:rsidP="002E3CFD" w:rsidRDefault="002E3CFD" w14:paraId="0773288E" w14:textId="77777777">
      <w:pPr>
        <w:jc w:val="both"/>
        <w:rPr>
          <w:bCs/>
        </w:rPr>
      </w:pPr>
    </w:p>
    <w:p w:rsidRPr="002E3CFD" w:rsidR="002E3CFD" w:rsidP="002E3CFD" w:rsidRDefault="002E3CFD" w14:paraId="67E78828" w14:textId="77777777">
      <w:pPr>
        <w:jc w:val="both"/>
        <w:rPr>
          <w:bCs/>
          <w:lang w:val="es-PE"/>
        </w:rPr>
      </w:pPr>
      <w:r w:rsidRPr="002E3CFD">
        <w:rPr>
          <w:b/>
          <w:bCs/>
          <w:u w:val="single"/>
          <w:lang w:val="es-PE"/>
        </w:rPr>
        <w:t>Segundo</w:t>
      </w:r>
      <w:r w:rsidRPr="002E3CFD">
        <w:rPr>
          <w:b/>
          <w:bCs/>
          <w:lang w:val="es-PE"/>
        </w:rPr>
        <w:t>:</w:t>
      </w:r>
      <w:r w:rsidRPr="002E3CFD">
        <w:rPr>
          <w:bCs/>
          <w:lang w:val="es-PE"/>
        </w:rPr>
        <w:t xml:space="preserve"> </w:t>
      </w:r>
      <w:r w:rsidRPr="002E3CFD">
        <w:rPr>
          <w:lang w:val="es-PE"/>
        </w:rPr>
        <w:t xml:space="preserve">Asimismo, de acuerdo a </w:t>
      </w:r>
      <w:r w:rsidRPr="002E3CFD">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E3CFD" w:rsidR="002E3CFD" w:rsidP="002E3CFD" w:rsidRDefault="002E3CFD" w14:paraId="385F45B1" w14:textId="77777777">
      <w:pPr>
        <w:jc w:val="both"/>
        <w:rPr>
          <w:lang w:val="es-PE"/>
        </w:rPr>
      </w:pPr>
    </w:p>
    <w:p w:rsidRPr="002E3CFD" w:rsidR="002E3CFD" w:rsidP="002E3CFD" w:rsidRDefault="002E3CFD" w14:paraId="3A016501" w14:textId="77777777">
      <w:pPr>
        <w:jc w:val="both"/>
      </w:pPr>
      <w:r w:rsidRPr="002E3CFD">
        <w:rPr>
          <w:b/>
          <w:bCs/>
          <w:u w:val="single"/>
          <w:lang w:val="es-PE"/>
        </w:rPr>
        <w:t>Tercero</w:t>
      </w:r>
      <w:r w:rsidRPr="002E3CFD">
        <w:rPr>
          <w:b/>
          <w:bCs/>
          <w:lang w:val="es-PE"/>
        </w:rPr>
        <w:t>:</w:t>
      </w:r>
      <w:r w:rsidRPr="002E3CFD">
        <w:rPr>
          <w:lang w:val="es-PE"/>
        </w:rPr>
        <w:t xml:space="preserve"> Que, de acuerdo a la Ley Nro. </w:t>
      </w:r>
      <w:r w:rsidRPr="002E3CFD">
        <w:t xml:space="preserve">29946 – Ley del Contrato de Seguro, norma legal vigente con ocasión de la celebración del contrato al cual se contrae el presente caso, </w:t>
      </w:r>
      <w:r w:rsidRPr="002E3CFD">
        <w:rPr>
          <w:lang w:val="es-PE"/>
        </w:rPr>
        <w:t xml:space="preserve">todas las cuestiones jurídicas se rigen por lo dispuesto en dicha ley y por las que reglas que se </w:t>
      </w:r>
      <w:r w:rsidRPr="002E3CFD">
        <w:rPr>
          <w:lang w:val="es-PE"/>
        </w:rPr>
        <w:lastRenderedPageBreak/>
        <w:t>acuerden convencionalmente, en cuanto no vulneren los principios esenciales de la naturaleza jurídica del seguro, siendo que sólo se aplica el derecho común a falta de disposiciones del derecho de seguros o de protección al consumidor.</w:t>
      </w:r>
    </w:p>
    <w:p w:rsidRPr="002E3CFD" w:rsidR="002E3CFD" w:rsidP="002E3CFD" w:rsidRDefault="002E3CFD" w14:paraId="628C98B3" w14:textId="77777777">
      <w:pPr>
        <w:jc w:val="both"/>
        <w:rPr>
          <w:b/>
          <w:u w:val="single"/>
          <w:lang w:val="es-PE"/>
        </w:rPr>
      </w:pPr>
    </w:p>
    <w:p w:rsidRPr="002E3CFD" w:rsidR="002E3CFD" w:rsidP="002E3CFD" w:rsidRDefault="002E3CFD" w14:paraId="46CAF3DA" w14:textId="77777777">
      <w:pPr>
        <w:jc w:val="both"/>
        <w:rPr>
          <w:lang w:val="es-PE"/>
        </w:rPr>
      </w:pPr>
      <w:r w:rsidRPr="002E3CFD">
        <w:rPr>
          <w:b/>
          <w:u w:val="single"/>
          <w:lang w:val="es-PE"/>
        </w:rPr>
        <w:t>Cuarto</w:t>
      </w:r>
      <w:r w:rsidRPr="002E3CFD">
        <w:rPr>
          <w:b/>
          <w:lang w:val="es-PE"/>
        </w:rPr>
        <w:t>:</w:t>
      </w:r>
      <w:r w:rsidRPr="002E3CFD">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E3CFD" w:rsidR="002E3CFD" w:rsidP="002E3CFD" w:rsidRDefault="002E3CFD" w14:paraId="72F9D074" w14:textId="77777777">
      <w:pPr>
        <w:jc w:val="both"/>
        <w:rPr>
          <w:rStyle w:val="Textoennegrita"/>
          <w:b w:val="0"/>
        </w:rPr>
      </w:pPr>
    </w:p>
    <w:p w:rsidRPr="002E3CFD" w:rsidR="002E3CFD" w:rsidP="002E3CFD" w:rsidRDefault="002E3CFD" w14:paraId="74BEDF4F" w14:textId="77777777">
      <w:pPr>
        <w:jc w:val="both"/>
      </w:pPr>
      <w:r w:rsidRPr="002E3CFD">
        <w:rPr>
          <w:rStyle w:val="Textoennegrita"/>
          <w:u w:val="single"/>
          <w:lang w:val="es-PE"/>
        </w:rPr>
        <w:t>Quinto</w:t>
      </w:r>
      <w:r w:rsidRPr="002E3CFD">
        <w:rPr>
          <w:rStyle w:val="Textoennegrita"/>
          <w:lang w:val="es-PE"/>
        </w:rPr>
        <w:t xml:space="preserve">: </w:t>
      </w:r>
      <w:r w:rsidRPr="002E3CFD">
        <w:rPr>
          <w:rStyle w:val="Textoennegrita"/>
          <w:b w:val="0"/>
          <w:bCs w:val="0"/>
          <w:lang w:val="es-PE"/>
        </w:rPr>
        <w:t>Que, conforme al</w:t>
      </w:r>
      <w:r w:rsidRPr="002E3CFD">
        <w:rPr>
          <w:rStyle w:val="Textoennegrita"/>
          <w:lang w:val="es-PE"/>
        </w:rPr>
        <w:t xml:space="preserve"> </w:t>
      </w:r>
      <w:r w:rsidRPr="002E3CFD">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2E3CFD" w:rsidR="002E3CFD" w:rsidP="002E3CFD" w:rsidRDefault="002E3CFD" w14:paraId="5989CC90" w14:textId="77777777">
      <w:pPr>
        <w:tabs>
          <w:tab w:val="left" w:pos="2160"/>
        </w:tabs>
        <w:jc w:val="both"/>
      </w:pPr>
    </w:p>
    <w:p w:rsidRPr="002E3CFD" w:rsidR="002E3CFD" w:rsidP="002E3CFD" w:rsidRDefault="002E3CFD" w14:paraId="16799BB0" w14:textId="77777777">
      <w:pPr>
        <w:jc w:val="both"/>
        <w:rPr>
          <w:rStyle w:val="Textoennegrita"/>
          <w:b w:val="0"/>
        </w:rPr>
      </w:pPr>
      <w:r w:rsidRPr="002E3CFD">
        <w:rPr>
          <w:b/>
          <w:u w:val="single"/>
        </w:rPr>
        <w:t>Sexto</w:t>
      </w:r>
      <w:r w:rsidRPr="002E3CFD">
        <w:rPr>
          <w:b/>
        </w:rPr>
        <w:t>:</w:t>
      </w:r>
      <w:r w:rsidRPr="002E3CFD">
        <w:rPr>
          <w:b/>
          <w:lang w:val="es-PE"/>
        </w:rPr>
        <w:t xml:space="preserve"> </w:t>
      </w:r>
      <w:r w:rsidRPr="002E3CFD">
        <w:rPr>
          <w:lang w:val="es-PE"/>
        </w:rPr>
        <w:t xml:space="preserve"> </w:t>
      </w:r>
      <w:r w:rsidRPr="002E3CFD">
        <w:rPr>
          <w:rStyle w:val="Textoennegrita"/>
          <w:b w:val="0"/>
        </w:rPr>
        <w:t>Que, en el presente caso se discute la legitimidad del rechazo de cobertura realizado por la aseguradora y reseñada en la parte introductoria de la presente resolución. No obstante, el Colegiado considera que, en primer lugar, resulta preciso determinar si la póliza, al momento del siniestro, se encontraba -o no- vigente.</w:t>
      </w:r>
    </w:p>
    <w:p w:rsidRPr="002E3CFD" w:rsidR="002E3CFD" w:rsidP="002E3CFD" w:rsidRDefault="002E3CFD" w14:paraId="52566D94" w14:textId="77777777">
      <w:pPr>
        <w:jc w:val="both"/>
        <w:rPr>
          <w:rStyle w:val="Textoennegrita"/>
          <w:b w:val="0"/>
        </w:rPr>
      </w:pPr>
    </w:p>
    <w:p w:rsidRPr="002E3CFD" w:rsidR="002E3CFD" w:rsidP="002E3CFD" w:rsidRDefault="002E3CFD" w14:paraId="58B69AE9" w14:textId="77777777">
      <w:pPr>
        <w:jc w:val="both"/>
        <w:rPr>
          <w:rStyle w:val="Textoennegrita"/>
          <w:b w:val="0"/>
        </w:rPr>
      </w:pPr>
      <w:r w:rsidRPr="002E3CFD">
        <w:rPr>
          <w:rStyle w:val="Textoennegrita"/>
          <w:b w:val="0"/>
        </w:rPr>
        <w:t>Al respecto, conforme a lo señalado por la aseguradora, tenemos lo siguiente:</w:t>
      </w:r>
    </w:p>
    <w:p w:rsidRPr="002E3CFD" w:rsidR="002E3CFD" w:rsidP="002E3CFD" w:rsidRDefault="002E3CFD" w14:paraId="7061B5CE" w14:textId="77777777">
      <w:pPr>
        <w:jc w:val="both"/>
        <w:rPr>
          <w:rStyle w:val="Textoennegrita"/>
          <w:b w:val="0"/>
        </w:rPr>
      </w:pPr>
    </w:p>
    <w:p w:rsidRPr="002E3CFD" w:rsidR="002E3CFD" w:rsidP="002E3CFD" w:rsidRDefault="002E3CFD" w14:paraId="6F88A5E1" w14:textId="35457FB4">
      <w:pPr>
        <w:jc w:val="center"/>
        <w:rPr>
          <w:rStyle w:val="Textoennegrita"/>
          <w:b w:val="0"/>
        </w:rPr>
      </w:pPr>
      <w:r w:rsidR="002E3CFD">
        <w:drawing>
          <wp:inline wp14:editId="56DF3209" wp14:anchorId="44E18758">
            <wp:extent cx="4533900" cy="666763"/>
            <wp:effectExtent l="0" t="0" r="0" b="0"/>
            <wp:docPr id="548657558" name="Imagen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1"/>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a:ext>
                      </a:extLst>
                    </a:blip>
                    <a:srcRect l="0" t="0" r="0" b="72111"/>
                    <a:stretch>
                      <a:fillRect/>
                    </a:stretch>
                  </pic:blipFill>
                  <pic:spPr bwMode="auto">
                    <a:xfrm rot="0">
                      <a:off x="0" y="0"/>
                      <a:ext cx="4533900" cy="666763"/>
                    </a:xfrm>
                    <a:prstGeom prst="rect">
                      <a:avLst/>
                    </a:prstGeom>
                    <a:noFill/>
                    <a:ln>
                      <a:noFill/>
                    </a:ln>
                  </pic:spPr>
                </pic:pic>
              </a:graphicData>
            </a:graphic>
          </wp:inline>
        </w:drawing>
      </w:r>
    </w:p>
    <w:p w:rsidRPr="002E3CFD" w:rsidR="002E3CFD" w:rsidP="002E3CFD" w:rsidRDefault="002E3CFD" w14:paraId="6850A74A" w14:textId="1014D99C">
      <w:pPr>
        <w:jc w:val="both"/>
      </w:pPr>
      <w:r w:rsidR="03FB2C0B">
        <w:drawing>
          <wp:inline wp14:editId="1CA78CD3" wp14:anchorId="0AEE8C69">
            <wp:extent cx="4529720" cy="1024217"/>
            <wp:effectExtent l="0" t="0" r="0" b="0"/>
            <wp:docPr id="8895053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90387433" name=""/>
                    <pic:cNvPicPr/>
                  </pic:nvPicPr>
                  <pic:blipFill>
                    <a:blip xmlns:r="http://schemas.openxmlformats.org/officeDocument/2006/relationships" r:embed="rId1527319715">
                      <a:extLst>
                        <a:ext xmlns:a="http://schemas.openxmlformats.org/drawingml/2006/main" uri="{28A0092B-C50C-407E-A947-70E740481C1C}">
                          <a14:useLocalDpi xmlns:a14="http://schemas.microsoft.com/office/drawing/2010/main" val="0"/>
                        </a:ext>
                      </a:extLst>
                    </a:blip>
                    <a:stretch>
                      <a:fillRect/>
                    </a:stretch>
                  </pic:blipFill>
                  <pic:spPr>
                    <a:xfrm>
                      <a:off x="0" y="0"/>
                      <a:ext cx="4529720" cy="1024217"/>
                    </a:xfrm>
                    <a:prstGeom prst="rect">
                      <a:avLst/>
                    </a:prstGeom>
                  </pic:spPr>
                </pic:pic>
              </a:graphicData>
            </a:graphic>
          </wp:inline>
        </w:drawing>
      </w:r>
    </w:p>
    <w:p w:rsidRPr="002E3CFD" w:rsidR="002E3CFD" w:rsidP="002E3CFD" w:rsidRDefault="002E3CFD" w14:paraId="792EBA24" w14:textId="71DB86BA">
      <w:pPr>
        <w:jc w:val="both"/>
      </w:pPr>
    </w:p>
    <w:p w:rsidR="32BD9C93" w:rsidP="32BD9C93" w:rsidRDefault="32BD9C93" w14:paraId="4DEC0A39" w14:textId="5CE71BE7">
      <w:pPr>
        <w:jc w:val="both"/>
      </w:pPr>
    </w:p>
    <w:p w:rsidR="32BD9C93" w:rsidP="32BD9C93" w:rsidRDefault="32BD9C93" w14:paraId="43B935CC" w14:textId="240761BA">
      <w:pPr>
        <w:jc w:val="both"/>
      </w:pPr>
    </w:p>
    <w:p w:rsidR="32BD9C93" w:rsidP="32BD9C93" w:rsidRDefault="32BD9C93" w14:paraId="6A8344E7" w14:textId="3479483D">
      <w:pPr>
        <w:jc w:val="both"/>
      </w:pPr>
    </w:p>
    <w:p w:rsidRPr="002E3CFD" w:rsidR="002E3CFD" w:rsidP="002E3CFD" w:rsidRDefault="002E3CFD" w14:paraId="10A7E560" w14:textId="77777777">
      <w:pPr>
        <w:jc w:val="both"/>
        <w:rPr>
          <w:rStyle w:val="Textoennegrita"/>
          <w:b w:val="0"/>
        </w:rPr>
      </w:pPr>
      <w:r w:rsidRPr="002E3CFD">
        <w:rPr>
          <w:rStyle w:val="Textoennegrita"/>
          <w:b w:val="0"/>
        </w:rPr>
        <w:t>Conforme se puede apreciar, la póliza cesó su vigencia el 28 de febrero de 2023, fecha bastante anterior al siniestro del 24 de marzo de 2023. Ahora bien, resulta importante afirmar que dicha información resulta ser confirmada por la reclamante, ya que, al momento de proporcionar la información propia del siniestro, indicó lo siguiente:</w:t>
      </w:r>
    </w:p>
    <w:p w:rsidRPr="002E3CFD" w:rsidR="002E3CFD" w:rsidP="002E3CFD" w:rsidRDefault="002E3CFD" w14:paraId="141755BD" w14:textId="77777777">
      <w:pPr>
        <w:jc w:val="both"/>
        <w:rPr>
          <w:rStyle w:val="Textoennegrita"/>
          <w:b w:val="0"/>
        </w:rPr>
      </w:pPr>
    </w:p>
    <w:p w:rsidRPr="002E3CFD" w:rsidR="002E3CFD" w:rsidP="002E3CFD" w:rsidRDefault="002E3CFD" w14:paraId="5E410089" w14:textId="0CD61E03">
      <w:pPr>
        <w:jc w:val="center"/>
      </w:pPr>
      <w:r w:rsidR="070B3B7A">
        <w:rPr/>
        <w:t>.............................................................................................................................</w:t>
      </w:r>
    </w:p>
    <w:p w:rsidR="32BD9C93" w:rsidP="32BD9C93" w:rsidRDefault="32BD9C93" w14:paraId="494C0043" w14:textId="15A0D37D">
      <w:pPr>
        <w:jc w:val="center"/>
      </w:pPr>
    </w:p>
    <w:p w:rsidRPr="002E3CFD" w:rsidR="002E3CFD" w:rsidP="002E3CFD" w:rsidRDefault="002E3CFD" w14:paraId="7EBE6F8B" w14:textId="77777777">
      <w:pPr>
        <w:jc w:val="both"/>
        <w:rPr>
          <w:rStyle w:val="Textoennegrita"/>
          <w:b w:val="0"/>
        </w:rPr>
      </w:pPr>
    </w:p>
    <w:p w:rsidRPr="002E3CFD" w:rsidR="002E3CFD" w:rsidP="002E3CFD" w:rsidRDefault="002E3CFD" w14:paraId="6ACA1749" w14:textId="77777777">
      <w:pPr>
        <w:jc w:val="both"/>
        <w:rPr>
          <w:rStyle w:val="Textoennegrita"/>
          <w:b w:val="0"/>
        </w:rPr>
      </w:pPr>
      <w:r w:rsidRPr="002E3CFD">
        <w:rPr>
          <w:rStyle w:val="Textoennegrita"/>
          <w:b w:val="0"/>
        </w:rPr>
        <w:t>Como vemos, no resulta un hecho controvertido que la vigencia de la póliza cesó el 28 de febrero de 2023 y que el siniestro ocurrió en una fecha bastante posterior; es decir, el 24 de marzo de 2023. En resumen, el siniestro sucede cuando la póliza no se encontraba vigente.</w:t>
      </w:r>
    </w:p>
    <w:p w:rsidRPr="002E3CFD" w:rsidR="002E3CFD" w:rsidP="002E3CFD" w:rsidRDefault="002E3CFD" w14:paraId="65EC4C05" w14:textId="77777777">
      <w:pPr>
        <w:jc w:val="both"/>
        <w:rPr>
          <w:rStyle w:val="Textoennegrita"/>
          <w:b w:val="0"/>
        </w:rPr>
      </w:pPr>
    </w:p>
    <w:p w:rsidRPr="002E3CFD" w:rsidR="002E3CFD" w:rsidP="002E3CFD" w:rsidRDefault="002E3CFD" w14:paraId="352D4970" w14:textId="77777777">
      <w:pPr>
        <w:tabs>
          <w:tab w:val="left" w:pos="2160"/>
        </w:tabs>
        <w:jc w:val="both"/>
        <w:rPr>
          <w:lang w:val="es-PE"/>
        </w:rPr>
      </w:pPr>
      <w:r w:rsidRPr="002E3CFD">
        <w:rPr>
          <w:b/>
          <w:u w:val="single"/>
          <w:lang w:val="es-PE"/>
        </w:rPr>
        <w:t>Sétimo:</w:t>
      </w:r>
      <w:r w:rsidRPr="002E3CFD">
        <w:rPr>
          <w:lang w:val="es-PE"/>
        </w:rPr>
        <w:t xml:space="preserve">  Que, sobre el particular, resulta necesario considerar que la Ley del Contrato de Seguro regula lo referido a la vigencia de la póliza cuando dispone lo siguiente:</w:t>
      </w:r>
    </w:p>
    <w:p w:rsidRPr="002E3CFD" w:rsidR="002E3CFD" w:rsidP="002E3CFD" w:rsidRDefault="002E3CFD" w14:paraId="25671D90" w14:textId="77777777">
      <w:pPr>
        <w:tabs>
          <w:tab w:val="left" w:pos="2160"/>
        </w:tabs>
        <w:jc w:val="both"/>
        <w:rPr>
          <w:lang w:val="es-PE"/>
        </w:rPr>
      </w:pPr>
    </w:p>
    <w:p w:rsidRPr="002E3CFD" w:rsidR="002E3CFD" w:rsidP="002E3CFD" w:rsidRDefault="002E3CFD" w14:paraId="7FE5E8E9" w14:textId="77777777">
      <w:pPr>
        <w:tabs>
          <w:tab w:val="left" w:pos="2160"/>
        </w:tabs>
        <w:ind w:left="1418"/>
        <w:jc w:val="both"/>
        <w:rPr>
          <w:lang w:val="es-PE"/>
        </w:rPr>
      </w:pPr>
      <w:r w:rsidRPr="002E3CFD">
        <w:rPr>
          <w:b/>
          <w:bCs/>
          <w:lang w:val="es-PE"/>
        </w:rPr>
        <w:t>Artículo 49. Comienzo y fin de la cobertura</w:t>
      </w:r>
    </w:p>
    <w:p w:rsidRPr="002E3CFD" w:rsidR="002E3CFD" w:rsidP="002E3CFD" w:rsidRDefault="002E3CFD" w14:paraId="32253D6A" w14:textId="77777777">
      <w:pPr>
        <w:tabs>
          <w:tab w:val="left" w:pos="2160"/>
        </w:tabs>
        <w:ind w:left="1418"/>
        <w:jc w:val="both"/>
        <w:rPr>
          <w:lang w:val="es-PE"/>
        </w:rPr>
      </w:pPr>
      <w:r w:rsidRPr="002E3CFD">
        <w:rPr>
          <w:lang w:val="es-PE"/>
        </w:rPr>
        <w:t>La cobertura del asegurador comienza a las doce (12) horas del día en que se inicia la vigencia y termina a las doce (12) horas del último día de vigencia del contrato, salvo pacto en contrario.</w:t>
      </w:r>
    </w:p>
    <w:p w:rsidRPr="002E3CFD" w:rsidR="002E3CFD" w:rsidP="002E3CFD" w:rsidRDefault="002E3CFD" w14:paraId="59B1CE45" w14:textId="77777777">
      <w:pPr>
        <w:tabs>
          <w:tab w:val="left" w:pos="2160"/>
        </w:tabs>
        <w:jc w:val="both"/>
        <w:rPr>
          <w:lang w:val="es-PE"/>
        </w:rPr>
      </w:pPr>
    </w:p>
    <w:p w:rsidRPr="002E3CFD" w:rsidR="002E3CFD" w:rsidP="002E3CFD" w:rsidRDefault="002E3CFD" w14:paraId="154300D7" w14:textId="77777777">
      <w:pPr>
        <w:tabs>
          <w:tab w:val="left" w:pos="2160"/>
        </w:tabs>
        <w:jc w:val="both"/>
        <w:rPr>
          <w:lang w:val="es-PE"/>
        </w:rPr>
      </w:pPr>
      <w:r w:rsidRPr="002E3CFD">
        <w:rPr>
          <w:lang w:val="es-PE"/>
        </w:rPr>
        <w:t>En ese sentido, la aseguradora contaba con el deber de garantizar las coberturas ofrecidas, siempre que el siniestro se presente dentro del plazo de vigencia de la póliza. En el presente caso, como hemos señalado anteriormente, el plazo de vigencia de la póliza finalizó el 28 de febrero de 2023, siendo que cualquier situación acaecida con posterioridad a ello, no resulta bajo cobertura de la póliza. Por ello, no resulta posible afirmar que la aseguradora se haya encontrado obligada a atender el pedido de cobertura de la reclamante.</w:t>
      </w:r>
    </w:p>
    <w:p w:rsidRPr="002E3CFD" w:rsidR="002E3CFD" w:rsidP="002E3CFD" w:rsidRDefault="002E3CFD" w14:paraId="4683EE6E" w14:textId="77777777">
      <w:pPr>
        <w:tabs>
          <w:tab w:val="left" w:pos="2160"/>
        </w:tabs>
        <w:jc w:val="both"/>
        <w:rPr>
          <w:lang w:val="es-PE"/>
        </w:rPr>
      </w:pPr>
    </w:p>
    <w:p w:rsidRPr="002E3CFD" w:rsidR="002E3CFD" w:rsidP="002E3CFD" w:rsidRDefault="002E3CFD" w14:paraId="4E5EBFE3" w14:textId="77777777">
      <w:pPr>
        <w:tabs>
          <w:tab w:val="left" w:pos="2160"/>
        </w:tabs>
        <w:jc w:val="both"/>
        <w:rPr>
          <w:lang w:val="es-PE"/>
        </w:rPr>
      </w:pPr>
      <w:r w:rsidRPr="002E3CFD">
        <w:rPr>
          <w:lang w:val="es-PE"/>
        </w:rPr>
        <w:t>Ahora bien, siendo que los detalles o circunstancias del siniestro, así como la calificación del bien asegurado en la póliza, no enervan el hecho de que -al momento del siniestro- la póliza no se encontraba vigente. En ese sentido, carece de objeto pronunciarse respecto de ello.</w:t>
      </w:r>
    </w:p>
    <w:p w:rsidRPr="002E3CFD" w:rsidR="002E3CFD" w:rsidP="002E3CFD" w:rsidRDefault="002E3CFD" w14:paraId="23F43DB6" w14:textId="77777777">
      <w:pPr>
        <w:tabs>
          <w:tab w:val="left" w:pos="2160"/>
        </w:tabs>
        <w:jc w:val="both"/>
        <w:rPr>
          <w:lang w:val="es-PE"/>
        </w:rPr>
      </w:pPr>
    </w:p>
    <w:p w:rsidRPr="002E3CFD" w:rsidR="002E3CFD" w:rsidP="002E3CFD" w:rsidRDefault="002E3CFD" w14:paraId="6BF02537" w14:textId="3BE97950">
      <w:pPr>
        <w:tabs>
          <w:tab w:val="left" w:pos="2160"/>
        </w:tabs>
        <w:jc w:val="both"/>
        <w:rPr>
          <w:lang w:val="es-PE"/>
        </w:rPr>
      </w:pPr>
      <w:r w:rsidRPr="32BD9C93" w:rsidR="002E3CFD">
        <w:rPr>
          <w:b w:val="1"/>
          <w:bCs w:val="1"/>
          <w:u w:val="single"/>
          <w:lang w:val="es-PE"/>
        </w:rPr>
        <w:t>Octavo:</w:t>
      </w:r>
      <w:r w:rsidRPr="32BD9C93" w:rsidR="002E3CFD">
        <w:rPr>
          <w:lang w:val="es-PE"/>
        </w:rPr>
        <w:t xml:space="preserve">  Que, finalmente, debemos precisar que el hecho de que la aseguradora haya realizado acciones, tales como la asignación de un Ajustador o, incluso, el texto de la Carta </w:t>
      </w:r>
      <w:r w:rsidRPr="32BD9C93" w:rsidR="002E3CFD">
        <w:rPr>
          <w:lang w:val="es-PE"/>
        </w:rPr>
        <w:t>N°</w:t>
      </w:r>
      <w:r w:rsidRPr="32BD9C93" w:rsidR="002E3CFD">
        <w:rPr>
          <w:lang w:val="es-PE"/>
        </w:rPr>
        <w:t xml:space="preserve"> </w:t>
      </w:r>
      <w:r w:rsidRPr="32BD9C93" w:rsidR="39E6AA3A">
        <w:rPr>
          <w:lang w:val="es-PE"/>
        </w:rPr>
        <w:t>......................</w:t>
      </w:r>
      <w:r w:rsidRPr="32BD9C93" w:rsidR="002E3CFD">
        <w:rPr>
          <w:lang w:val="es-PE"/>
        </w:rPr>
        <w:t xml:space="preserve"> / 2023</w:t>
      </w:r>
      <w:r w:rsidRPr="32BD9C93" w:rsidR="002E3CFD">
        <w:rPr>
          <w:b w:val="1"/>
          <w:bCs w:val="1"/>
          <w:lang w:val="es-PE"/>
        </w:rPr>
        <w:t xml:space="preserve">, </w:t>
      </w:r>
      <w:r w:rsidRPr="32BD9C93" w:rsidR="002E3CFD">
        <w:rPr>
          <w:lang w:val="es-PE"/>
        </w:rPr>
        <w:t xml:space="preserve">no enervan lo afirmado en el considerando previo. Así pues, debe </w:t>
      </w:r>
      <w:r w:rsidRPr="32BD9C93" w:rsidR="002E3CFD">
        <w:rPr>
          <w:lang w:val="es-PE"/>
        </w:rPr>
        <w:t>tenerse presente que el error no puede generar derecho alguno, tal como así lo ha establecido, por ejemplo, el Tribunal Constitucional cuando afirmó lo siguiente:</w:t>
      </w:r>
    </w:p>
    <w:p w:rsidRPr="002E3CFD" w:rsidR="002E3CFD" w:rsidP="002E3CFD" w:rsidRDefault="002E3CFD" w14:paraId="76D08E5C" w14:textId="77777777">
      <w:pPr>
        <w:tabs>
          <w:tab w:val="left" w:pos="2160"/>
        </w:tabs>
        <w:jc w:val="both"/>
        <w:rPr>
          <w:lang w:val="es-PE"/>
        </w:rPr>
      </w:pPr>
    </w:p>
    <w:p w:rsidRPr="002E3CFD" w:rsidR="002E3CFD" w:rsidP="002E3CFD" w:rsidRDefault="002E3CFD" w14:paraId="39F26877" w14:textId="77777777">
      <w:pPr>
        <w:tabs>
          <w:tab w:val="left" w:pos="2160"/>
        </w:tabs>
        <w:ind w:left="1418"/>
        <w:jc w:val="both"/>
        <w:rPr>
          <w:lang w:val="es-ES_tradnl"/>
        </w:rPr>
      </w:pPr>
      <w:r w:rsidRPr="002E3CFD">
        <w:t>8.        </w:t>
      </w:r>
      <w:r w:rsidRPr="002E3CFD">
        <w:rPr>
          <w:lang w:val="es-ES_tradnl"/>
        </w:rPr>
        <w:t>Es en este sentido que este Tribunal se ha pronunciado en la STC 1254-2004-PA/TC, cuando sostuvo que: “</w:t>
      </w:r>
      <w:r w:rsidRPr="002E3CFD">
        <w:rPr>
          <w:i/>
          <w:iCs/>
          <w:lang w:val="es-ES_tradnl"/>
        </w:rPr>
        <w:t>la alegación de poseer derechos adquiridos presupone que estos hayan sido obtenidos conforme a ley, toda vez que el error no genera derechos; por consiguiente, cualquier otra opinión vertida con anterioridad en que se haya estimado la prevalencia de la cosa decidida, sobre el derecho legalmente adquirido, queda sustituida por los fundamentos precedentes</w:t>
      </w:r>
      <w:r w:rsidRPr="002E3CFD">
        <w:rPr>
          <w:lang w:val="es-ES_tradnl"/>
        </w:rPr>
        <w:t>”.</w:t>
      </w:r>
    </w:p>
    <w:p w:rsidRPr="002E3CFD" w:rsidR="002E3CFD" w:rsidP="002E3CFD" w:rsidRDefault="002E3CFD" w14:paraId="239E7F9D" w14:textId="77777777">
      <w:pPr>
        <w:tabs>
          <w:tab w:val="left" w:pos="2160"/>
        </w:tabs>
        <w:ind w:left="1418"/>
        <w:jc w:val="right"/>
        <w:rPr>
          <w:lang w:val="es-PE"/>
        </w:rPr>
      </w:pPr>
      <w:r w:rsidRPr="002E3CFD">
        <w:rPr>
          <w:lang w:val="es-ES_tradnl"/>
        </w:rPr>
        <w:t>[STC N° 03059-2011-PA/TC]</w:t>
      </w:r>
    </w:p>
    <w:p w:rsidRPr="002E3CFD" w:rsidR="002E3CFD" w:rsidP="002E3CFD" w:rsidRDefault="002E3CFD" w14:paraId="12927079" w14:textId="77777777">
      <w:pPr>
        <w:tabs>
          <w:tab w:val="left" w:pos="2160"/>
        </w:tabs>
        <w:jc w:val="both"/>
        <w:rPr>
          <w:lang w:val="es-PE"/>
        </w:rPr>
      </w:pPr>
    </w:p>
    <w:p w:rsidRPr="002E3CFD" w:rsidR="002E3CFD" w:rsidP="002E3CFD" w:rsidRDefault="002E3CFD" w14:paraId="16F17B8C" w14:textId="77777777">
      <w:pPr>
        <w:tabs>
          <w:tab w:val="left" w:pos="2160"/>
        </w:tabs>
        <w:jc w:val="both"/>
        <w:rPr>
          <w:lang w:val="es-PE"/>
        </w:rPr>
      </w:pPr>
    </w:p>
    <w:p w:rsidRPr="002E3CFD" w:rsidR="002E3CFD" w:rsidP="002E3CFD" w:rsidRDefault="002E3CFD" w14:paraId="491D5611" w14:textId="10E0E95F">
      <w:pPr>
        <w:tabs>
          <w:tab w:val="left" w:pos="2160"/>
        </w:tabs>
        <w:jc w:val="both"/>
        <w:rPr>
          <w:lang w:val="es-PE"/>
        </w:rPr>
      </w:pPr>
      <w:r w:rsidRPr="32BD9C93" w:rsidR="002E3CFD">
        <w:rPr>
          <w:lang w:val="es-PE"/>
        </w:rPr>
        <w:t xml:space="preserve">En ese sentido, no es posible afirmar que la Carta </w:t>
      </w:r>
      <w:r w:rsidRPr="32BD9C93" w:rsidR="002E3CFD">
        <w:rPr>
          <w:lang w:val="es-PE"/>
        </w:rPr>
        <w:t>N°</w:t>
      </w:r>
      <w:r w:rsidRPr="32BD9C93" w:rsidR="002E3CFD">
        <w:rPr>
          <w:lang w:val="es-PE"/>
        </w:rPr>
        <w:t xml:space="preserve"> </w:t>
      </w:r>
      <w:r w:rsidRPr="32BD9C93" w:rsidR="7D91E075">
        <w:rPr>
          <w:lang w:val="es-PE"/>
        </w:rPr>
        <w:t>................................</w:t>
      </w:r>
      <w:r w:rsidRPr="32BD9C93" w:rsidR="002E3CFD">
        <w:rPr>
          <w:lang w:val="es-PE"/>
        </w:rPr>
        <w:t xml:space="preserve"> o el procedimiento de análisis de siniestro existente impliquen una aceptación tácita de la vigencia de la póliza o una muestra de voluntad de la extensión de </w:t>
      </w:r>
      <w:r w:rsidRPr="32BD9C93" w:rsidR="002E3CFD">
        <w:rPr>
          <w:lang w:val="es-PE"/>
        </w:rPr>
        <w:t>la misma</w:t>
      </w:r>
      <w:r w:rsidRPr="32BD9C93" w:rsidR="002E3CFD">
        <w:rPr>
          <w:lang w:val="es-PE"/>
        </w:rPr>
        <w:t>. Por el contrario, tal como hemos señalado, el error no puede generar derecho alguno. En ese sentido, atendiendo a que la vigencia de la póliza había cesado con anterioridad al siniestro objeto de solicitud de la reclamante, no resulta posible atender dicho pedido de cobertura.</w:t>
      </w:r>
    </w:p>
    <w:p w:rsidRPr="002E3CFD" w:rsidR="002E3CFD" w:rsidP="002E3CFD" w:rsidRDefault="002E3CFD" w14:paraId="057BAA76" w14:textId="77777777">
      <w:pPr>
        <w:tabs>
          <w:tab w:val="left" w:pos="2160"/>
        </w:tabs>
        <w:jc w:val="both"/>
        <w:rPr>
          <w:lang w:val="es-PE"/>
        </w:rPr>
      </w:pPr>
    </w:p>
    <w:p w:rsidRPr="002E3CFD" w:rsidR="002E3CFD" w:rsidP="002E3CFD" w:rsidRDefault="002E3CFD" w14:paraId="74473400" w14:textId="77777777">
      <w:pPr>
        <w:tabs>
          <w:tab w:val="left" w:pos="2160"/>
        </w:tabs>
        <w:jc w:val="both"/>
        <w:rPr>
          <w:b/>
          <w:lang w:val="es-PE"/>
        </w:rPr>
      </w:pPr>
      <w:r w:rsidRPr="002E3CFD">
        <w:rPr>
          <w:b/>
          <w:lang w:val="es-PE"/>
        </w:rPr>
        <w:t xml:space="preserve">Atendiendo a lo expresado, este colegiado </w:t>
      </w:r>
      <w:r w:rsidRPr="002E3CFD">
        <w:rPr>
          <w:b/>
        </w:rPr>
        <w:t>concluye su apreciación razonada y conjunta al amparo de lo establecido en su Reglamento, por lo que</w:t>
      </w:r>
      <w:r w:rsidRPr="002E3CFD">
        <w:rPr>
          <w:b/>
          <w:lang w:val="es-PE"/>
        </w:rPr>
        <w:t xml:space="preserve"> resuelve:</w:t>
      </w:r>
    </w:p>
    <w:p w:rsidRPr="002E3CFD" w:rsidR="002E3CFD" w:rsidP="002E3CFD" w:rsidRDefault="002E3CFD" w14:paraId="6AA2DA9C" w14:textId="77777777">
      <w:pPr>
        <w:tabs>
          <w:tab w:val="left" w:pos="2160"/>
        </w:tabs>
        <w:jc w:val="both"/>
      </w:pPr>
    </w:p>
    <w:p w:rsidRPr="002E3CFD" w:rsidR="002E3CFD" w:rsidP="002E3CFD" w:rsidRDefault="002E3CFD" w14:paraId="04A98132" w14:textId="4572F285">
      <w:pPr>
        <w:tabs>
          <w:tab w:val="left" w:pos="2160"/>
        </w:tabs>
        <w:jc w:val="both"/>
        <w:rPr>
          <w:lang w:val="es-PE"/>
        </w:rPr>
      </w:pPr>
      <w:r w:rsidRPr="32BD9C93" w:rsidR="002E3CFD">
        <w:rPr>
          <w:lang w:val="es-PE"/>
        </w:rPr>
        <w:t xml:space="preserve">Declarar </w:t>
      </w:r>
      <w:r w:rsidRPr="32BD9C93" w:rsidR="002E3CFD">
        <w:rPr>
          <w:b w:val="1"/>
          <w:bCs w:val="1"/>
          <w:lang w:val="es-PE"/>
        </w:rPr>
        <w:t xml:space="preserve">INFUNDADA </w:t>
      </w:r>
      <w:r w:rsidRPr="32BD9C93" w:rsidR="002E3CFD">
        <w:rPr>
          <w:lang w:val="es-PE"/>
        </w:rPr>
        <w:t xml:space="preserve">la reclamación interpuesta por doña </w:t>
      </w:r>
      <w:r w:rsidRPr="32BD9C93" w:rsidR="4C1C859C">
        <w:rPr>
          <w:b w:val="1"/>
          <w:bCs w:val="1"/>
        </w:rPr>
        <w:t>..................................................</w:t>
      </w:r>
      <w:r w:rsidRPr="32BD9C93" w:rsidR="002E3CFD">
        <w:rPr>
          <w:b w:val="1"/>
          <w:bCs w:val="1"/>
          <w:lang w:val="es-PE"/>
        </w:rPr>
        <w:t xml:space="preserve"> </w:t>
      </w:r>
      <w:r w:rsidRPr="32BD9C93" w:rsidR="002E3CFD">
        <w:rPr>
          <w:lang w:val="es-PE"/>
        </w:rPr>
        <w:t xml:space="preserve">contra </w:t>
      </w:r>
      <w:r w:rsidRPr="32BD9C93" w:rsidR="53F2C2FE">
        <w:rPr>
          <w:b w:val="1"/>
          <w:bCs w:val="1"/>
          <w:lang w:val="es-PE"/>
        </w:rPr>
        <w:t>...............................................................................</w:t>
      </w:r>
      <w:r w:rsidRPr="32BD9C93" w:rsidR="002E3CFD">
        <w:rPr>
          <w:lang w:val="es-PE"/>
        </w:rPr>
        <w:t>, dejando a salvo el derecho de la reclamante de acudir ante las instancias que estime pertinente.</w:t>
      </w:r>
    </w:p>
    <w:p w:rsidRPr="002E3CFD" w:rsidR="00132993" w:rsidP="00DF67C8" w:rsidRDefault="00132993" w14:paraId="382A77BF" w14:textId="77777777">
      <w:pPr>
        <w:outlineLvl w:val="0"/>
        <w:rPr>
          <w:lang w:val="es-PE"/>
        </w:rPr>
      </w:pPr>
    </w:p>
    <w:p w:rsidRPr="002E3CFD" w:rsidR="001631D6" w:rsidP="00F202DC" w:rsidRDefault="00F15FBA" w14:paraId="48C7895B" w14:textId="5E3A0027">
      <w:pPr>
        <w:jc w:val="right"/>
        <w:outlineLvl w:val="0"/>
        <w:rPr>
          <w:lang w:val="es-PE"/>
        </w:rPr>
      </w:pPr>
      <w:r w:rsidRPr="002E3CFD">
        <w:rPr>
          <w:lang w:val="es-PE"/>
        </w:rPr>
        <w:t>Lima,</w:t>
      </w:r>
      <w:r w:rsidRPr="002E3CFD" w:rsidR="002E3CFD">
        <w:rPr>
          <w:lang w:val="es-PE"/>
        </w:rPr>
        <w:t xml:space="preserve"> 05</w:t>
      </w:r>
      <w:r w:rsidRPr="002E3CFD" w:rsidR="00195646">
        <w:t xml:space="preserve"> </w:t>
      </w:r>
      <w:r w:rsidRPr="002E3CFD">
        <w:rPr>
          <w:lang w:val="es-PE"/>
        </w:rPr>
        <w:t>de</w:t>
      </w:r>
      <w:r w:rsidRPr="002E3CFD" w:rsidR="001631D6">
        <w:rPr>
          <w:lang w:val="es-PE"/>
        </w:rPr>
        <w:t xml:space="preserve"> </w:t>
      </w:r>
      <w:r w:rsidRPr="002E3CFD" w:rsidR="002E3CFD">
        <w:rPr>
          <w:lang w:val="es-PE"/>
        </w:rPr>
        <w:t>febrero</w:t>
      </w:r>
      <w:r w:rsidRPr="002E3CFD" w:rsidR="001631D6">
        <w:rPr>
          <w:lang w:val="es-PE"/>
        </w:rPr>
        <w:t xml:space="preserve"> </w:t>
      </w:r>
      <w:r w:rsidRPr="002E3CFD">
        <w:rPr>
          <w:lang w:val="es-PE"/>
        </w:rPr>
        <w:t>de 20</w:t>
      </w:r>
      <w:r w:rsidRPr="002E3CFD" w:rsidR="001631D6">
        <w:rPr>
          <w:lang w:val="es-PE"/>
        </w:rPr>
        <w:t>2</w:t>
      </w:r>
      <w:r w:rsidRPr="002E3CFD" w:rsidR="00E82564">
        <w:rPr>
          <w:lang w:val="es-PE"/>
        </w:rPr>
        <w:t>4</w:t>
      </w:r>
    </w:p>
    <w:p w:rsidRPr="002E3CFD" w:rsidR="00F202DC" w:rsidP="001631D6" w:rsidRDefault="00F202DC" w14:paraId="55EA6443" w14:textId="77777777">
      <w:pPr>
        <w:jc w:val="both"/>
      </w:pPr>
    </w:p>
    <w:p w:rsidRPr="002E3CFD" w:rsidR="001631D6" w:rsidP="001631D6" w:rsidRDefault="001631D6" w14:paraId="54F717D9" w14:textId="77777777">
      <w:pPr>
        <w:jc w:val="both"/>
        <w:rPr>
          <w:b/>
          <w:bCs/>
          <w:i/>
          <w:iCs/>
          <w:lang w:val="es-ES_tradnl"/>
        </w:rPr>
      </w:pPr>
      <w:r w:rsidRPr="002E3CFD">
        <w:rPr>
          <w:b/>
          <w:bCs/>
          <w:i/>
          <w:iCs/>
          <w:lang w:val="es-ES_tradnl"/>
        </w:rPr>
        <w:t>La Secretaría Técnica certifica que la presente resolución cuenta con el voto de los vocales cuyos nombres figuran en el presente documento.</w:t>
      </w:r>
    </w:p>
    <w:p w:rsidRPr="002E3CFD" w:rsidR="001631D6" w:rsidP="001631D6" w:rsidRDefault="001631D6" w14:paraId="265ABE8B" w14:textId="77777777">
      <w:pPr>
        <w:jc w:val="both"/>
        <w:rPr>
          <w:b/>
          <w:bCs/>
          <w:i/>
          <w:iCs/>
          <w:lang w:val="es-ES_tradnl"/>
        </w:rPr>
      </w:pPr>
    </w:p>
    <w:p w:rsidRPr="002E3CFD" w:rsidR="001631D6" w:rsidP="00356B1A" w:rsidRDefault="00356B1A" w14:paraId="024CA4C1" w14:textId="4785C9C9">
      <w:pPr>
        <w:spacing w:line="360" w:lineRule="auto"/>
        <w:jc w:val="center"/>
        <w:rPr>
          <w:b/>
          <w:bCs/>
        </w:rPr>
      </w:pPr>
      <w:r w:rsidRPr="002E3CFD">
        <w:rPr>
          <w:b/>
          <w:bCs/>
        </w:rPr>
        <w:t xml:space="preserve">María Eugenia Valdez Fernández Baca – </w:t>
      </w:r>
      <w:proofErr w:type="gramStart"/>
      <w:r w:rsidRPr="002E3CFD" w:rsidR="00D43CAB">
        <w:rPr>
          <w:b/>
          <w:bCs/>
        </w:rPr>
        <w:t>Presidente</w:t>
      </w:r>
      <w:proofErr w:type="gramEnd"/>
    </w:p>
    <w:p w:rsidRPr="002E3CFD" w:rsidR="001631D6" w:rsidP="001631D6" w:rsidRDefault="001631D6" w14:paraId="515933D0" w14:textId="5FD7ECBB">
      <w:pPr>
        <w:spacing w:line="360" w:lineRule="auto"/>
        <w:jc w:val="center"/>
        <w:rPr>
          <w:b/>
          <w:bCs/>
        </w:rPr>
      </w:pPr>
      <w:r w:rsidRPr="002E3CFD">
        <w:rPr>
          <w:b/>
          <w:bCs/>
        </w:rPr>
        <w:t xml:space="preserve">Rolando Eyzaguirre </w:t>
      </w:r>
      <w:proofErr w:type="spellStart"/>
      <w:r w:rsidRPr="002E3CFD">
        <w:rPr>
          <w:b/>
          <w:bCs/>
        </w:rPr>
        <w:t>Maccan</w:t>
      </w:r>
      <w:proofErr w:type="spellEnd"/>
      <w:r w:rsidRPr="002E3CFD">
        <w:rPr>
          <w:b/>
          <w:bCs/>
        </w:rPr>
        <w:t xml:space="preserve"> – </w:t>
      </w:r>
      <w:r w:rsidRPr="002E3CFD" w:rsidR="003E6BA6">
        <w:rPr>
          <w:b/>
          <w:bCs/>
        </w:rPr>
        <w:t>Vocal</w:t>
      </w:r>
    </w:p>
    <w:p w:rsidRPr="002E3CFD" w:rsidR="001631D6" w:rsidP="001631D6" w:rsidRDefault="00807D21" w14:paraId="4B70DE1B" w14:textId="0A8BEEE9">
      <w:pPr>
        <w:spacing w:line="360" w:lineRule="auto"/>
        <w:jc w:val="center"/>
        <w:rPr>
          <w:b/>
          <w:bCs/>
        </w:rPr>
      </w:pPr>
      <w:r w:rsidRPr="002E3CFD">
        <w:rPr>
          <w:b/>
          <w:bCs/>
        </w:rPr>
        <w:t>Omar Alfaro Villanueva</w:t>
      </w:r>
      <w:r w:rsidRPr="002E3CFD" w:rsidR="001631D6">
        <w:rPr>
          <w:b/>
          <w:bCs/>
        </w:rPr>
        <w:t xml:space="preserve"> – Vocal</w:t>
      </w:r>
    </w:p>
    <w:p w:rsidRPr="002E3CFD" w:rsidR="00F15FBA" w:rsidP="00E03444" w:rsidRDefault="001631D6" w14:paraId="22C77427" w14:textId="498B9F06">
      <w:pPr>
        <w:spacing w:line="360" w:lineRule="auto"/>
        <w:jc w:val="center"/>
        <w:rPr>
          <w:lang w:val="es-MX"/>
        </w:rPr>
      </w:pPr>
      <w:r w:rsidRPr="002E3CFD">
        <w:rPr>
          <w:b/>
          <w:bCs/>
        </w:rPr>
        <w:t>Gonzalo Abad del Busto - Vocal</w:t>
      </w:r>
    </w:p>
    <w:p w:rsidRPr="00764A1E" w:rsidR="00F15FBA" w:rsidP="00F15FBA" w:rsidRDefault="00F15FBA" w14:paraId="58BFC23A" w14:textId="77777777"/>
    <w:p w:rsidRPr="0094536D" w:rsidR="00AA6EF2" w:rsidRDefault="00AA6EF2" w14:paraId="3CD6760A" w14:textId="77777777"/>
    <w:sectPr w:rsidRPr="0094536D" w:rsidR="00AA6EF2" w:rsidSect="009C62E5">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C62E5" w:rsidP="005F148C" w:rsidRDefault="009C62E5" w14:paraId="5C17370D" w14:textId="77777777">
      <w:r>
        <w:separator/>
      </w:r>
    </w:p>
  </w:endnote>
  <w:endnote w:type="continuationSeparator" w:id="0">
    <w:p w:rsidR="009C62E5" w:rsidP="005F148C" w:rsidRDefault="009C62E5" w14:paraId="21541AC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C62E5" w:rsidP="005F148C" w:rsidRDefault="009C62E5" w14:paraId="2E12DD02" w14:textId="77777777">
      <w:r>
        <w:separator/>
      </w:r>
    </w:p>
  </w:footnote>
  <w:footnote w:type="continuationSeparator" w:id="0">
    <w:p w:rsidR="009C62E5" w:rsidP="005F148C" w:rsidRDefault="009C62E5" w14:paraId="5D2D1A60" w14:textId="77777777">
      <w:r>
        <w:continuationSeparator/>
      </w:r>
    </w:p>
  </w:footnote>
  <w:footnote w:id="1">
    <w:p w:rsidR="002E3CFD" w:rsidP="002E3CFD" w:rsidRDefault="002E3CFD" w14:paraId="75CE0B91" w14:textId="77777777">
      <w:pPr>
        <w:pStyle w:val="Textonotapie"/>
        <w:jc w:val="both"/>
        <w:rPr>
          <w:lang w:val="es-MX"/>
        </w:rPr>
      </w:pPr>
      <w:r>
        <w:rPr>
          <w:rStyle w:val="Refdenotaalpie"/>
        </w:rPr>
        <w:footnoteRef/>
      </w:r>
      <w:r>
        <w:t xml:space="preserve"> </w:t>
      </w:r>
      <w:r>
        <w:rPr>
          <w:lang w:val="es-MX"/>
        </w:rPr>
        <w:t xml:space="preserve">De la documentación recabada observamos que la entidad bancaria con la cual se contrató la aseguradora es el BBVA Banco Continental y no el Banco </w:t>
      </w:r>
      <w:proofErr w:type="spellStart"/>
      <w:r>
        <w:rPr>
          <w:lang w:val="es-MX"/>
        </w:rPr>
        <w:t>Banbif</w:t>
      </w:r>
      <w:proofErr w:type="spellEnd"/>
      <w:r>
        <w:rPr>
          <w:lang w:val="es-MX"/>
        </w:rPr>
        <w:t xml:space="preserve">, como afirma la aseguradora.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5"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7"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1"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2"/>
  </w:num>
  <w:num w:numId="2" w16cid:durableId="484517491">
    <w:abstractNumId w:val="29"/>
  </w:num>
  <w:num w:numId="3" w16cid:durableId="818159359">
    <w:abstractNumId w:val="22"/>
  </w:num>
  <w:num w:numId="4" w16cid:durableId="1722173265">
    <w:abstractNumId w:val="32"/>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0"/>
  </w:num>
  <w:num w:numId="17" w16cid:durableId="19438031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19"/>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31"/>
  </w:num>
  <w:num w:numId="26" w16cid:durableId="719092205">
    <w:abstractNumId w:val="15"/>
  </w:num>
  <w:num w:numId="27" w16cid:durableId="1799180679">
    <w:abstractNumId w:val="33"/>
  </w:num>
  <w:num w:numId="28" w16cid:durableId="1019042468">
    <w:abstractNumId w:val="27"/>
  </w:num>
  <w:num w:numId="29" w16cid:durableId="11761913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451E9"/>
    <w:rsid w:val="000519B7"/>
    <w:rsid w:val="00084E51"/>
    <w:rsid w:val="00094DDA"/>
    <w:rsid w:val="000C0243"/>
    <w:rsid w:val="000C4520"/>
    <w:rsid w:val="000D2700"/>
    <w:rsid w:val="000D5261"/>
    <w:rsid w:val="000F2845"/>
    <w:rsid w:val="000F3798"/>
    <w:rsid w:val="000F3E4F"/>
    <w:rsid w:val="000F5110"/>
    <w:rsid w:val="00103188"/>
    <w:rsid w:val="00131FAD"/>
    <w:rsid w:val="00132993"/>
    <w:rsid w:val="00140C67"/>
    <w:rsid w:val="00157E8B"/>
    <w:rsid w:val="001631D6"/>
    <w:rsid w:val="00195646"/>
    <w:rsid w:val="001A3593"/>
    <w:rsid w:val="001B1B5A"/>
    <w:rsid w:val="001B6607"/>
    <w:rsid w:val="001C2B16"/>
    <w:rsid w:val="001C5BFF"/>
    <w:rsid w:val="001D01FD"/>
    <w:rsid w:val="001D1EB6"/>
    <w:rsid w:val="001E1429"/>
    <w:rsid w:val="001E6B7D"/>
    <w:rsid w:val="001F004E"/>
    <w:rsid w:val="0020442B"/>
    <w:rsid w:val="00210315"/>
    <w:rsid w:val="0022642E"/>
    <w:rsid w:val="00233ED8"/>
    <w:rsid w:val="002370F4"/>
    <w:rsid w:val="00247F81"/>
    <w:rsid w:val="00281026"/>
    <w:rsid w:val="00281CF8"/>
    <w:rsid w:val="002A2188"/>
    <w:rsid w:val="002B14D5"/>
    <w:rsid w:val="002B50D6"/>
    <w:rsid w:val="002E35A4"/>
    <w:rsid w:val="002E3B7A"/>
    <w:rsid w:val="002E3CFD"/>
    <w:rsid w:val="002E708C"/>
    <w:rsid w:val="00316A1B"/>
    <w:rsid w:val="0032570B"/>
    <w:rsid w:val="00341B7D"/>
    <w:rsid w:val="003503F7"/>
    <w:rsid w:val="00356B1A"/>
    <w:rsid w:val="00381555"/>
    <w:rsid w:val="003977C8"/>
    <w:rsid w:val="003B46E3"/>
    <w:rsid w:val="003B4770"/>
    <w:rsid w:val="003B5737"/>
    <w:rsid w:val="003E6BA6"/>
    <w:rsid w:val="003F790B"/>
    <w:rsid w:val="004133B4"/>
    <w:rsid w:val="00417664"/>
    <w:rsid w:val="00417E23"/>
    <w:rsid w:val="00444D29"/>
    <w:rsid w:val="00457818"/>
    <w:rsid w:val="00467825"/>
    <w:rsid w:val="00477D05"/>
    <w:rsid w:val="004854D9"/>
    <w:rsid w:val="004A0A3B"/>
    <w:rsid w:val="004C1FA2"/>
    <w:rsid w:val="004E14C6"/>
    <w:rsid w:val="004E50D6"/>
    <w:rsid w:val="00507E35"/>
    <w:rsid w:val="00516549"/>
    <w:rsid w:val="00525E53"/>
    <w:rsid w:val="00531FBE"/>
    <w:rsid w:val="005574EF"/>
    <w:rsid w:val="00562D9B"/>
    <w:rsid w:val="0058358B"/>
    <w:rsid w:val="005C5922"/>
    <w:rsid w:val="005D1456"/>
    <w:rsid w:val="005E011F"/>
    <w:rsid w:val="005F1349"/>
    <w:rsid w:val="005F148C"/>
    <w:rsid w:val="00617F3E"/>
    <w:rsid w:val="00647AEE"/>
    <w:rsid w:val="00651449"/>
    <w:rsid w:val="00654115"/>
    <w:rsid w:val="00660432"/>
    <w:rsid w:val="0069382D"/>
    <w:rsid w:val="006A0CDE"/>
    <w:rsid w:val="006A1077"/>
    <w:rsid w:val="006D33B8"/>
    <w:rsid w:val="00712630"/>
    <w:rsid w:val="007224F7"/>
    <w:rsid w:val="00734447"/>
    <w:rsid w:val="00742D07"/>
    <w:rsid w:val="007474DB"/>
    <w:rsid w:val="00764A1E"/>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8F6A81"/>
    <w:rsid w:val="0092266A"/>
    <w:rsid w:val="009334B0"/>
    <w:rsid w:val="00934888"/>
    <w:rsid w:val="0094536D"/>
    <w:rsid w:val="00956D96"/>
    <w:rsid w:val="009767BB"/>
    <w:rsid w:val="00977F56"/>
    <w:rsid w:val="009A4409"/>
    <w:rsid w:val="009A7580"/>
    <w:rsid w:val="009B3934"/>
    <w:rsid w:val="009B61F6"/>
    <w:rsid w:val="009C28AE"/>
    <w:rsid w:val="009C4A1C"/>
    <w:rsid w:val="009C62E5"/>
    <w:rsid w:val="00A00F9E"/>
    <w:rsid w:val="00A14315"/>
    <w:rsid w:val="00A223FC"/>
    <w:rsid w:val="00A80BAD"/>
    <w:rsid w:val="00AA6EF2"/>
    <w:rsid w:val="00AC5A09"/>
    <w:rsid w:val="00AC68FA"/>
    <w:rsid w:val="00AC7D5A"/>
    <w:rsid w:val="00AE33DC"/>
    <w:rsid w:val="00AE40BA"/>
    <w:rsid w:val="00B04114"/>
    <w:rsid w:val="00B60E25"/>
    <w:rsid w:val="00B773DA"/>
    <w:rsid w:val="00B84F66"/>
    <w:rsid w:val="00BA18ED"/>
    <w:rsid w:val="00BA6133"/>
    <w:rsid w:val="00BC6134"/>
    <w:rsid w:val="00BC633A"/>
    <w:rsid w:val="00BD063F"/>
    <w:rsid w:val="00BD5FD0"/>
    <w:rsid w:val="00BE6F36"/>
    <w:rsid w:val="00C11655"/>
    <w:rsid w:val="00C15C5D"/>
    <w:rsid w:val="00C21994"/>
    <w:rsid w:val="00C5362B"/>
    <w:rsid w:val="00C55A2D"/>
    <w:rsid w:val="00C77057"/>
    <w:rsid w:val="00C85630"/>
    <w:rsid w:val="00CA4FD6"/>
    <w:rsid w:val="00CA72E7"/>
    <w:rsid w:val="00CB451A"/>
    <w:rsid w:val="00CB7C37"/>
    <w:rsid w:val="00CF3742"/>
    <w:rsid w:val="00D01DEB"/>
    <w:rsid w:val="00D128FF"/>
    <w:rsid w:val="00D15C1E"/>
    <w:rsid w:val="00D43CAB"/>
    <w:rsid w:val="00D54969"/>
    <w:rsid w:val="00D56839"/>
    <w:rsid w:val="00D765F1"/>
    <w:rsid w:val="00D86E87"/>
    <w:rsid w:val="00D9006E"/>
    <w:rsid w:val="00DC3623"/>
    <w:rsid w:val="00DD7EBB"/>
    <w:rsid w:val="00DF67C8"/>
    <w:rsid w:val="00E015A1"/>
    <w:rsid w:val="00E03444"/>
    <w:rsid w:val="00E120D5"/>
    <w:rsid w:val="00E22428"/>
    <w:rsid w:val="00E716AC"/>
    <w:rsid w:val="00E82564"/>
    <w:rsid w:val="00E83C90"/>
    <w:rsid w:val="00E908BC"/>
    <w:rsid w:val="00E90C60"/>
    <w:rsid w:val="00EB6E02"/>
    <w:rsid w:val="00EF4FF0"/>
    <w:rsid w:val="00F029DD"/>
    <w:rsid w:val="00F1075C"/>
    <w:rsid w:val="00F15FBA"/>
    <w:rsid w:val="00F202DC"/>
    <w:rsid w:val="00F2461F"/>
    <w:rsid w:val="00F35D24"/>
    <w:rsid w:val="00F42DC6"/>
    <w:rsid w:val="00F465F7"/>
    <w:rsid w:val="00F71D17"/>
    <w:rsid w:val="00F7704A"/>
    <w:rsid w:val="00F85626"/>
    <w:rsid w:val="00F97A17"/>
    <w:rsid w:val="00F97C35"/>
    <w:rsid w:val="03FB2C0B"/>
    <w:rsid w:val="070B3B7A"/>
    <w:rsid w:val="09E733BE"/>
    <w:rsid w:val="1C90D106"/>
    <w:rsid w:val="1D16F3EE"/>
    <w:rsid w:val="32BD9C93"/>
    <w:rsid w:val="335ACD84"/>
    <w:rsid w:val="39E6AA3A"/>
    <w:rsid w:val="3CCFB85D"/>
    <w:rsid w:val="418BE541"/>
    <w:rsid w:val="45A014C1"/>
    <w:rsid w:val="48700ED5"/>
    <w:rsid w:val="4C1C859C"/>
    <w:rsid w:val="53F2C2FE"/>
    <w:rsid w:val="572D4055"/>
    <w:rsid w:val="68AF36C5"/>
    <w:rsid w:val="68DC9F50"/>
    <w:rsid w:val="6B499B17"/>
    <w:rsid w:val="6BA58D25"/>
    <w:rsid w:val="7476E34C"/>
    <w:rsid w:val="7666B41B"/>
    <w:rsid w:val="7D91E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1527319718"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527319717"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27319716" Type="http://schemas.openxmlformats.org/officeDocument/2006/relationships/customXml" Target="../customXml/item2.xml"/><Relationship Id="rId10" Type="http://schemas.openxmlformats.org/officeDocument/2006/relationships/header" Target="header1.xml"/><Relationship Id="rId1527319715" Type="http://schemas.openxmlformats.org/officeDocument/2006/relationships/image" Target="/media/image4.png"/><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38B79AA-11C8-4D98-A247-E92227B94878}"/>
</file>

<file path=customXml/itemProps3.xml><?xml version="1.0" encoding="utf-8"?>
<ds:datastoreItem xmlns:ds="http://schemas.openxmlformats.org/officeDocument/2006/customXml" ds:itemID="{CCA663E3-7206-4DA4-A592-BD7D250FED29}"/>
</file>

<file path=customXml/itemProps4.xml><?xml version="1.0" encoding="utf-8"?>
<ds:datastoreItem xmlns:ds="http://schemas.openxmlformats.org/officeDocument/2006/customXml" ds:itemID="{550E6E43-2FCF-4E68-B070-E50E4C717BB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97</cp:revision>
  <cp:lastPrinted>2024-02-09T18:10:00Z</cp:lastPrinted>
  <dcterms:created xsi:type="dcterms:W3CDTF">2020-12-18T20:09:00Z</dcterms:created>
  <dcterms:modified xsi:type="dcterms:W3CDTF">2025-08-07T14:51:48Z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