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AA47C0" w:rsidR="00F15FBA" w:rsidP="00F15FBA" w:rsidRDefault="00F15FBA" w14:paraId="6BA6C8A5" w14:textId="029B672A">
      <w:pPr>
        <w:pStyle w:val="Ttulo"/>
        <w:outlineLvl w:val="0"/>
        <w:rPr>
          <w:lang w:val="es-PE"/>
        </w:rPr>
      </w:pPr>
      <w:r w:rsidRPr="00AA47C0">
        <w:rPr>
          <w:lang w:val="es-PE"/>
        </w:rPr>
        <w:t>RESOLUCIÓN N</w:t>
      </w:r>
      <w:r w:rsidRPr="00AA47C0" w:rsidR="001631D6">
        <w:rPr>
          <w:lang w:val="es-PE"/>
        </w:rPr>
        <w:t xml:space="preserve">° </w:t>
      </w:r>
      <w:r w:rsidRPr="00AA47C0" w:rsidR="003E6BA6">
        <w:rPr>
          <w:lang w:val="es-PE"/>
        </w:rPr>
        <w:t>0</w:t>
      </w:r>
      <w:r w:rsidRPr="00AA47C0" w:rsidR="00B12885">
        <w:rPr>
          <w:lang w:val="es-PE"/>
        </w:rPr>
        <w:t>4</w:t>
      </w:r>
      <w:r w:rsidRPr="00AA47C0" w:rsidR="0052666A">
        <w:rPr>
          <w:lang w:val="es-PE"/>
        </w:rPr>
        <w:t>2</w:t>
      </w:r>
      <w:r w:rsidRPr="00AA47C0" w:rsidR="001631D6">
        <w:rPr>
          <w:lang w:val="es-PE"/>
        </w:rPr>
        <w:t>/2</w:t>
      </w:r>
      <w:r w:rsidRPr="00AA47C0" w:rsidR="002B50D6">
        <w:rPr>
          <w:lang w:val="es-PE"/>
        </w:rPr>
        <w:t>4</w:t>
      </w:r>
    </w:p>
    <w:p w:rsidRPr="00AA47C0" w:rsidR="00AA47C0" w:rsidP="00AA47C0" w:rsidRDefault="00AA47C0" w14:paraId="299C6774" w14:textId="77777777">
      <w:pPr>
        <w:rPr>
          <w:b/>
          <w:bCs/>
          <w:lang w:val="es-PE"/>
        </w:rPr>
      </w:pPr>
    </w:p>
    <w:p w:rsidRPr="00AA47C0" w:rsidR="00AA47C0" w:rsidP="00AA47C0" w:rsidRDefault="00AA47C0" w14:paraId="7039A8C6" w14:textId="77777777">
      <w:pPr>
        <w:jc w:val="both"/>
        <w:outlineLvl w:val="0"/>
        <w:rPr>
          <w:b/>
          <w:bCs/>
          <w:lang w:val="es-PE"/>
        </w:rPr>
      </w:pPr>
      <w:r w:rsidRPr="00AA47C0">
        <w:rPr>
          <w:b/>
          <w:bCs/>
          <w:lang w:val="es-PE"/>
        </w:rPr>
        <w:t>VISTOS:</w:t>
      </w:r>
    </w:p>
    <w:p w:rsidRPr="00AA47C0" w:rsidR="00AA47C0" w:rsidP="00AA47C0" w:rsidRDefault="00AA47C0" w14:paraId="6F0CB9C0" w14:textId="77777777">
      <w:pPr>
        <w:jc w:val="both"/>
        <w:rPr>
          <w:b/>
          <w:bCs/>
          <w:lang w:val="es-PE"/>
        </w:rPr>
      </w:pPr>
    </w:p>
    <w:p w:rsidRPr="00AA47C0" w:rsidR="00AA47C0" w:rsidP="3E72C3EA" w:rsidRDefault="00AA47C0" w14:paraId="563EE479" w14:textId="51F2BB4C">
      <w:pPr>
        <w:tabs>
          <w:tab w:val="left" w:pos="708"/>
          <w:tab w:val="left" w:pos="1416"/>
          <w:tab w:val="left" w:pos="2160"/>
          <w:tab w:val="left" w:pos="2977"/>
          <w:tab w:val="left" w:pos="4248"/>
          <w:tab w:val="left" w:pos="4956"/>
          <w:tab w:val="left" w:pos="5664"/>
          <w:tab w:val="left" w:pos="6372"/>
          <w:tab w:val="left" w:pos="7125"/>
        </w:tabs>
        <w:jc w:val="both"/>
        <w:rPr>
          <w:rFonts w:eastAsia="Calibri" w:eastAsiaTheme="minorAscii"/>
          <w:lang w:eastAsia="en-US"/>
        </w:rPr>
      </w:pPr>
      <w:r w:rsidRPr="3E72C3EA" w:rsidR="00AA47C0">
        <w:rPr>
          <w:lang w:val="es-PE"/>
        </w:rPr>
        <w:t xml:space="preserve">Que, </w:t>
      </w:r>
      <w:r w:rsidRPr="3E72C3EA" w:rsidR="41536022">
        <w:rPr>
          <w:lang w:val="es-MX"/>
        </w:rPr>
        <w:t>...........................................................................</w:t>
      </w:r>
      <w:r w:rsidR="00AA47C0">
        <w:rPr/>
        <w:t xml:space="preserve"> </w:t>
      </w:r>
      <w:r w:rsidRPr="3E72C3EA" w:rsidR="00AA47C0">
        <w:rPr>
          <w:lang w:val="es-PE"/>
        </w:rPr>
        <w:t xml:space="preserve">interpone reclamación ante esta Defensoría del Asegurado (DEFASEG) solicitando que </w:t>
      </w:r>
      <w:r w:rsidRPr="3E72C3EA" w:rsidR="6E752D58">
        <w:rPr>
          <w:lang w:val="es-PE"/>
        </w:rPr>
        <w:t>...............................</w:t>
      </w:r>
      <w:r w:rsidRPr="3E72C3EA" w:rsidR="00AA47C0">
        <w:rPr>
          <w:lang w:val="es-PE"/>
        </w:rPr>
        <w:t xml:space="preserve"> </w:t>
      </w:r>
      <w:bookmarkStart w:name="OLE_LINK2" w:id="0"/>
      <w:r w:rsidRPr="3E72C3EA" w:rsidR="00AA47C0">
        <w:rPr>
          <w:lang w:val="es-PE"/>
        </w:rPr>
        <w:t xml:space="preserve">otorgue cobertura de </w:t>
      </w:r>
      <w:r w:rsidRPr="3E72C3EA" w:rsidR="00AA47C0">
        <w:rPr>
          <w:lang w:val="es-PE"/>
        </w:rPr>
        <w:t>SOAT  como</w:t>
      </w:r>
      <w:r w:rsidRPr="3E72C3EA" w:rsidR="00AA47C0">
        <w:rPr>
          <w:lang w:val="es-PE"/>
        </w:rPr>
        <w:t xml:space="preserve"> consecuencia del evento ocurrido el 26 de julio de 2023, en el que participó el vehículo </w:t>
      </w:r>
      <w:r w:rsidR="00AA47C0">
        <w:rPr/>
        <w:t xml:space="preserve">con placa de rodaje </w:t>
      </w:r>
      <w:r w:rsidR="680C6637">
        <w:rPr/>
        <w:t>...............</w:t>
      </w:r>
      <w:r w:rsidR="00AA47C0">
        <w:rPr/>
        <w:t>;</w:t>
      </w:r>
    </w:p>
    <w:bookmarkEnd w:id="0"/>
    <w:p w:rsidRPr="00AA47C0" w:rsidR="00AA47C0" w:rsidP="00AA47C0" w:rsidRDefault="00AA47C0" w14:paraId="45CFDB2F" w14:textId="77777777">
      <w:pPr>
        <w:jc w:val="both"/>
        <w:rPr>
          <w:lang w:val="es-PE"/>
        </w:rPr>
      </w:pPr>
    </w:p>
    <w:p w:rsidRPr="00AA47C0" w:rsidR="00AA47C0" w:rsidP="00AA47C0" w:rsidRDefault="00AA47C0" w14:paraId="5218831F" w14:textId="77777777">
      <w:pPr>
        <w:jc w:val="both"/>
        <w:rPr>
          <w:rFonts w:eastAsia="Arial Unicode MS"/>
          <w:lang w:val="es-PE"/>
        </w:rPr>
      </w:pPr>
      <w:r w:rsidRPr="00AA47C0">
        <w:rPr>
          <w:rFonts w:eastAsia="Arial Unicode MS"/>
          <w:lang w:val="es-PE"/>
        </w:rPr>
        <w:t>Que, la señalada reclamación cumple con los requisitos de materia, cuantía y oportunidad establecidos en el Reglamento de la DEFASEG (</w:t>
      </w:r>
      <w:hyperlink w:history="1" r:id="rId8">
        <w:r w:rsidRPr="00AA47C0">
          <w:rPr>
            <w:rStyle w:val="Hipervnculo"/>
            <w:rFonts w:eastAsia="Arial Unicode MS"/>
            <w:lang w:val="es-PE"/>
          </w:rPr>
          <w:t>http://www.defaseg.com.pe/reglamento.html</w:t>
        </w:r>
      </w:hyperlink>
      <w:r w:rsidRPr="00AA47C0">
        <w:rPr>
          <w:rFonts w:eastAsia="Arial Unicode MS"/>
          <w:lang w:val="es-PE"/>
        </w:rPr>
        <w:t>);</w:t>
      </w:r>
    </w:p>
    <w:p w:rsidRPr="00AA47C0" w:rsidR="00AA47C0" w:rsidP="00AA47C0" w:rsidRDefault="00AA47C0" w14:paraId="116B2F6E" w14:textId="77777777">
      <w:pPr>
        <w:tabs>
          <w:tab w:val="num" w:pos="720"/>
        </w:tabs>
        <w:jc w:val="both"/>
        <w:rPr>
          <w:lang w:val="es-PE"/>
        </w:rPr>
      </w:pPr>
    </w:p>
    <w:p w:rsidRPr="00AA47C0" w:rsidR="00AA47C0" w:rsidP="00AA47C0" w:rsidRDefault="00AA47C0" w14:paraId="58074967" w14:textId="77777777">
      <w:pPr>
        <w:tabs>
          <w:tab w:val="num" w:pos="720"/>
        </w:tabs>
        <w:jc w:val="both"/>
        <w:rPr>
          <w:lang w:val="es-PE"/>
        </w:rPr>
      </w:pPr>
      <w:r w:rsidRPr="00AA47C0">
        <w:rPr>
          <w:lang w:val="es-PE"/>
        </w:rPr>
        <w:t xml:space="preserve">Que, habiéndosele corrido traslado de la respectiva reclamación, la </w:t>
      </w:r>
      <w:r w:rsidRPr="00AA47C0">
        <w:t>aseguradora presentó sus descargos y la documentación solicitada;</w:t>
      </w:r>
    </w:p>
    <w:p w:rsidRPr="00AA47C0" w:rsidR="00AA47C0" w:rsidP="00AA47C0" w:rsidRDefault="00AA47C0" w14:paraId="2A97E855" w14:textId="77777777">
      <w:pPr>
        <w:tabs>
          <w:tab w:val="num" w:pos="720"/>
        </w:tabs>
        <w:jc w:val="both"/>
        <w:rPr>
          <w:lang w:val="es-PE"/>
        </w:rPr>
      </w:pPr>
    </w:p>
    <w:p w:rsidRPr="00AA47C0" w:rsidR="00AA47C0" w:rsidP="00AA47C0" w:rsidRDefault="00AA47C0" w14:paraId="20B8DEA5" w14:textId="77777777">
      <w:pPr>
        <w:tabs>
          <w:tab w:val="num" w:pos="720"/>
        </w:tabs>
        <w:jc w:val="both"/>
        <w:rPr>
          <w:lang w:val="es-PE"/>
        </w:rPr>
      </w:pPr>
      <w:r w:rsidRPr="00AA47C0">
        <w:rPr>
          <w:lang w:val="es-PE"/>
        </w:rPr>
        <w:t xml:space="preserve">Que, </w:t>
      </w:r>
      <w:r w:rsidRPr="00AA47C0">
        <w:rPr>
          <w:lang w:val="es-419"/>
        </w:rPr>
        <w:t xml:space="preserve">el 8 de enero de 2023 </w:t>
      </w:r>
      <w:r w:rsidRPr="00AA47C0">
        <w:rPr>
          <w:lang w:val="es-PE"/>
        </w:rPr>
        <w:t>se realizó la correspondiente audiencia virtual de vista, con la sola concurrencia de la compañía de seguros, la cual sustentó su posición sobre la reclamación presentada, absolviendo las diversas preguntas que les fueron formuladas, conforme consta de la correspondiente acta, dejándose constancia de la inasistencia del reclamante pese a haber sido oportunamente convocado;</w:t>
      </w:r>
    </w:p>
    <w:p w:rsidRPr="00AA47C0" w:rsidR="00AA47C0" w:rsidP="00AA47C0" w:rsidRDefault="00AA47C0" w14:paraId="6F422AA4" w14:textId="77777777">
      <w:pPr>
        <w:tabs>
          <w:tab w:val="num" w:pos="720"/>
        </w:tabs>
        <w:jc w:val="both"/>
        <w:rPr>
          <w:lang w:val="es-419"/>
        </w:rPr>
      </w:pPr>
      <w:r w:rsidRPr="00AA47C0">
        <w:rPr>
          <w:lang w:val="es-PE"/>
        </w:rPr>
        <w:t xml:space="preserve"> </w:t>
      </w:r>
    </w:p>
    <w:p w:rsidRPr="00AA47C0" w:rsidR="00AA47C0" w:rsidP="00AA47C0" w:rsidRDefault="00AA47C0" w14:paraId="586AD973" w14:textId="56C05D95">
      <w:pPr>
        <w:jc w:val="both"/>
      </w:pPr>
      <w:r w:rsidRPr="3E72C3EA" w:rsidR="00AA47C0">
        <w:rPr>
          <w:lang w:val="es-PE"/>
        </w:rPr>
        <w:t xml:space="preserve">Que, la reclamación interpuesta </w:t>
      </w:r>
      <w:r w:rsidR="00AA47C0">
        <w:rPr/>
        <w:t>se sustenta resumidamente en los antecedentes y hechos siguientes</w:t>
      </w:r>
      <w:r w:rsidRPr="3E72C3EA" w:rsidR="00AA47C0">
        <w:rPr>
          <w:lang w:val="es-PE"/>
        </w:rPr>
        <w:t>: (1) s</w:t>
      </w:r>
      <w:r w:rsidRPr="3E72C3EA" w:rsidR="00AA47C0">
        <w:rPr>
          <w:color w:val="231F20"/>
          <w:lang w:val="es-PE" w:eastAsia="es-PE"/>
        </w:rPr>
        <w:t xml:space="preserve">olicita indemnización por fallecimiento de </w:t>
      </w:r>
      <w:r w:rsidR="22D50880">
        <w:rPr/>
        <w:t>.....................................................................</w:t>
      </w:r>
      <w:r w:rsidR="00AA47C0">
        <w:rPr/>
        <w:t xml:space="preserve"> </w:t>
      </w:r>
      <w:r w:rsidRPr="3E72C3EA" w:rsidR="00AA47C0">
        <w:rPr>
          <w:color w:val="231F20"/>
          <w:lang w:val="es-PE" w:eastAsia="es-PE"/>
        </w:rPr>
        <w:t xml:space="preserve">como consecuencia de un accidente de tránsito el día 26 de julio del 2023; (2) </w:t>
      </w:r>
      <w:r w:rsidR="00AA47C0">
        <w:rPr/>
        <w:t xml:space="preserve">el efectivo policial a cargo de la investigación por error consigo la placa de rodaje </w:t>
      </w:r>
      <w:r w:rsidR="72EEA31A">
        <w:rPr/>
        <w:t>.............</w:t>
      </w:r>
      <w:r w:rsidR="00AA47C0">
        <w:rPr/>
        <w:t xml:space="preserve">, quien te tenía un seguro vehicular vigente con </w:t>
      </w:r>
      <w:r w:rsidR="058BA63D">
        <w:rPr/>
        <w:t>...................................</w:t>
      </w:r>
      <w:r w:rsidR="00AA47C0">
        <w:rPr/>
        <w:t xml:space="preserve">. Siendo modificado por el efectivo policial el día 15 de septiembre del 2023, la cual establece que por error involuntario se consignó la placa ya antes mencionada, cual se acredita con la denuncia policial; (2) los datos consignados en la denuncia fueron modificados por el efectivo policial el día 15 de septiembre del año 2023, todo esto es base al </w:t>
      </w:r>
      <w:r w:rsidRPr="3E72C3EA" w:rsidR="00AA47C0">
        <w:rPr>
          <w:i w:val="1"/>
          <w:iCs w:val="1"/>
        </w:rPr>
        <w:t xml:space="preserve">artículo 28° del Decreto Supremo </w:t>
      </w:r>
      <w:r w:rsidRPr="3E72C3EA" w:rsidR="00AA47C0">
        <w:rPr>
          <w:i w:val="1"/>
          <w:iCs w:val="1"/>
        </w:rPr>
        <w:t>N°</w:t>
      </w:r>
      <w:r w:rsidRPr="3E72C3EA" w:rsidR="00AA47C0">
        <w:rPr>
          <w:i w:val="1"/>
          <w:iCs w:val="1"/>
        </w:rPr>
        <w:t xml:space="preserve"> 024-2002-MTC “Reglamento Nacional de Responsabilidad Civil y Seguros Obligatorios por Accidentes de Tránsito” el SOAT actúa bajo la modalidad de un seguro de accidentes personales y cubre los riesgos de muerte y lesiones corporales que sufran las personas, sean ocupantes o terceros no ocupantes de un vehículo automotor, como consecuencia de un accidente de tránsito en el que dicho vehículo haya intervenido”</w:t>
      </w:r>
      <w:r w:rsidR="00AA47C0">
        <w:rPr/>
        <w:t>;</w:t>
      </w:r>
    </w:p>
    <w:p w:rsidRPr="00AA47C0" w:rsidR="00AA47C0" w:rsidP="00AA47C0" w:rsidRDefault="00AA47C0" w14:paraId="162504FE" w14:textId="77777777">
      <w:pPr>
        <w:jc w:val="both"/>
        <w:rPr>
          <w:rFonts w:eastAsiaTheme="minorHAnsi"/>
        </w:rPr>
      </w:pPr>
    </w:p>
    <w:p w:rsidRPr="00AA47C0" w:rsidR="00AA47C0" w:rsidP="00AA47C0" w:rsidRDefault="00AA47C0" w14:paraId="253D538D" w14:textId="0621580B">
      <w:pPr>
        <w:jc w:val="both"/>
        <w:rPr>
          <w:lang w:val="es-PE" w:eastAsia="es-PE"/>
        </w:rPr>
      </w:pPr>
      <w:r w:rsidR="00AA47C0">
        <w:rPr/>
        <w:t xml:space="preserve">Que, por su parte, reiterando su negativa al otorgamiento de cobertura, </w:t>
      </w:r>
      <w:r w:rsidR="6E752D58">
        <w:rPr/>
        <w:t>...............................</w:t>
      </w:r>
      <w:r w:rsidR="00AA47C0">
        <w:rPr/>
        <w:t xml:space="preserve"> sustenta su posición</w:t>
      </w:r>
      <w:r w:rsidR="00AA47C0">
        <w:rPr/>
        <w:t xml:space="preserve"> en las razones siguientes: (1) </w:t>
      </w:r>
      <w:r w:rsidRPr="3E72C3EA" w:rsidR="00AA47C0">
        <w:rPr>
          <w:lang w:val="es-PE"/>
        </w:rPr>
        <w:t xml:space="preserve">informa que la cobertura deviene en improcedente ya que se verificó que el vehículo del que era ocupante el señor </w:t>
      </w:r>
      <w:r w:rsidRPr="3E72C3EA" w:rsidR="271F429E">
        <w:rPr>
          <w:lang w:val="es-PE"/>
        </w:rPr>
        <w:t>.....................................................................</w:t>
      </w:r>
      <w:r w:rsidRPr="3E72C3EA" w:rsidR="00AA47C0">
        <w:rPr>
          <w:lang w:val="es-PE"/>
        </w:rPr>
        <w:t xml:space="preserve">, contaba con póliza vigente con otra compañía, de acuerdo a la información recabada en APESEG; (2) </w:t>
      </w:r>
      <w:r w:rsidRPr="3E72C3EA" w:rsidR="00AA47C0">
        <w:rPr>
          <w:lang w:val="es-PE" w:eastAsia="es-PE"/>
        </w:rPr>
        <w:t xml:space="preserve">el Artículo 17 del Reglamento SOAT se establece, que, en caso de accidentes de tránsito en que hayan participado dos o más vehículos, cada compañía de seguros será responsable de las indemnizaciones correspondientes a las personas transportadas en el vehículo por el asegurado, así como peatones o terceros no ocupantes de vehículos automotores; (3) en la denuncia policial adjunta a la solicitud de cobertura se indica que el lamentable fallecimiento del señor </w:t>
      </w:r>
      <w:r w:rsidRPr="3E72C3EA" w:rsidR="271F429E">
        <w:rPr>
          <w:lang w:val="es-PE" w:eastAsia="es-PE"/>
        </w:rPr>
        <w:t>.....................................................................</w:t>
      </w:r>
      <w:r w:rsidRPr="3E72C3EA" w:rsidR="00AA47C0">
        <w:rPr>
          <w:lang w:val="es-PE" w:eastAsia="es-PE"/>
        </w:rPr>
        <w:t xml:space="preserve">, se dio a causa del accidente ocurrido el 26 de julio del 2023 con el vehículo de placa </w:t>
      </w:r>
      <w:r w:rsidRPr="3E72C3EA" w:rsidR="00AA47C0">
        <w:rPr>
          <w:lang w:val="es-PE" w:eastAsia="es-PE"/>
        </w:rPr>
        <w:t xml:space="preserve">de rodaje </w:t>
      </w:r>
      <w:r w:rsidRPr="3E72C3EA" w:rsidR="72EEA31A">
        <w:rPr>
          <w:lang w:val="es-PE" w:eastAsia="es-PE"/>
        </w:rPr>
        <w:t>.............</w:t>
      </w:r>
      <w:r w:rsidRPr="3E72C3EA" w:rsidR="00AA47C0">
        <w:rPr>
          <w:lang w:val="es-PE" w:eastAsia="es-PE"/>
        </w:rPr>
        <w:t xml:space="preserve">, el cual no contaba con una Póliza del Seguro Obligatorio de Accidentes de Tránsito SOAT contratada con </w:t>
      </w:r>
      <w:r w:rsidRPr="3E72C3EA" w:rsidR="6E752D58">
        <w:rPr>
          <w:lang w:val="es-PE" w:eastAsia="es-PE"/>
        </w:rPr>
        <w:t>...............................</w:t>
      </w:r>
      <w:r w:rsidRPr="3E72C3EA" w:rsidR="00AA47C0">
        <w:rPr>
          <w:lang w:val="es-PE" w:eastAsia="es-PE"/>
        </w:rPr>
        <w:t xml:space="preserve"> a la fecha del siniestro; (4)  el accidente que involucró a los siguientes vehículos: - Vehículo Mitsubishi con Placa de Rodaje </w:t>
      </w:r>
      <w:r w:rsidRPr="3E72C3EA" w:rsidR="00AA47C0">
        <w:rPr>
          <w:lang w:val="es-PE" w:eastAsia="es-PE"/>
        </w:rPr>
        <w:t>N°</w:t>
      </w:r>
      <w:r w:rsidRPr="3E72C3EA" w:rsidR="00AA47C0">
        <w:rPr>
          <w:lang w:val="es-PE" w:eastAsia="es-PE"/>
        </w:rPr>
        <w:t xml:space="preserve"> </w:t>
      </w:r>
      <w:r w:rsidRPr="3E72C3EA" w:rsidR="6CAA1C6D">
        <w:rPr>
          <w:lang w:val="es-PE" w:eastAsia="es-PE"/>
        </w:rPr>
        <w:t>....................</w:t>
      </w:r>
      <w:r w:rsidRPr="3E72C3EA" w:rsidR="00AA47C0">
        <w:rPr>
          <w:lang w:val="es-PE" w:eastAsia="es-PE"/>
        </w:rPr>
        <w:t xml:space="preserve"> asegurado con SOAT de </w:t>
      </w:r>
      <w:r w:rsidRPr="3E72C3EA" w:rsidR="6E752D58">
        <w:rPr>
          <w:lang w:val="es-PE" w:eastAsia="es-PE"/>
        </w:rPr>
        <w:t>...............................</w:t>
      </w:r>
      <w:r w:rsidRPr="3E72C3EA" w:rsidR="00AA47C0">
        <w:rPr>
          <w:lang w:val="es-PE" w:eastAsia="es-PE"/>
        </w:rPr>
        <w:t xml:space="preserve"> Y  - Vehículo menor Honda con Placa de Rodaje </w:t>
      </w:r>
      <w:r w:rsidRPr="3E72C3EA" w:rsidR="00AA47C0">
        <w:rPr>
          <w:lang w:val="es-PE" w:eastAsia="es-PE"/>
        </w:rPr>
        <w:t>N°</w:t>
      </w:r>
      <w:r w:rsidRPr="3E72C3EA" w:rsidR="00AA47C0">
        <w:rPr>
          <w:lang w:val="es-PE" w:eastAsia="es-PE"/>
        </w:rPr>
        <w:t xml:space="preserve"> </w:t>
      </w:r>
      <w:r w:rsidRPr="3E72C3EA" w:rsidR="72EEA31A">
        <w:rPr>
          <w:lang w:val="es-PE" w:eastAsia="es-PE"/>
        </w:rPr>
        <w:t>.............</w:t>
      </w:r>
      <w:r w:rsidRPr="3E72C3EA" w:rsidR="00AA47C0">
        <w:rPr>
          <w:lang w:val="es-PE" w:eastAsia="es-PE"/>
        </w:rPr>
        <w:t xml:space="preserve">, el que era manejado por el señor </w:t>
      </w:r>
      <w:r w:rsidRPr="3E72C3EA" w:rsidR="22D50880">
        <w:rPr>
          <w:lang w:val="es-PE" w:eastAsia="es-PE"/>
        </w:rPr>
        <w:t>.....................................................................</w:t>
      </w:r>
      <w:r w:rsidRPr="3E72C3EA" w:rsidR="00AA47C0">
        <w:rPr>
          <w:lang w:val="es-PE" w:eastAsia="es-PE"/>
        </w:rPr>
        <w:t xml:space="preserve">, asegurado con SOAT de </w:t>
      </w:r>
      <w:r w:rsidRPr="3E72C3EA" w:rsidR="3B9DA4BF">
        <w:rPr>
          <w:lang w:val="es-PE" w:eastAsia="es-PE"/>
        </w:rPr>
        <w:t>....................</w:t>
      </w:r>
      <w:r w:rsidRPr="3E72C3EA" w:rsidR="00AA47C0">
        <w:rPr>
          <w:lang w:val="es-PE" w:eastAsia="es-PE"/>
        </w:rPr>
        <w:t xml:space="preserve">; (5) el accidente tuvo como consecuencia el lamentable deceso del señor </w:t>
      </w:r>
      <w:r w:rsidRPr="3E72C3EA" w:rsidR="22D50880">
        <w:rPr>
          <w:lang w:val="es-PE" w:eastAsia="es-PE"/>
        </w:rPr>
        <w:t>.....................................................................</w:t>
      </w:r>
      <w:r w:rsidRPr="3E72C3EA" w:rsidR="00AA47C0">
        <w:rPr>
          <w:lang w:val="es-PE" w:eastAsia="es-PE"/>
        </w:rPr>
        <w:t xml:space="preserve">, quien manejaba el vehículo motorizado con placa de rodaje </w:t>
      </w:r>
      <w:r w:rsidRPr="3E72C3EA" w:rsidR="00AA47C0">
        <w:rPr>
          <w:lang w:val="es-PE" w:eastAsia="es-PE"/>
        </w:rPr>
        <w:t>N°</w:t>
      </w:r>
      <w:r w:rsidRPr="3E72C3EA" w:rsidR="00AA47C0">
        <w:rPr>
          <w:lang w:val="es-PE" w:eastAsia="es-PE"/>
        </w:rPr>
        <w:t xml:space="preserve"> </w:t>
      </w:r>
      <w:r w:rsidRPr="3E72C3EA" w:rsidR="72EEA31A">
        <w:rPr>
          <w:lang w:val="es-PE" w:eastAsia="es-PE"/>
        </w:rPr>
        <w:t>.............</w:t>
      </w:r>
      <w:r w:rsidRPr="3E72C3EA" w:rsidR="00AA47C0">
        <w:rPr>
          <w:lang w:val="es-PE" w:eastAsia="es-PE"/>
        </w:rPr>
        <w:t xml:space="preserve"> (asegurado con </w:t>
      </w:r>
      <w:r w:rsidRPr="3E72C3EA" w:rsidR="3B9DA4BF">
        <w:rPr>
          <w:lang w:val="es-PE" w:eastAsia="es-PE"/>
        </w:rPr>
        <w:t>....................</w:t>
      </w:r>
      <w:r w:rsidRPr="3E72C3EA" w:rsidR="00AA47C0">
        <w:rPr>
          <w:lang w:val="es-PE" w:eastAsia="es-PE"/>
        </w:rPr>
        <w:t xml:space="preserve">), conforme a lo establecido en la Denuncia Policial de fecha 26 de Julio del 2023; (6) se realizó la verificación de la documentación presentada, así como la revisión de información pertinente en el portal de la APESEG; verificándose que el vehículo motorizado con placa de rodaje </w:t>
      </w:r>
      <w:r w:rsidRPr="3E72C3EA" w:rsidR="00AA47C0">
        <w:rPr>
          <w:lang w:val="es-PE" w:eastAsia="es-PE"/>
        </w:rPr>
        <w:t>N°</w:t>
      </w:r>
      <w:r w:rsidRPr="3E72C3EA" w:rsidR="00AA47C0">
        <w:rPr>
          <w:lang w:val="es-PE" w:eastAsia="es-PE"/>
        </w:rPr>
        <w:t xml:space="preserve"> </w:t>
      </w:r>
      <w:r w:rsidRPr="3E72C3EA" w:rsidR="72EEA31A">
        <w:rPr>
          <w:lang w:val="es-PE" w:eastAsia="es-PE"/>
        </w:rPr>
        <w:t>.............</w:t>
      </w:r>
      <w:r w:rsidRPr="3E72C3EA" w:rsidR="00AA47C0">
        <w:rPr>
          <w:lang w:val="es-PE" w:eastAsia="es-PE"/>
        </w:rPr>
        <w:t xml:space="preserve">, conducido por el fallecido, no contaba con SOAT contratado con </w:t>
      </w:r>
      <w:r w:rsidRPr="3E72C3EA" w:rsidR="6E752D58">
        <w:rPr>
          <w:lang w:val="es-PE" w:eastAsia="es-PE"/>
        </w:rPr>
        <w:t>...............................</w:t>
      </w:r>
      <w:r w:rsidRPr="3E72C3EA" w:rsidR="00AA47C0">
        <w:rPr>
          <w:lang w:val="es-PE" w:eastAsia="es-PE"/>
        </w:rPr>
        <w:t xml:space="preserve">, sino con la aseguradora </w:t>
      </w:r>
      <w:r w:rsidRPr="3E72C3EA" w:rsidR="3B9DA4BF">
        <w:rPr>
          <w:lang w:val="es-PE" w:eastAsia="es-PE"/>
        </w:rPr>
        <w:t>....................</w:t>
      </w:r>
      <w:r w:rsidRPr="3E72C3EA" w:rsidR="00AA47C0">
        <w:rPr>
          <w:lang w:val="es-PE" w:eastAsia="es-PE"/>
        </w:rPr>
        <w:t xml:space="preserve">, por lo que se procedió con rechazar la solicitud de cobertura presentada por el señor Quinteros, debido a que el vehículo que manejaba el señor </w:t>
      </w:r>
      <w:r w:rsidRPr="3E72C3EA" w:rsidR="22D50880">
        <w:rPr>
          <w:lang w:val="es-PE" w:eastAsia="es-PE"/>
        </w:rPr>
        <w:t>.....................................................................</w:t>
      </w:r>
      <w:r w:rsidRPr="3E72C3EA" w:rsidR="00AA47C0">
        <w:rPr>
          <w:lang w:val="es-PE" w:eastAsia="es-PE"/>
        </w:rPr>
        <w:t xml:space="preserve">, no se encuentra asegurado por </w:t>
      </w:r>
      <w:r w:rsidRPr="3E72C3EA" w:rsidR="6E752D58">
        <w:rPr>
          <w:lang w:val="es-PE" w:eastAsia="es-PE"/>
        </w:rPr>
        <w:t>...............................</w:t>
      </w:r>
      <w:r w:rsidRPr="3E72C3EA" w:rsidR="00AA47C0">
        <w:rPr>
          <w:lang w:val="es-PE" w:eastAsia="es-PE"/>
        </w:rPr>
        <w:t>, por lo que corresponde que la otra compañía de seguros sea la responsable de la indemnización correspondiente, conforme al marco normativo.</w:t>
      </w:r>
    </w:p>
    <w:p w:rsidRPr="00AA47C0" w:rsidR="00AA47C0" w:rsidP="00AA47C0" w:rsidRDefault="00AA47C0" w14:paraId="3CBB0271" w14:textId="77777777">
      <w:pPr>
        <w:pStyle w:val="Prrafodelista"/>
        <w:jc w:val="both"/>
        <w:rPr>
          <w:lang w:val="es-PE"/>
        </w:rPr>
      </w:pPr>
    </w:p>
    <w:p w:rsidRPr="00AA47C0" w:rsidR="00AA47C0" w:rsidP="00AA47C0" w:rsidRDefault="00AA47C0" w14:paraId="6D59880F" w14:textId="77777777">
      <w:pPr>
        <w:jc w:val="both"/>
        <w:rPr>
          <w:rFonts w:eastAsiaTheme="minorHAnsi"/>
          <w:lang w:eastAsia="en-US"/>
        </w:rPr>
      </w:pPr>
      <w:r w:rsidRPr="00AA47C0">
        <w:rPr>
          <w:bCs/>
          <w:lang w:val="es-PE"/>
        </w:rPr>
        <w:t>Que,</w:t>
      </w:r>
      <w:r w:rsidRPr="00AA47C0">
        <w:rPr>
          <w:lang w:val="es-PE"/>
        </w:rPr>
        <w:t xml:space="preserve"> a la fecha, el estado del proceso permite que este colegiado pueda expedir su pronunciamiento sobre el caso sometido a su conocimiento, sobre la base de la información y de los medios probatorios presentados por la reclamante;</w:t>
      </w:r>
    </w:p>
    <w:p w:rsidRPr="00AA47C0" w:rsidR="00AA47C0" w:rsidP="00AA47C0" w:rsidRDefault="00AA47C0" w14:paraId="1EC58D94" w14:textId="77777777">
      <w:pPr>
        <w:jc w:val="both"/>
        <w:rPr>
          <w:b/>
          <w:bCs/>
        </w:rPr>
      </w:pPr>
    </w:p>
    <w:p w:rsidRPr="00AA47C0" w:rsidR="00AA47C0" w:rsidP="00AA47C0" w:rsidRDefault="00AA47C0" w14:paraId="1BD5306C" w14:textId="77777777">
      <w:pPr>
        <w:jc w:val="both"/>
        <w:rPr>
          <w:lang w:val="es-PE"/>
        </w:rPr>
      </w:pPr>
      <w:r w:rsidRPr="00AA47C0">
        <w:rPr>
          <w:b/>
          <w:bCs/>
          <w:lang w:val="es-PE"/>
        </w:rPr>
        <w:t>CONSIDERANDO:</w:t>
      </w:r>
    </w:p>
    <w:p w:rsidRPr="00AA47C0" w:rsidR="00AA47C0" w:rsidP="00AA47C0" w:rsidRDefault="00AA47C0" w14:paraId="5CAF67EA" w14:textId="77777777">
      <w:pPr>
        <w:jc w:val="both"/>
        <w:rPr>
          <w:lang w:val="es-PE"/>
        </w:rPr>
      </w:pPr>
    </w:p>
    <w:p w:rsidRPr="00AA47C0" w:rsidR="00AA47C0" w:rsidP="00AA47C0" w:rsidRDefault="00AA47C0" w14:paraId="50325D30" w14:textId="77777777">
      <w:pPr>
        <w:jc w:val="both"/>
        <w:rPr>
          <w:lang w:val="es-PE"/>
        </w:rPr>
      </w:pPr>
      <w:r w:rsidRPr="00AA47C0">
        <w:rPr>
          <w:b/>
          <w:u w:val="single"/>
          <w:lang w:val="es-PE"/>
        </w:rPr>
        <w:t>PRIMERO</w:t>
      </w:r>
      <w:r w:rsidRPr="00AA47C0">
        <w:rPr>
          <w:b/>
          <w:lang w:val="es-PE"/>
        </w:rPr>
        <w:t xml:space="preserve">: </w:t>
      </w:r>
      <w:r w:rsidRPr="00AA47C0">
        <w:rPr>
          <w:lang w:val="es-PE"/>
        </w:rPr>
        <w:t>Conforme a su Reglamento, la</w:t>
      </w:r>
      <w:r w:rsidRPr="00AA47C0">
        <w:rPr>
          <w:b/>
          <w:bCs/>
          <w:lang w:val="es-PE"/>
        </w:rPr>
        <w:t xml:space="preserve"> </w:t>
      </w:r>
      <w:r w:rsidRPr="00AA47C0">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AA47C0" w:rsidR="00AA47C0" w:rsidP="00AA47C0" w:rsidRDefault="00AA47C0" w14:paraId="372DEAD5" w14:textId="77777777">
      <w:pPr>
        <w:jc w:val="both"/>
        <w:rPr>
          <w:lang w:val="es-PE"/>
        </w:rPr>
      </w:pPr>
    </w:p>
    <w:p w:rsidRPr="00AA47C0" w:rsidR="00AA47C0" w:rsidP="00AA47C0" w:rsidRDefault="00AA47C0" w14:paraId="7796B289" w14:textId="77777777">
      <w:pPr>
        <w:jc w:val="both"/>
        <w:rPr>
          <w:bCs/>
          <w:lang w:val="es-PE"/>
        </w:rPr>
      </w:pPr>
      <w:r w:rsidRPr="00AA47C0">
        <w:rPr>
          <w:b/>
          <w:bCs/>
          <w:u w:val="single"/>
          <w:lang w:val="es-PE"/>
        </w:rPr>
        <w:t>SEGUNDO</w:t>
      </w:r>
      <w:r w:rsidRPr="00AA47C0">
        <w:rPr>
          <w:b/>
          <w:bCs/>
          <w:lang w:val="es-PE"/>
        </w:rPr>
        <w:t>:</w:t>
      </w:r>
      <w:r w:rsidRPr="00AA47C0">
        <w:rPr>
          <w:bCs/>
          <w:lang w:val="es-PE"/>
        </w:rPr>
        <w:t xml:space="preserve"> </w:t>
      </w:r>
      <w:r w:rsidRPr="00AA47C0">
        <w:rPr>
          <w:lang w:val="es-PE"/>
        </w:rPr>
        <w:t xml:space="preserve">Asimismo, de acuerdo a </w:t>
      </w:r>
      <w:r w:rsidRPr="00AA47C0">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AA47C0" w:rsidR="00AA47C0" w:rsidP="00AA47C0" w:rsidRDefault="00AA47C0" w14:paraId="6B4C24B5" w14:textId="77777777">
      <w:pPr>
        <w:jc w:val="both"/>
        <w:rPr>
          <w:bCs/>
          <w:lang w:val="es-PE"/>
        </w:rPr>
      </w:pPr>
    </w:p>
    <w:p w:rsidRPr="00AA47C0" w:rsidR="00AA47C0" w:rsidP="00AA47C0" w:rsidRDefault="00AA47C0" w14:paraId="6329262B" w14:textId="77777777">
      <w:pPr>
        <w:jc w:val="both"/>
      </w:pPr>
      <w:r w:rsidRPr="00AA47C0">
        <w:rPr>
          <w:b/>
          <w:bCs/>
          <w:u w:val="single"/>
          <w:lang w:val="es-PE"/>
        </w:rPr>
        <w:t>TERCERO</w:t>
      </w:r>
      <w:r w:rsidRPr="00AA47C0">
        <w:rPr>
          <w:b/>
          <w:bCs/>
          <w:lang w:val="es-PE"/>
        </w:rPr>
        <w:t>:</w:t>
      </w:r>
      <w:r w:rsidRPr="00AA47C0">
        <w:rPr>
          <w:lang w:val="es-PE"/>
        </w:rPr>
        <w:t xml:space="preserve"> Que, de acuerdo a la Ley Nro. </w:t>
      </w:r>
      <w:r w:rsidRPr="00AA47C0">
        <w:t xml:space="preserve">29946 – Ley del Contrato de Seguro, norma legal vigente con ocasión de la celebración del contrato al cual se contrae el presente caso, </w:t>
      </w:r>
      <w:r w:rsidRPr="00AA47C0">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AA47C0" w:rsidR="00AA47C0" w:rsidP="00AA47C0" w:rsidRDefault="00AA47C0" w14:paraId="3CAA278C" w14:textId="77777777">
      <w:pPr>
        <w:jc w:val="both"/>
        <w:rPr>
          <w:b/>
          <w:u w:val="single"/>
          <w:lang w:val="es-PE"/>
        </w:rPr>
      </w:pPr>
    </w:p>
    <w:p w:rsidRPr="00AA47C0" w:rsidR="00AA47C0" w:rsidP="00AA47C0" w:rsidRDefault="00AA47C0" w14:paraId="66BBFD39" w14:textId="77777777">
      <w:pPr>
        <w:jc w:val="both"/>
        <w:rPr>
          <w:lang w:val="es-PE"/>
        </w:rPr>
      </w:pPr>
      <w:r w:rsidRPr="00AA47C0">
        <w:rPr>
          <w:b/>
          <w:u w:val="single"/>
          <w:lang w:val="es-PE"/>
        </w:rPr>
        <w:t>CUARTO</w:t>
      </w:r>
      <w:r w:rsidRPr="00AA47C0">
        <w:rPr>
          <w:b/>
          <w:lang w:val="es-PE"/>
        </w:rPr>
        <w:t>:</w:t>
      </w:r>
      <w:r w:rsidRPr="00AA47C0">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AA47C0" w:rsidR="00AA47C0" w:rsidP="00AA47C0" w:rsidRDefault="00AA47C0" w14:paraId="54EE6BF7" w14:textId="77777777">
      <w:pPr>
        <w:jc w:val="both"/>
        <w:rPr>
          <w:bCs/>
        </w:rPr>
      </w:pPr>
    </w:p>
    <w:p w:rsidRPr="00AA47C0" w:rsidR="00AA47C0" w:rsidP="00AA47C0" w:rsidRDefault="00AA47C0" w14:paraId="59B0D106" w14:textId="77777777">
      <w:pPr>
        <w:jc w:val="both"/>
      </w:pPr>
      <w:r w:rsidRPr="00AA47C0">
        <w:rPr>
          <w:b/>
          <w:bCs/>
          <w:u w:val="single"/>
          <w:lang w:val="es-PE"/>
        </w:rPr>
        <w:t>QUINTO</w:t>
      </w:r>
      <w:r w:rsidRPr="00AA47C0">
        <w:rPr>
          <w:b/>
          <w:bCs/>
          <w:lang w:val="es-PE"/>
        </w:rPr>
        <w:t xml:space="preserve">: </w:t>
      </w:r>
      <w:r w:rsidRPr="00AA47C0">
        <w:rPr>
          <w:bCs/>
          <w:lang w:val="es-PE"/>
        </w:rPr>
        <w:t>Que, conforme al</w:t>
      </w:r>
      <w:r w:rsidRPr="00AA47C0">
        <w:rPr>
          <w:b/>
          <w:bCs/>
          <w:lang w:val="es-PE"/>
        </w:rPr>
        <w:t xml:space="preserve"> </w:t>
      </w:r>
      <w:r w:rsidRPr="00AA47C0">
        <w:rPr>
          <w:lang w:val="es-PE"/>
        </w:rPr>
        <w:t>artículo 196 del Código Procesal Civil, la carga de la prueba corresponde a quien afirma hechos que configuran su pretensión, o a quien los contradice alegando nuevos hechos, salvo disposición legal diferente.</w:t>
      </w:r>
    </w:p>
    <w:p w:rsidRPr="00AA47C0" w:rsidR="00AA47C0" w:rsidP="00AA47C0" w:rsidRDefault="00AA47C0" w14:paraId="6F4FBB67" w14:textId="77777777">
      <w:pPr>
        <w:jc w:val="both"/>
        <w:rPr>
          <w:lang w:val="es-PE"/>
        </w:rPr>
      </w:pPr>
    </w:p>
    <w:p w:rsidRPr="00AA47C0" w:rsidR="00AA47C0" w:rsidP="00AA47C0" w:rsidRDefault="00AA47C0" w14:paraId="60D551A8" w14:textId="77777777">
      <w:pPr>
        <w:tabs>
          <w:tab w:val="left" w:pos="2160"/>
        </w:tabs>
        <w:jc w:val="both"/>
        <w:rPr>
          <w:lang w:val="es-PE"/>
        </w:rPr>
      </w:pPr>
      <w:r w:rsidRPr="00AA47C0">
        <w:rPr>
          <w:b/>
          <w:u w:val="single"/>
        </w:rPr>
        <w:t>SEXTO</w:t>
      </w:r>
      <w:r w:rsidRPr="00AA47C0">
        <w:rPr>
          <w:b/>
        </w:rPr>
        <w:t>:</w:t>
      </w:r>
      <w:r w:rsidRPr="00AA47C0">
        <w:rPr>
          <w:b/>
          <w:lang w:val="es-PE"/>
        </w:rPr>
        <w:t xml:space="preserve"> </w:t>
      </w:r>
      <w:r w:rsidRPr="00AA47C0">
        <w:rPr>
          <w:lang w:val="es-PE"/>
        </w:rPr>
        <w:t>Sobre la base de los términos contenidos en la reclamación</w:t>
      </w:r>
      <w:r w:rsidRPr="00AA47C0">
        <w:rPr>
          <w:lang w:val="es-419"/>
        </w:rPr>
        <w:t xml:space="preserve">, </w:t>
      </w:r>
      <w:r w:rsidRPr="00AA47C0">
        <w:rPr>
          <w:lang w:val="es-PE"/>
        </w:rPr>
        <w:t xml:space="preserve">en la absolución de esta, y a lo tratado en la audiencia de vista, la cuestión controvertida radica en determinar si se encuentra justificado o no el rechazo de cobertura materia de impugnación por el asegurado.  </w:t>
      </w:r>
    </w:p>
    <w:p w:rsidRPr="00AA47C0" w:rsidR="00AA47C0" w:rsidP="00AA47C0" w:rsidRDefault="00AA47C0" w14:paraId="72AA81F4" w14:textId="77777777">
      <w:pPr>
        <w:tabs>
          <w:tab w:val="left" w:pos="2160"/>
        </w:tabs>
        <w:jc w:val="both"/>
        <w:rPr>
          <w:lang w:val="es-PE"/>
        </w:rPr>
      </w:pPr>
    </w:p>
    <w:p w:rsidRPr="00AA47C0" w:rsidR="00AA47C0" w:rsidP="00AA47C0" w:rsidRDefault="00AA47C0" w14:paraId="12486B60" w14:textId="77777777">
      <w:pPr>
        <w:tabs>
          <w:tab w:val="left" w:pos="2160"/>
        </w:tabs>
        <w:jc w:val="both"/>
        <w:rPr>
          <w:rFonts w:eastAsiaTheme="minorHAnsi"/>
          <w:lang w:eastAsia="en-US"/>
        </w:rPr>
      </w:pPr>
      <w:r w:rsidRPr="00AA47C0">
        <w:rPr>
          <w:lang w:val="es-PE"/>
        </w:rPr>
        <w:t>El señalado rechazo se sustenta en que, conforme a lo sancionado en el artículo 17</w:t>
      </w:r>
      <w:r w:rsidRPr="00AA47C0">
        <w:t xml:space="preserve"> del Reglamento Nacional de Responsabilidad Civil y Seguros Obligatorios por Accidentes de Tránsito, tratándose de un accidente vehicular, cada aseguradora asume la cobertura de daños tratándose de los ocupantes de la unidad que hubiese asegurado, no de la otra unidad vehicular.</w:t>
      </w:r>
    </w:p>
    <w:p w:rsidRPr="00AA47C0" w:rsidR="00AA47C0" w:rsidP="00AA47C0" w:rsidRDefault="00AA47C0" w14:paraId="7F4BED8E" w14:textId="77777777">
      <w:pPr>
        <w:spacing w:before="100" w:beforeAutospacing="1" w:after="100" w:afterAutospacing="1"/>
        <w:jc w:val="both"/>
        <w:rPr>
          <w:lang w:val="es-PE"/>
        </w:rPr>
      </w:pPr>
      <w:r w:rsidRPr="00AA47C0">
        <w:t xml:space="preserve">Sobre el particular, resulta pertinente destacar </w:t>
      </w:r>
      <w:r w:rsidRPr="00AA47C0">
        <w:rPr>
          <w:lang w:val="es-PE"/>
        </w:rPr>
        <w:t>los alcances del artículo 17 del Reglamento Nacional de Responsabilidad Civil y Seguros Obligatorios por Accidentes de Tránsito (según texto final conforme al Decreto Supremo Nro. 001-2004-MTC), cuyo texto se reproduce a continuación:</w:t>
      </w:r>
    </w:p>
    <w:p w:rsidRPr="00AA47C0" w:rsidR="00AA47C0" w:rsidP="00AA47C0" w:rsidRDefault="00AA47C0" w14:paraId="1EE55CD2" w14:textId="77777777">
      <w:pPr>
        <w:pStyle w:val="NormalWeb"/>
        <w:ind w:left="720"/>
        <w:jc w:val="both"/>
        <w:rPr>
          <w:i/>
          <w:color w:val="000000"/>
        </w:rPr>
      </w:pPr>
      <w:r w:rsidRPr="00AA47C0">
        <w:rPr>
          <w:i/>
          <w:lang w:val="es-PE"/>
        </w:rPr>
        <w:t>“</w:t>
      </w:r>
      <w:r w:rsidRPr="00AA47C0">
        <w:rPr>
          <w:i/>
          <w:color w:val="000000"/>
        </w:rPr>
        <w:t xml:space="preserve">Artículo 17: En caso de accidentes de tránsito en que hayan participado dos o más vehículos, </w:t>
      </w:r>
      <w:r w:rsidRPr="00AA47C0">
        <w:rPr>
          <w:b/>
          <w:i/>
          <w:color w:val="000000"/>
        </w:rPr>
        <w:t>cada compañía de seguros será responsable de las indemnizaciones correspondientes a las personas transportadas en el vehículo por ella asegurado</w:t>
      </w:r>
      <w:r w:rsidRPr="00AA47C0">
        <w:rPr>
          <w:i/>
          <w:color w:val="000000"/>
        </w:rPr>
        <w:t>.</w:t>
      </w:r>
    </w:p>
    <w:p w:rsidRPr="00AA47C0" w:rsidR="00AA47C0" w:rsidP="00AA47C0" w:rsidRDefault="00AA47C0" w14:paraId="60269E0F" w14:textId="77777777">
      <w:pPr>
        <w:pStyle w:val="NormalWeb"/>
        <w:ind w:left="720"/>
        <w:jc w:val="both"/>
        <w:rPr>
          <w:i/>
          <w:color w:val="000000"/>
        </w:rPr>
      </w:pPr>
      <w:r w:rsidRPr="00AA47C0">
        <w:rPr>
          <w:i/>
          <w:color w:val="000000"/>
        </w:rPr>
        <w:t xml:space="preserve">En caso de </w:t>
      </w:r>
      <w:r w:rsidRPr="00AA47C0">
        <w:rPr>
          <w:bCs/>
          <w:i/>
          <w:color w:val="000000"/>
        </w:rPr>
        <w:t>peatones o terceros no ocupantes</w:t>
      </w:r>
      <w:r w:rsidRPr="00AA47C0">
        <w:rPr>
          <w:i/>
          <w:color w:val="000000"/>
        </w:rPr>
        <w:t xml:space="preserve"> de vehículos automotores, las compañías de seguros intervinientes serán responsables solidariamente de las indemnizaciones que correspondan a dichas personas o su (s) beneficiario (s).</w:t>
      </w:r>
    </w:p>
    <w:p w:rsidRPr="00AA47C0" w:rsidR="00AA47C0" w:rsidP="00AA47C0" w:rsidRDefault="00AA47C0" w14:paraId="448A8103" w14:textId="77777777">
      <w:pPr>
        <w:pStyle w:val="NormalWeb"/>
        <w:ind w:left="720"/>
        <w:jc w:val="both"/>
        <w:rPr>
          <w:i/>
          <w:color w:val="000000"/>
        </w:rPr>
      </w:pPr>
      <w:r w:rsidRPr="00AA47C0">
        <w:rPr>
          <w:i/>
          <w:color w:val="000000"/>
        </w:rPr>
        <w:t>En este último caso, la compañía de seguros que hubiere pagado tendrá derecho a repetir contra las demás para exigirles su correspondiente participación sin perjuicio de los convenios que para el efecto puedan celebrar las compañías de seguros involucradas.</w:t>
      </w:r>
    </w:p>
    <w:p w:rsidRPr="00AA47C0" w:rsidR="00AA47C0" w:rsidP="00AA47C0" w:rsidRDefault="00AA47C0" w14:paraId="10842895" w14:textId="77777777">
      <w:pPr>
        <w:pStyle w:val="NormalWeb"/>
        <w:ind w:left="720"/>
        <w:jc w:val="both"/>
        <w:rPr>
          <w:i/>
          <w:color w:val="000000"/>
        </w:rPr>
      </w:pPr>
      <w:r w:rsidRPr="00AA47C0">
        <w:rPr>
          <w:i/>
          <w:color w:val="000000"/>
        </w:rPr>
        <w:t xml:space="preserve">En el caso que alguno de los vehículos que participa en el accidente de tránsito no contase con el Seguro Obligatorio de Accidentes de Tránsito, el propietario, el conductor y en su caso, el prestador del servicio de transporte responden solidariamente frente a los ocupantes de dicho vehículo, terceros no ocupantes, establecimientos de salud y compañías de seguros por el monto de los gastos incurridos y/o indemnizaciones que éstos hubieren pagado a los accidentados frente a los cuales, los sujetos antes mencionados, resulten responsables”. </w:t>
      </w:r>
    </w:p>
    <w:p w:rsidRPr="00AA47C0" w:rsidR="00AA47C0" w:rsidP="00AA47C0" w:rsidRDefault="00AA47C0" w14:paraId="3915A376" w14:textId="77777777">
      <w:pPr>
        <w:ind w:left="709"/>
        <w:jc w:val="both"/>
        <w:rPr>
          <w:b/>
          <w:bCs/>
          <w:i/>
          <w:iCs/>
          <w:color w:val="000000" w:themeColor="text1"/>
          <w:lang w:val="es-PE" w:eastAsia="es-PE"/>
        </w:rPr>
      </w:pPr>
    </w:p>
    <w:p w:rsidRPr="00AA47C0" w:rsidR="00AA47C0" w:rsidP="00AA47C0" w:rsidRDefault="00AA47C0" w14:paraId="0E2CBCB6" w14:textId="77777777">
      <w:pPr>
        <w:tabs>
          <w:tab w:val="left" w:pos="709"/>
          <w:tab w:val="left" w:pos="2160"/>
        </w:tabs>
        <w:jc w:val="both"/>
        <w:rPr>
          <w:color w:val="000000" w:themeColor="text1"/>
          <w:lang w:val="es-PE" w:eastAsia="es-PE"/>
        </w:rPr>
      </w:pPr>
      <w:r w:rsidRPr="00AA47C0">
        <w:rPr>
          <w:color w:val="000000" w:themeColor="text1"/>
          <w:lang w:val="es-PE" w:eastAsia="es-PE"/>
        </w:rPr>
        <w:tab/>
      </w:r>
      <w:r w:rsidRPr="00AA47C0">
        <w:rPr>
          <w:color w:val="000000" w:themeColor="text1"/>
          <w:lang w:val="es-PE" w:eastAsia="es-PE"/>
        </w:rPr>
        <w:t>Lo destacado con negrita es nuestro.</w:t>
      </w:r>
    </w:p>
    <w:p w:rsidRPr="00AA47C0" w:rsidR="00AA47C0" w:rsidP="00AA47C0" w:rsidRDefault="00AA47C0" w14:paraId="65505999" w14:textId="77777777">
      <w:pPr>
        <w:tabs>
          <w:tab w:val="left" w:pos="709"/>
          <w:tab w:val="left" w:pos="2160"/>
        </w:tabs>
        <w:jc w:val="both"/>
        <w:rPr>
          <w:color w:val="000000" w:themeColor="text1"/>
          <w:lang w:val="es-PE" w:eastAsia="es-PE"/>
        </w:rPr>
      </w:pPr>
    </w:p>
    <w:p w:rsidRPr="00AA47C0" w:rsidR="00AA47C0" w:rsidP="00AA47C0" w:rsidRDefault="00AA47C0" w14:paraId="568A275C" w14:textId="1FBDA644">
      <w:pPr>
        <w:tabs>
          <w:tab w:val="left" w:pos="709"/>
          <w:tab w:val="left" w:pos="2160"/>
        </w:tabs>
        <w:jc w:val="both"/>
        <w:rPr>
          <w:color w:val="000000" w:themeColor="text1"/>
          <w:lang w:val="es-PE" w:eastAsia="es-PE"/>
        </w:rPr>
      </w:pPr>
      <w:r w:rsidRPr="3E72C3EA" w:rsidR="00AA47C0">
        <w:rPr>
          <w:color w:val="000000" w:themeColor="text1" w:themeTint="FF" w:themeShade="FF"/>
          <w:lang w:val="es-PE" w:eastAsia="es-PE"/>
        </w:rPr>
        <w:t xml:space="preserve">De la </w:t>
      </w:r>
      <w:r w:rsidRPr="3E72C3EA" w:rsidR="00AA47C0">
        <w:rPr>
          <w:color w:val="000000" w:themeColor="text1" w:themeTint="FF" w:themeShade="FF"/>
          <w:lang w:val="es-PE" w:eastAsia="es-PE"/>
        </w:rPr>
        <w:t>primer ampliación</w:t>
      </w:r>
      <w:r w:rsidRPr="3E72C3EA" w:rsidR="00AA47C0">
        <w:rPr>
          <w:color w:val="000000" w:themeColor="text1" w:themeTint="FF" w:themeShade="FF"/>
          <w:lang w:val="es-PE" w:eastAsia="es-PE"/>
        </w:rPr>
        <w:t xml:space="preserve"> de la denuncia policial que fuera presentada a la aseguradora para solicitar la cobertura SOAT, se verifica que el accidente involucró el vehículo menor de placa de rodaje </w:t>
      </w:r>
      <w:r w:rsidRPr="3E72C3EA" w:rsidR="7CE77771">
        <w:rPr>
          <w:color w:val="000000" w:themeColor="text1" w:themeTint="FF" w:themeShade="FF"/>
          <w:lang w:val="es-PE" w:eastAsia="es-PE"/>
        </w:rPr>
        <w:t>...............</w:t>
      </w:r>
      <w:r w:rsidRPr="3E72C3EA" w:rsidR="00AA47C0">
        <w:rPr>
          <w:color w:val="000000" w:themeColor="text1" w:themeTint="FF" w:themeShade="FF"/>
          <w:lang w:val="es-PE" w:eastAsia="es-PE"/>
        </w:rPr>
        <w:t>.</w:t>
      </w:r>
    </w:p>
    <w:p w:rsidRPr="00AA47C0" w:rsidR="00AA47C0" w:rsidP="00AA47C0" w:rsidRDefault="00AA47C0" w14:paraId="0D14DA07" w14:textId="77777777">
      <w:pPr>
        <w:kinsoku w:val="0"/>
        <w:overflowPunct w:val="0"/>
        <w:autoSpaceDE w:val="0"/>
        <w:autoSpaceDN w:val="0"/>
        <w:adjustRightInd w:val="0"/>
        <w:spacing w:before="45"/>
        <w:rPr>
          <w:lang w:val="es-PE" w:eastAsia="en-US"/>
        </w:rPr>
      </w:pPr>
    </w:p>
    <w:p w:rsidRPr="00AA47C0" w:rsidR="00AA47C0" w:rsidP="00AA47C0" w:rsidRDefault="00AA47C0" w14:paraId="73FCFDB4" w14:textId="7E75E4C6">
      <w:pPr>
        <w:tabs>
          <w:tab w:val="left" w:pos="709"/>
          <w:tab w:val="left" w:pos="2160"/>
        </w:tabs>
        <w:jc w:val="both"/>
      </w:pPr>
      <w:r w:rsidR="6FFC1C63">
        <w:rPr/>
        <w:t>.....................................................................................................................</w:t>
      </w:r>
    </w:p>
    <w:p w:rsidRPr="00AA47C0" w:rsidR="00AA47C0" w:rsidP="00AA47C0" w:rsidRDefault="00AA47C0" w14:paraId="4B9DE750" w14:textId="77777777">
      <w:pPr>
        <w:tabs>
          <w:tab w:val="left" w:pos="709"/>
          <w:tab w:val="left" w:pos="2160"/>
        </w:tabs>
        <w:jc w:val="both"/>
        <w:rPr>
          <w:color w:val="000000" w:themeColor="text1"/>
          <w:lang w:val="es-PE" w:eastAsia="es-PE"/>
        </w:rPr>
      </w:pPr>
    </w:p>
    <w:p w:rsidRPr="00AA47C0" w:rsidR="00AA47C0" w:rsidP="00AA47C0" w:rsidRDefault="00AA47C0" w14:paraId="03BFCAE6" w14:textId="5085F8C1">
      <w:pPr>
        <w:tabs>
          <w:tab w:val="left" w:pos="709"/>
          <w:tab w:val="left" w:pos="2160"/>
        </w:tabs>
        <w:jc w:val="both"/>
        <w:rPr>
          <w:color w:val="000000" w:themeColor="text1"/>
          <w:lang w:val="es-PE" w:eastAsia="es-PE"/>
        </w:rPr>
      </w:pPr>
      <w:r w:rsidRPr="3E72C3EA" w:rsidR="00AA47C0">
        <w:rPr>
          <w:color w:val="000000" w:themeColor="text1" w:themeTint="FF" w:themeShade="FF"/>
          <w:lang w:val="es-PE" w:eastAsia="es-PE"/>
        </w:rPr>
        <w:t xml:space="preserve">Asimismo, conforme a la información que se obtiene de la plataforma de APESEG, que permite verificar las pólizas SOAT (https://www.apeseg.org.pe/consultas-soat/), se aprecia, </w:t>
      </w:r>
      <w:r w:rsidRPr="3E72C3EA" w:rsidR="00AA47C0">
        <w:rPr>
          <w:color w:val="000000" w:themeColor="text1" w:themeTint="FF" w:themeShade="FF"/>
          <w:lang w:val="es-PE" w:eastAsia="es-PE"/>
        </w:rPr>
        <w:t>que</w:t>
      </w:r>
      <w:r w:rsidRPr="3E72C3EA" w:rsidR="00AA47C0">
        <w:rPr>
          <w:color w:val="000000" w:themeColor="text1" w:themeTint="FF" w:themeShade="FF"/>
          <w:lang w:val="es-PE" w:eastAsia="es-PE"/>
        </w:rPr>
        <w:t xml:space="preserve"> en efecto, el vehículo de placa </w:t>
      </w:r>
      <w:r w:rsidRPr="3E72C3EA" w:rsidR="7CE77771">
        <w:rPr>
          <w:color w:val="000000" w:themeColor="text1" w:themeTint="FF" w:themeShade="FF"/>
          <w:lang w:val="es-PE" w:eastAsia="es-PE"/>
        </w:rPr>
        <w:t>...............</w:t>
      </w:r>
      <w:r w:rsidRPr="3E72C3EA" w:rsidR="00AA47C0">
        <w:rPr>
          <w:color w:val="000000" w:themeColor="text1" w:themeTint="FF" w:themeShade="FF"/>
          <w:lang w:val="es-PE" w:eastAsia="es-PE"/>
        </w:rPr>
        <w:t xml:space="preserve">, contaba con una póliza SOAT que no fue emitida por </w:t>
      </w:r>
      <w:r w:rsidRPr="3E72C3EA" w:rsidR="6E752D58">
        <w:rPr>
          <w:color w:val="000000" w:themeColor="text1" w:themeTint="FF" w:themeShade="FF"/>
          <w:lang w:val="es-PE" w:eastAsia="es-PE"/>
        </w:rPr>
        <w:t>...............................</w:t>
      </w:r>
      <w:r w:rsidRPr="3E72C3EA" w:rsidR="00AA47C0">
        <w:rPr>
          <w:color w:val="000000" w:themeColor="text1" w:themeTint="FF" w:themeShade="FF"/>
          <w:lang w:val="es-PE" w:eastAsia="es-PE"/>
        </w:rPr>
        <w:t>, tal como puede apreciarse a continuación:</w:t>
      </w:r>
    </w:p>
    <w:p w:rsidRPr="00AA47C0" w:rsidR="00AA47C0" w:rsidP="00AA47C0" w:rsidRDefault="00AA47C0" w14:paraId="6FD77D11" w14:textId="77777777">
      <w:pPr>
        <w:tabs>
          <w:tab w:val="left" w:pos="709"/>
          <w:tab w:val="left" w:pos="2160"/>
        </w:tabs>
        <w:jc w:val="both"/>
        <w:rPr>
          <w:color w:val="000000" w:themeColor="text1"/>
          <w:lang w:val="es-PE" w:eastAsia="es-PE"/>
        </w:rPr>
      </w:pPr>
    </w:p>
    <w:p w:rsidRPr="00AA47C0" w:rsidR="00AA47C0" w:rsidP="00AA47C0" w:rsidRDefault="00AA47C0" w14:paraId="38E5F920" w14:textId="533234E5">
      <w:pPr>
        <w:tabs>
          <w:tab w:val="left" w:pos="709"/>
          <w:tab w:val="left" w:pos="2160"/>
        </w:tabs>
        <w:jc w:val="both"/>
      </w:pPr>
      <w:r w:rsidR="2C8140C8">
        <w:rPr/>
        <w:t>................................................................................................................</w:t>
      </w:r>
    </w:p>
    <w:p w:rsidRPr="00AA47C0" w:rsidR="00AA47C0" w:rsidP="00AA47C0" w:rsidRDefault="00AA47C0" w14:paraId="69931584" w14:textId="77777777">
      <w:pPr>
        <w:tabs>
          <w:tab w:val="left" w:pos="709"/>
          <w:tab w:val="left" w:pos="2160"/>
        </w:tabs>
        <w:jc w:val="both"/>
        <w:rPr>
          <w:color w:val="000000" w:themeColor="text1"/>
          <w:lang w:val="es-PE" w:eastAsia="es-PE"/>
        </w:rPr>
      </w:pPr>
    </w:p>
    <w:p w:rsidRPr="00AA47C0" w:rsidR="00AA47C0" w:rsidP="00AA47C0" w:rsidRDefault="00AA47C0" w14:paraId="4AAD6170" w14:textId="77777777">
      <w:pPr>
        <w:tabs>
          <w:tab w:val="left" w:pos="709"/>
          <w:tab w:val="left" w:pos="2160"/>
        </w:tabs>
        <w:jc w:val="both"/>
        <w:rPr>
          <w:color w:val="000000" w:themeColor="text1"/>
          <w:lang w:val="es-PE" w:eastAsia="es-PE"/>
        </w:rPr>
      </w:pPr>
    </w:p>
    <w:p w:rsidRPr="00AA47C0" w:rsidR="00AA47C0" w:rsidP="00AA47C0" w:rsidRDefault="00AA47C0" w14:paraId="787FE285" w14:textId="340E35F9">
      <w:pPr>
        <w:tabs>
          <w:tab w:val="left" w:pos="709"/>
          <w:tab w:val="left" w:pos="2160"/>
        </w:tabs>
        <w:jc w:val="both"/>
        <w:rPr>
          <w:color w:val="000000" w:themeColor="text1"/>
          <w:lang w:val="es-PE" w:eastAsia="es-PE"/>
        </w:rPr>
      </w:pPr>
      <w:r w:rsidRPr="3E72C3EA" w:rsidR="00AA47C0">
        <w:rPr>
          <w:color w:val="000000" w:themeColor="text1" w:themeTint="FF" w:themeShade="FF"/>
          <w:lang w:val="es-PE" w:eastAsia="es-PE"/>
        </w:rPr>
        <w:t xml:space="preserve">Del señalado texto normativo y la verificación de la compañía de seguros que emitió el SOAT del vehículo que conducía el reclamante, se aprecia inequívocamente que, en el caso concreto sometido a conocimiento y resolución de este colegiado, no existe título legal para disponer que </w:t>
      </w:r>
      <w:r w:rsidRPr="3E72C3EA" w:rsidR="6E752D58">
        <w:rPr>
          <w:color w:val="000000" w:themeColor="text1" w:themeTint="FF" w:themeShade="FF"/>
          <w:lang w:val="es-PE" w:eastAsia="es-PE"/>
        </w:rPr>
        <w:t>...............................</w:t>
      </w:r>
      <w:r w:rsidRPr="3E72C3EA" w:rsidR="00AA47C0">
        <w:rPr>
          <w:color w:val="000000" w:themeColor="text1" w:themeTint="FF" w:themeShade="FF"/>
          <w:lang w:val="es-PE" w:eastAsia="es-PE"/>
        </w:rPr>
        <w:t xml:space="preserve">  deba cubrir, haciendo efectivas las coberturas de la póliza SOAT contratada por su cliente, los daños soportados por el conductor y/o los ocupantes de la otra unidad vehicular que participó en los hechos, al margen que la calificación de la actuación del conductor de la unidad asegurada sea concluyente, coadyuvante o ajena a lo sucedido.  </w:t>
      </w:r>
    </w:p>
    <w:p w:rsidRPr="00AA47C0" w:rsidR="00AA47C0" w:rsidP="00AA47C0" w:rsidRDefault="00AA47C0" w14:paraId="5D220A8A" w14:textId="77777777">
      <w:pPr>
        <w:tabs>
          <w:tab w:val="left" w:pos="709"/>
          <w:tab w:val="left" w:pos="2160"/>
        </w:tabs>
        <w:jc w:val="both"/>
        <w:rPr>
          <w:color w:val="000000" w:themeColor="text1"/>
          <w:lang w:val="es-PE" w:eastAsia="es-PE"/>
        </w:rPr>
      </w:pPr>
    </w:p>
    <w:p w:rsidRPr="00AA47C0" w:rsidR="00AA47C0" w:rsidP="00AA47C0" w:rsidRDefault="00AA47C0" w14:paraId="7DFB44A5" w14:textId="6A33204A">
      <w:pPr>
        <w:tabs>
          <w:tab w:val="left" w:pos="709"/>
          <w:tab w:val="left" w:pos="2160"/>
        </w:tabs>
        <w:jc w:val="both"/>
      </w:pPr>
      <w:r w:rsidRPr="3E72C3EA" w:rsidR="00AA47C0">
        <w:rPr>
          <w:color w:val="000000" w:themeColor="text1" w:themeTint="FF" w:themeShade="FF"/>
          <w:lang w:val="es-PE" w:eastAsia="es-PE"/>
        </w:rPr>
        <w:t xml:space="preserve">En tal virtud, corresponde que los damnificados hagan efectiva la cobertura del propio SOAT que hubiese sido contratado, en el presente caso tratándose de la unidad vehicular menor con placa de rodaje </w:t>
      </w:r>
      <w:r w:rsidRPr="3E72C3EA" w:rsidR="7CE77771">
        <w:rPr>
          <w:color w:val="000000" w:themeColor="text1" w:themeTint="FF" w:themeShade="FF"/>
          <w:lang w:val="es-PE" w:eastAsia="es-PE"/>
        </w:rPr>
        <w:t>...............</w:t>
      </w:r>
      <w:r w:rsidRPr="3E72C3EA" w:rsidR="00AA47C0">
        <w:rPr>
          <w:lang w:val="es-PE"/>
        </w:rPr>
        <w:t xml:space="preserve">, con la compañía de seguros con la que contrató el SOAT, la cual se aprecia no corresponde a </w:t>
      </w:r>
      <w:r w:rsidRPr="3E72C3EA" w:rsidR="6E752D58">
        <w:rPr>
          <w:lang w:val="es-PE"/>
        </w:rPr>
        <w:t>...............................</w:t>
      </w:r>
      <w:r w:rsidR="00AA47C0">
        <w:rPr/>
        <w:t>.</w:t>
      </w:r>
    </w:p>
    <w:p w:rsidRPr="00AA47C0" w:rsidR="00AA47C0" w:rsidP="00AA47C0" w:rsidRDefault="00AA47C0" w14:paraId="2B855917" w14:textId="77777777">
      <w:pPr>
        <w:tabs>
          <w:tab w:val="left" w:pos="709"/>
          <w:tab w:val="left" w:pos="2160"/>
        </w:tabs>
        <w:jc w:val="both"/>
      </w:pPr>
    </w:p>
    <w:p w:rsidRPr="00AA47C0" w:rsidR="00AA47C0" w:rsidP="00AA47C0" w:rsidRDefault="00AA47C0" w14:paraId="35B7979B" w14:textId="319E83A4">
      <w:pPr>
        <w:tabs>
          <w:tab w:val="left" w:pos="709"/>
          <w:tab w:val="left" w:pos="2160"/>
        </w:tabs>
        <w:jc w:val="both"/>
      </w:pPr>
      <w:r w:rsidR="00AA47C0">
        <w:rPr/>
        <w:t xml:space="preserve">Sin perjuicio de lo anterior, se advierte que la reclamación de cobertura se fundamenta en la segunda ampliación de la denuncia policial, en virtud de la cual se da cuenta que por error se consignó como placa del vehículo menor </w:t>
      </w:r>
      <w:r w:rsidRPr="3E72C3EA" w:rsidR="7CE77771">
        <w:rPr>
          <w:color w:val="000000" w:themeColor="text1" w:themeTint="FF" w:themeShade="FF"/>
          <w:lang w:val="es-PE" w:eastAsia="es-PE"/>
        </w:rPr>
        <w:t>...............</w:t>
      </w:r>
      <w:r w:rsidRPr="3E72C3EA" w:rsidR="00AA47C0">
        <w:rPr>
          <w:color w:val="000000" w:themeColor="text1" w:themeTint="FF" w:themeShade="FF"/>
          <w:lang w:val="es-PE" w:eastAsia="es-PE"/>
        </w:rPr>
        <w:t>:</w:t>
      </w:r>
    </w:p>
    <w:p w:rsidRPr="00AA47C0" w:rsidR="00AA47C0" w:rsidP="00AA47C0" w:rsidRDefault="00AA47C0" w14:paraId="5F3FDD63" w14:textId="77777777">
      <w:pPr>
        <w:tabs>
          <w:tab w:val="left" w:pos="709"/>
          <w:tab w:val="left" w:pos="2160"/>
        </w:tabs>
        <w:jc w:val="both"/>
      </w:pPr>
    </w:p>
    <w:p w:rsidRPr="00AA47C0" w:rsidR="00AA47C0" w:rsidP="00AA47C0" w:rsidRDefault="00AA47C0" w14:paraId="301D1521" w14:textId="24405CA6">
      <w:pPr>
        <w:tabs>
          <w:tab w:val="left" w:pos="709"/>
          <w:tab w:val="left" w:pos="2160"/>
        </w:tabs>
        <w:jc w:val="both"/>
      </w:pPr>
      <w:r w:rsidR="6099E1A5">
        <w:rPr/>
        <w:t>............................................................................................................................</w:t>
      </w:r>
    </w:p>
    <w:p w:rsidRPr="00AA47C0" w:rsidR="00AA47C0" w:rsidP="00AA47C0" w:rsidRDefault="00AA47C0" w14:paraId="66C0579F" w14:textId="77777777">
      <w:pPr>
        <w:tabs>
          <w:tab w:val="left" w:pos="709"/>
          <w:tab w:val="left" w:pos="2160"/>
        </w:tabs>
        <w:jc w:val="both"/>
        <w:rPr>
          <w:lang w:val="es-PE"/>
        </w:rPr>
      </w:pPr>
    </w:p>
    <w:p w:rsidRPr="00AA47C0" w:rsidR="00AA47C0" w:rsidP="00AA47C0" w:rsidRDefault="00AA47C0" w14:paraId="7BEE5749" w14:textId="38BA38E9">
      <w:pPr>
        <w:tabs>
          <w:tab w:val="left" w:pos="709"/>
          <w:tab w:val="left" w:pos="2160"/>
        </w:tabs>
        <w:jc w:val="both"/>
        <w:rPr>
          <w:lang w:val="es-PE"/>
        </w:rPr>
      </w:pPr>
      <w:r w:rsidRPr="3E72C3EA" w:rsidR="00AA47C0">
        <w:rPr>
          <w:lang w:val="es-PE"/>
        </w:rPr>
        <w:t xml:space="preserve">En atención a la identificación del error indicado, la placa de rodaje del vehículo menor que consta en la denuncia policial es </w:t>
      </w:r>
      <w:r w:rsidRPr="3E72C3EA" w:rsidR="680C6637">
        <w:rPr>
          <w:lang w:val="es-PE"/>
        </w:rPr>
        <w:t>...............</w:t>
      </w:r>
      <w:r w:rsidRPr="3E72C3EA" w:rsidR="00AA47C0">
        <w:rPr>
          <w:lang w:val="es-PE"/>
        </w:rPr>
        <w:t>:</w:t>
      </w:r>
    </w:p>
    <w:p w:rsidRPr="00AA47C0" w:rsidR="00AA47C0" w:rsidP="00AA47C0" w:rsidRDefault="00AA47C0" w14:paraId="01977446" w14:textId="77777777">
      <w:pPr>
        <w:tabs>
          <w:tab w:val="left" w:pos="709"/>
          <w:tab w:val="left" w:pos="2160"/>
        </w:tabs>
        <w:jc w:val="both"/>
        <w:rPr>
          <w:lang w:val="es-PE"/>
        </w:rPr>
      </w:pPr>
    </w:p>
    <w:p w:rsidRPr="00AA47C0" w:rsidR="00AA47C0" w:rsidP="00AA47C0" w:rsidRDefault="00AA47C0" w14:paraId="2A545282" w14:textId="77777777">
      <w:pPr>
        <w:tabs>
          <w:tab w:val="left" w:pos="709"/>
          <w:tab w:val="left" w:pos="2160"/>
        </w:tabs>
        <w:jc w:val="both"/>
        <w:rPr>
          <w:lang w:val="es-PE"/>
        </w:rPr>
      </w:pPr>
    </w:p>
    <w:p w:rsidRPr="00AA47C0" w:rsidR="00AA47C0" w:rsidP="00AA47C0" w:rsidRDefault="00AA47C0" w14:paraId="7FEE1E17" w14:textId="64341A98">
      <w:pPr>
        <w:tabs>
          <w:tab w:val="left" w:pos="709"/>
          <w:tab w:val="left" w:pos="2160"/>
        </w:tabs>
        <w:jc w:val="both"/>
      </w:pPr>
      <w:r w:rsidR="05187A16">
        <w:rPr/>
        <w:t>..........................................................................................................................</w:t>
      </w:r>
    </w:p>
    <w:p w:rsidR="3E72C3EA" w:rsidP="3E72C3EA" w:rsidRDefault="3E72C3EA" w14:paraId="12C054BA" w14:textId="4E7148F7">
      <w:pPr>
        <w:tabs>
          <w:tab w:val="left" w:leader="none" w:pos="709"/>
          <w:tab w:val="left" w:leader="none" w:pos="2160"/>
        </w:tabs>
        <w:jc w:val="both"/>
      </w:pPr>
    </w:p>
    <w:p w:rsidRPr="00AA47C0" w:rsidR="00AA47C0" w:rsidP="00AA47C0" w:rsidRDefault="00AA47C0" w14:paraId="6D054E07" w14:textId="77777777">
      <w:pPr>
        <w:tabs>
          <w:tab w:val="left" w:pos="709"/>
          <w:tab w:val="left" w:pos="2160"/>
        </w:tabs>
        <w:jc w:val="both"/>
        <w:rPr>
          <w:lang w:val="es-PE"/>
        </w:rPr>
      </w:pPr>
    </w:p>
    <w:p w:rsidRPr="00AA47C0" w:rsidR="00AA47C0" w:rsidP="00AA47C0" w:rsidRDefault="00AA47C0" w14:paraId="7F8F59E6" w14:textId="1690BBDB">
      <w:pPr>
        <w:tabs>
          <w:tab w:val="left" w:pos="2160"/>
        </w:tabs>
        <w:jc w:val="both"/>
        <w:rPr>
          <w:lang w:val="es-PE"/>
        </w:rPr>
      </w:pPr>
      <w:r w:rsidRPr="3E72C3EA" w:rsidR="00AA47C0">
        <w:rPr>
          <w:lang w:val="es-PE"/>
        </w:rPr>
        <w:t xml:space="preserve">Conforme a la identificación definitiva de la placa de rodaje como </w:t>
      </w:r>
      <w:r w:rsidRPr="3E72C3EA" w:rsidR="680C6637">
        <w:rPr>
          <w:lang w:val="es-PE"/>
        </w:rPr>
        <w:t>...............</w:t>
      </w:r>
      <w:r w:rsidRPr="3E72C3EA" w:rsidR="00AA47C0">
        <w:rPr>
          <w:lang w:val="es-PE"/>
        </w:rPr>
        <w:t xml:space="preserve">, se verifica </w:t>
      </w:r>
      <w:r w:rsidRPr="3E72C3EA" w:rsidR="00AA47C0">
        <w:rPr>
          <w:lang w:val="es-PE"/>
        </w:rPr>
        <w:t xml:space="preserve">de </w:t>
      </w:r>
      <w:r w:rsidRPr="3E72C3EA" w:rsidR="00AA47C0">
        <w:rPr>
          <w:color w:val="000000" w:themeColor="text1" w:themeTint="FF" w:themeShade="FF"/>
          <w:lang w:val="es-PE" w:eastAsia="es-PE"/>
        </w:rPr>
        <w:t xml:space="preserve"> la</w:t>
      </w:r>
      <w:r w:rsidRPr="3E72C3EA" w:rsidR="00AA47C0">
        <w:rPr>
          <w:color w:val="000000" w:themeColor="text1" w:themeTint="FF" w:themeShade="FF"/>
          <w:lang w:val="es-PE" w:eastAsia="es-PE"/>
        </w:rPr>
        <w:t xml:space="preserve"> información que se obtiene de la plataforma de APESEG, que permite verificar las pólizas SOAT (https://www.apeseg.org.pe/consultas-soat/), se aprecia que el vehículo menor con dicha placa no contaba una póliza SOAT.</w:t>
      </w:r>
    </w:p>
    <w:p w:rsidRPr="00AA47C0" w:rsidR="00AA47C0" w:rsidP="00AA47C0" w:rsidRDefault="00AA47C0" w14:paraId="3978DA65" w14:textId="77777777">
      <w:pPr>
        <w:tabs>
          <w:tab w:val="left" w:pos="2160"/>
        </w:tabs>
        <w:jc w:val="both"/>
        <w:rPr>
          <w:lang w:val="es-PE"/>
        </w:rPr>
      </w:pPr>
      <w:r w:rsidRPr="00AA47C0">
        <w:rPr>
          <w:lang w:val="es-PE"/>
        </w:rPr>
        <w:t xml:space="preserve">Al respecto, esta Defensoría tiene a bien señalar que ya se ha pronunciado en el sentido que la aseguradora contratante del SOAT de una unidad </w:t>
      </w:r>
      <w:proofErr w:type="gramStart"/>
      <w:r w:rsidRPr="00AA47C0">
        <w:rPr>
          <w:lang w:val="es-PE"/>
        </w:rPr>
        <w:t>vehicular,</w:t>
      </w:r>
      <w:proofErr w:type="gramEnd"/>
      <w:r w:rsidRPr="00AA47C0">
        <w:rPr>
          <w:lang w:val="es-PE"/>
        </w:rPr>
        <w:t xml:space="preserve"> no está obligada a otorgar cobertura a los ocupantes de la segunda unidad vehicular que omitió contratar el SOAT, tanto en las Resoluciones 039/19 y 128/19 del año 2019, como previamente en la Resolución 062/2010 emitida en el año 2010, motivo por el cual los argumentos expuestos en dicha resolución que resultan aplicables al presente caso.</w:t>
      </w:r>
    </w:p>
    <w:p w:rsidRPr="00AA47C0" w:rsidR="00AA47C0" w:rsidP="00AA47C0" w:rsidRDefault="00AA47C0" w14:paraId="6C5F28AF" w14:textId="77777777">
      <w:pPr>
        <w:tabs>
          <w:tab w:val="left" w:pos="2160"/>
        </w:tabs>
        <w:jc w:val="both"/>
        <w:rPr>
          <w:lang w:val="es-PE"/>
        </w:rPr>
      </w:pPr>
    </w:p>
    <w:p w:rsidRPr="00AA47C0" w:rsidR="00AA47C0" w:rsidP="00AA47C0" w:rsidRDefault="00AA47C0" w14:paraId="19A8B32B" w14:textId="77777777">
      <w:pPr>
        <w:tabs>
          <w:tab w:val="left" w:pos="2160"/>
        </w:tabs>
        <w:jc w:val="both"/>
        <w:rPr>
          <w:lang w:val="es-PE"/>
        </w:rPr>
      </w:pPr>
      <w:r w:rsidRPr="00AA47C0">
        <w:rPr>
          <w:lang w:val="es-PE"/>
        </w:rPr>
        <w:t>Para ello, resulta pertinente transcribir el artículo 17º del Reglamento Nacional de Responsabilidad Civil y Seguros Obligatorios por Accidentes de Tránsito (según texto final conforme al Decreto Supremo Nro. 001-2004-MTC), cuyos alcances se analizarán en esta resolución:</w:t>
      </w:r>
    </w:p>
    <w:p w:rsidRPr="00AA47C0" w:rsidR="00AA47C0" w:rsidP="00AA47C0" w:rsidRDefault="00AA47C0" w14:paraId="77EE3A2E" w14:textId="77777777">
      <w:pPr>
        <w:jc w:val="both"/>
        <w:rPr>
          <w:lang w:val="es-PE"/>
        </w:rPr>
      </w:pPr>
    </w:p>
    <w:p w:rsidRPr="00AA47C0" w:rsidR="00AA47C0" w:rsidP="00AA47C0" w:rsidRDefault="00AA47C0" w14:paraId="093AF472" w14:textId="77777777">
      <w:pPr>
        <w:ind w:left="720"/>
        <w:jc w:val="both"/>
        <w:rPr>
          <w:i/>
          <w:color w:val="000000"/>
        </w:rPr>
      </w:pPr>
      <w:r w:rsidRPr="00AA47C0">
        <w:rPr>
          <w:i/>
          <w:lang w:val="es-PE"/>
        </w:rPr>
        <w:t>“</w:t>
      </w:r>
      <w:r w:rsidRPr="00AA47C0">
        <w:rPr>
          <w:i/>
          <w:color w:val="000000"/>
        </w:rPr>
        <w:t xml:space="preserve">Artículo 17: En caso de accidentes de tránsito en que hayan participado dos o más vehículos, </w:t>
      </w:r>
      <w:r w:rsidRPr="00AA47C0">
        <w:rPr>
          <w:b/>
          <w:i/>
          <w:color w:val="000000"/>
        </w:rPr>
        <w:t>cada compañía de seguros será responsable de las indemnizaciones correspondientes a las personas transportadas en el vehículo por ella asegurado</w:t>
      </w:r>
      <w:r w:rsidRPr="00AA47C0">
        <w:rPr>
          <w:i/>
          <w:color w:val="000000"/>
        </w:rPr>
        <w:t>.</w:t>
      </w:r>
    </w:p>
    <w:p w:rsidRPr="00AA47C0" w:rsidR="00AA47C0" w:rsidP="00AA47C0" w:rsidRDefault="00AA47C0" w14:paraId="35C06519" w14:textId="77777777">
      <w:pPr>
        <w:ind w:left="720"/>
        <w:jc w:val="both"/>
        <w:rPr>
          <w:i/>
          <w:color w:val="000000"/>
        </w:rPr>
      </w:pPr>
      <w:r w:rsidRPr="00AA47C0">
        <w:rPr>
          <w:i/>
          <w:color w:val="000000"/>
        </w:rPr>
        <w:t xml:space="preserve">     En caso de </w:t>
      </w:r>
      <w:r w:rsidRPr="00AA47C0">
        <w:rPr>
          <w:b/>
          <w:i/>
          <w:color w:val="000000"/>
        </w:rPr>
        <w:t>peatones o terceros no ocupantes</w:t>
      </w:r>
      <w:r w:rsidRPr="00AA47C0">
        <w:rPr>
          <w:i/>
          <w:color w:val="000000"/>
        </w:rPr>
        <w:t xml:space="preserve"> de vehículos automotores, las compañías de seguros intervinientes serán responsables solidariamente de las indemnizaciones que correspondan a dichas personas o su (s) beneficiario (s).</w:t>
      </w:r>
    </w:p>
    <w:p w:rsidRPr="00AA47C0" w:rsidR="00AA47C0" w:rsidP="00AA47C0" w:rsidRDefault="00AA47C0" w14:paraId="30F345F3" w14:textId="77777777">
      <w:pPr>
        <w:ind w:left="720"/>
        <w:jc w:val="both"/>
        <w:rPr>
          <w:i/>
          <w:color w:val="000000"/>
        </w:rPr>
      </w:pPr>
      <w:r w:rsidRPr="00AA47C0">
        <w:rPr>
          <w:i/>
          <w:color w:val="000000"/>
        </w:rPr>
        <w:t>     En este último caso, la compañía de seguros que hubiere pagado tendrá derecho a repetir contra las demás para exigirles su correspondiente participación sin perjuicio de los convenios que para el efecto puedan celebrar las compañías de seguros involucradas.</w:t>
      </w:r>
    </w:p>
    <w:p w:rsidRPr="00AA47C0" w:rsidR="00AA47C0" w:rsidP="00AA47C0" w:rsidRDefault="00AA47C0" w14:paraId="7FCF5B42" w14:textId="77777777">
      <w:pPr>
        <w:ind w:left="720"/>
        <w:jc w:val="both"/>
        <w:rPr>
          <w:i/>
          <w:color w:val="000000"/>
        </w:rPr>
      </w:pPr>
      <w:r w:rsidRPr="00AA47C0">
        <w:rPr>
          <w:i/>
          <w:color w:val="000000"/>
        </w:rPr>
        <w:t xml:space="preserve">     En el caso que alguno de los vehículos que participa en el accidente de </w:t>
      </w:r>
      <w:r w:rsidRPr="00AA47C0">
        <w:rPr>
          <w:b/>
          <w:i/>
          <w:color w:val="000000"/>
        </w:rPr>
        <w:t>tránsito no contase con el Seguro Obligatorio de Accidentes de Tránsito, el propietario, el conductor</w:t>
      </w:r>
      <w:r w:rsidRPr="00AA47C0">
        <w:rPr>
          <w:i/>
          <w:color w:val="000000"/>
        </w:rPr>
        <w:t xml:space="preserve"> y en su caso, el prestador del servicio de transporte </w:t>
      </w:r>
      <w:r w:rsidRPr="00AA47C0">
        <w:rPr>
          <w:b/>
          <w:i/>
          <w:color w:val="000000"/>
        </w:rPr>
        <w:t>responden solidariamente</w:t>
      </w:r>
      <w:r w:rsidRPr="00AA47C0">
        <w:rPr>
          <w:i/>
          <w:color w:val="000000"/>
        </w:rPr>
        <w:t xml:space="preserve"> frente a los ocupantes de dicho vehículo, terceros no ocupantes, establecimientos de salud y compañías de seguros por el monto de los gastos incurridos y/o indemnizaciones que éstos hubieren pagado a los accidentados frente </w:t>
      </w:r>
      <w:r w:rsidRPr="00AA47C0">
        <w:rPr>
          <w:i/>
          <w:color w:val="000000"/>
        </w:rPr>
        <w:t xml:space="preserve">a los cuales, los sujetos antes mencionados, resulten responsables.” </w:t>
      </w:r>
      <w:r w:rsidRPr="00AA47C0">
        <w:rPr>
          <w:color w:val="000000"/>
        </w:rPr>
        <w:t>(los resaltados son nuestros)</w:t>
      </w:r>
    </w:p>
    <w:p w:rsidRPr="00AA47C0" w:rsidR="00AA47C0" w:rsidP="00AA47C0" w:rsidRDefault="00AA47C0" w14:paraId="50ECE6F7" w14:textId="77777777">
      <w:pPr>
        <w:tabs>
          <w:tab w:val="left" w:pos="2160"/>
        </w:tabs>
        <w:jc w:val="both"/>
      </w:pPr>
    </w:p>
    <w:p w:rsidRPr="00AA47C0" w:rsidR="00AA47C0" w:rsidP="00AA47C0" w:rsidRDefault="00AA47C0" w14:paraId="2B657277" w14:textId="77777777">
      <w:pPr>
        <w:tabs>
          <w:tab w:val="left" w:pos="2160"/>
        </w:tabs>
        <w:jc w:val="both"/>
        <w:rPr>
          <w:lang w:val="es-PE"/>
        </w:rPr>
      </w:pPr>
      <w:r w:rsidRPr="00AA47C0">
        <w:rPr>
          <w:lang w:val="es-PE"/>
        </w:rPr>
        <w:t xml:space="preserve">El artículo 17 antes referido regula los siguientes supuestos de un accidente entre más de dos vehículos motorizados (vehículos obligados a contratar la cobertura del </w:t>
      </w:r>
      <w:proofErr w:type="gramStart"/>
      <w:r w:rsidRPr="00AA47C0">
        <w:rPr>
          <w:lang w:val="es-PE"/>
        </w:rPr>
        <w:t>SOAT  tal</w:t>
      </w:r>
      <w:proofErr w:type="gramEnd"/>
      <w:r w:rsidRPr="00AA47C0">
        <w:rPr>
          <w:lang w:val="es-PE"/>
        </w:rPr>
        <w:t xml:space="preserve"> como lo dispone el artículo 3 del citado dispositivo):</w:t>
      </w:r>
    </w:p>
    <w:p w:rsidRPr="00AA47C0" w:rsidR="00AA47C0" w:rsidP="00AA47C0" w:rsidRDefault="00AA47C0" w14:paraId="6DE505CF" w14:textId="77777777">
      <w:pPr>
        <w:tabs>
          <w:tab w:val="left" w:pos="2160"/>
        </w:tabs>
        <w:jc w:val="both"/>
        <w:rPr>
          <w:lang w:val="es-PE"/>
        </w:rPr>
      </w:pPr>
    </w:p>
    <w:p w:rsidRPr="00AA47C0" w:rsidR="00AA47C0" w:rsidP="00AA47C0" w:rsidRDefault="00AA47C0" w14:paraId="061CDA74" w14:textId="77777777">
      <w:pPr>
        <w:numPr>
          <w:ilvl w:val="0"/>
          <w:numId w:val="45"/>
        </w:numPr>
        <w:tabs>
          <w:tab w:val="left" w:pos="2160"/>
        </w:tabs>
        <w:contextualSpacing/>
        <w:jc w:val="both"/>
        <w:rPr>
          <w:lang w:val="es-PE" w:eastAsia="en-US"/>
        </w:rPr>
      </w:pPr>
      <w:r w:rsidRPr="00AA47C0">
        <w:rPr>
          <w:lang w:val="es-PE"/>
        </w:rPr>
        <w:t>Todos los vehículos involucrados en el accidente cuentan con SOAT (supuesto considerado implícitamente en el primer párrafo del artículo 17)</w:t>
      </w:r>
    </w:p>
    <w:p w:rsidRPr="00AA47C0" w:rsidR="00AA47C0" w:rsidP="3E72C3EA" w:rsidRDefault="00AA47C0" w14:paraId="1BF5382F" w14:textId="7F19727E">
      <w:pPr>
        <w:tabs>
          <w:tab w:val="left" w:pos="2160"/>
        </w:tabs>
        <w:spacing/>
        <w:ind w:left="360"/>
        <w:contextualSpacing/>
        <w:jc w:val="both"/>
        <w:rPr>
          <w:i w:val="1"/>
          <w:iCs w:val="1"/>
          <w:color w:val="000000" w:themeColor="text1" w:themeTint="FF" w:themeShade="FF"/>
          <w:lang w:val="es-PE"/>
        </w:rPr>
      </w:pPr>
      <w:r w:rsidRPr="3E72C3EA" w:rsidR="00AA47C0">
        <w:rPr>
          <w:lang w:val="es-PE"/>
        </w:rPr>
        <w:t>En dicho supuesto la norma dispone que “</w:t>
      </w:r>
      <w:r w:rsidRPr="3E72C3EA" w:rsidR="00AA47C0">
        <w:rPr>
          <w:i w:val="1"/>
          <w:iCs w:val="1"/>
          <w:color w:val="000000" w:themeColor="text1" w:themeTint="FF" w:themeShade="FF"/>
          <w:lang w:val="es-PE"/>
        </w:rPr>
        <w:t>cada compañía de seguros será responsable de las indemnizaciones correspondientes a las personas transportadas en el vehículo por ella asegurado</w:t>
      </w:r>
      <w:r w:rsidRPr="3E72C3EA" w:rsidR="1704C5FB">
        <w:rPr>
          <w:i w:val="1"/>
          <w:iCs w:val="1"/>
          <w:color w:val="000000" w:themeColor="text1" w:themeTint="FF" w:themeShade="FF"/>
          <w:lang w:val="es-PE"/>
        </w:rPr>
        <w:t>”.</w:t>
      </w:r>
    </w:p>
    <w:p w:rsidRPr="00AA47C0" w:rsidR="00AA47C0" w:rsidP="00AA47C0" w:rsidRDefault="00AA47C0" w14:paraId="297924B7" w14:textId="77777777">
      <w:pPr>
        <w:tabs>
          <w:tab w:val="left" w:pos="2160"/>
        </w:tabs>
        <w:ind w:left="360"/>
        <w:contextualSpacing/>
        <w:jc w:val="both"/>
        <w:rPr>
          <w:color w:val="000000"/>
          <w:lang w:val="es-PE"/>
        </w:rPr>
      </w:pPr>
      <w:r w:rsidRPr="00AA47C0">
        <w:rPr>
          <w:lang w:val="es-PE"/>
        </w:rPr>
        <w:t>Adicionalmente se añade en el segundo párrafo que respecto de los peatones o terceros no ocupantes (los que por su sola definición no serían ni el chofer ni las personas transportadas en los vehículos motorizados)</w:t>
      </w:r>
      <w:r w:rsidRPr="00AA47C0">
        <w:rPr>
          <w:i/>
          <w:color w:val="000000"/>
          <w:lang w:val="es-PE"/>
        </w:rPr>
        <w:t xml:space="preserve">, “las compañías de seguros intervinientes serán responsables solidariamente de las indemnizaciones que correspondan a dichas personas o su (s) beneficiario (s)”; </w:t>
      </w:r>
      <w:r w:rsidRPr="00AA47C0">
        <w:rPr>
          <w:color w:val="000000"/>
          <w:lang w:val="es-PE"/>
        </w:rPr>
        <w:t xml:space="preserve">y en el tercer párrafo se establece que la aseguradora que asumió el gasto en exceso a su participación podrá repetir contra las demás conforme se indica en dicho artículo. </w:t>
      </w:r>
    </w:p>
    <w:p w:rsidRPr="00AA47C0" w:rsidR="00AA47C0" w:rsidP="00AA47C0" w:rsidRDefault="00AA47C0" w14:paraId="27823874" w14:textId="77777777">
      <w:pPr>
        <w:tabs>
          <w:tab w:val="left" w:pos="2160"/>
        </w:tabs>
        <w:ind w:left="360"/>
        <w:contextualSpacing/>
        <w:jc w:val="both"/>
        <w:rPr>
          <w:lang w:val="es-PE"/>
        </w:rPr>
      </w:pPr>
    </w:p>
    <w:p w:rsidRPr="00AA47C0" w:rsidR="00AA47C0" w:rsidP="00AA47C0" w:rsidRDefault="00AA47C0" w14:paraId="49BC87EA" w14:textId="2A11BCA9">
      <w:pPr>
        <w:numPr>
          <w:ilvl w:val="0"/>
          <w:numId w:val="45"/>
        </w:numPr>
        <w:tabs>
          <w:tab w:val="left" w:pos="2160"/>
        </w:tabs>
        <w:spacing/>
        <w:contextualSpacing/>
        <w:jc w:val="both"/>
        <w:rPr>
          <w:lang w:val="es-PE"/>
        </w:rPr>
      </w:pPr>
      <w:r w:rsidRPr="3E72C3EA" w:rsidR="00AA47C0">
        <w:rPr>
          <w:lang w:val="es-PE"/>
        </w:rPr>
        <w:t>Uno de los vehículos obligados a contratar el SOAT no cumplió con su obligación (supuesto establecido en el cuarto párrafo del artículo 17)</w:t>
      </w:r>
      <w:r w:rsidRPr="3E72C3EA" w:rsidR="469C1ACC">
        <w:rPr>
          <w:lang w:val="es-PE"/>
        </w:rPr>
        <w:t>00000000</w:t>
      </w:r>
    </w:p>
    <w:p w:rsidRPr="00AA47C0" w:rsidR="00AA47C0" w:rsidP="00AA47C0" w:rsidRDefault="00AA47C0" w14:paraId="60B70AAD" w14:textId="77777777">
      <w:pPr>
        <w:tabs>
          <w:tab w:val="left" w:pos="2160"/>
        </w:tabs>
        <w:ind w:left="360"/>
        <w:contextualSpacing/>
        <w:jc w:val="both"/>
        <w:rPr>
          <w:color w:val="000000"/>
          <w:lang w:val="es-PE"/>
        </w:rPr>
      </w:pPr>
      <w:r w:rsidRPr="00AA47C0">
        <w:rPr>
          <w:lang w:val="es-PE"/>
        </w:rPr>
        <w:t>En este supuesto la norma señala que “</w:t>
      </w:r>
      <w:r w:rsidRPr="00AA47C0">
        <w:rPr>
          <w:i/>
          <w:color w:val="000000"/>
          <w:lang w:val="es-PE"/>
        </w:rPr>
        <w:t xml:space="preserve">el propietario, el conductor y en su caso, </w:t>
      </w:r>
      <w:proofErr w:type="gramStart"/>
      <w:r w:rsidRPr="00AA47C0">
        <w:rPr>
          <w:i/>
          <w:color w:val="000000"/>
          <w:lang w:val="es-PE"/>
        </w:rPr>
        <w:t>el prestador del servicio de transporte responden solidariamente</w:t>
      </w:r>
      <w:proofErr w:type="gramEnd"/>
      <w:r w:rsidRPr="00AA47C0">
        <w:rPr>
          <w:i/>
          <w:color w:val="000000"/>
          <w:lang w:val="es-PE"/>
        </w:rPr>
        <w:t xml:space="preserve"> </w:t>
      </w:r>
      <w:r w:rsidRPr="00AA47C0">
        <w:rPr>
          <w:b/>
          <w:i/>
          <w:color w:val="000000"/>
          <w:lang w:val="es-PE"/>
        </w:rPr>
        <w:t xml:space="preserve">frente a los ocupantes de </w:t>
      </w:r>
      <w:r w:rsidRPr="00AA47C0">
        <w:rPr>
          <w:b/>
          <w:i/>
          <w:color w:val="000000"/>
          <w:u w:val="single"/>
          <w:lang w:val="es-PE"/>
        </w:rPr>
        <w:t xml:space="preserve">dicho </w:t>
      </w:r>
      <w:r w:rsidRPr="00AA47C0">
        <w:rPr>
          <w:b/>
          <w:i/>
          <w:color w:val="000000"/>
          <w:lang w:val="es-PE"/>
        </w:rPr>
        <w:t>vehículo, terceros no ocupantes</w:t>
      </w:r>
      <w:r w:rsidRPr="00AA47C0">
        <w:rPr>
          <w:i/>
          <w:color w:val="000000"/>
          <w:lang w:val="es-PE"/>
        </w:rPr>
        <w:t xml:space="preserve">, establecimientos de salud y compañías de seguros por el monto de los gastos incurridos y/o indemnizaciones que éstos hubieren pagado a los accidentados frente a los cuales, los sujetos antes mencionados, resulten responsables”. </w:t>
      </w:r>
      <w:r w:rsidRPr="00AA47C0">
        <w:rPr>
          <w:color w:val="000000"/>
          <w:lang w:val="es-PE"/>
        </w:rPr>
        <w:t>(El resaltado y subrayado es nuestro).</w:t>
      </w:r>
    </w:p>
    <w:p w:rsidRPr="00AA47C0" w:rsidR="00AA47C0" w:rsidP="00AA47C0" w:rsidRDefault="00AA47C0" w14:paraId="6921738D" w14:textId="77777777">
      <w:pPr>
        <w:tabs>
          <w:tab w:val="left" w:pos="2160"/>
        </w:tabs>
        <w:ind w:left="360"/>
        <w:contextualSpacing/>
        <w:jc w:val="both"/>
        <w:rPr>
          <w:color w:val="000000"/>
          <w:lang w:val="es-PE"/>
        </w:rPr>
      </w:pPr>
    </w:p>
    <w:p w:rsidRPr="00AA47C0" w:rsidR="00AA47C0" w:rsidP="00AA47C0" w:rsidRDefault="00AA47C0" w14:paraId="435AC6DB" w14:textId="77777777">
      <w:pPr>
        <w:tabs>
          <w:tab w:val="left" w:pos="2160"/>
        </w:tabs>
        <w:ind w:left="360"/>
        <w:contextualSpacing/>
        <w:jc w:val="both"/>
        <w:rPr>
          <w:color w:val="000000"/>
          <w:lang w:val="es-PE"/>
        </w:rPr>
      </w:pPr>
      <w:r w:rsidRPr="00AA47C0">
        <w:rPr>
          <w:color w:val="000000"/>
          <w:lang w:val="es-PE"/>
        </w:rPr>
        <w:t xml:space="preserve">Como se aprecia de la lectura previa, en dicho supuesto, se sanciona solidariamente a tres personas vinculadas al vehículo que omitió contratar al SOAT: al propietario del vehículo, al conductor de este, o al prestador del servicio de transporte si fuera el caso. </w:t>
      </w:r>
    </w:p>
    <w:p w:rsidRPr="00AA47C0" w:rsidR="00AA47C0" w:rsidP="00AA47C0" w:rsidRDefault="00AA47C0" w14:paraId="0C8BA936" w14:textId="77777777">
      <w:pPr>
        <w:tabs>
          <w:tab w:val="left" w:pos="2160"/>
        </w:tabs>
        <w:ind w:left="360"/>
        <w:contextualSpacing/>
        <w:jc w:val="both"/>
        <w:rPr>
          <w:color w:val="000000"/>
          <w:lang w:val="es-PE"/>
        </w:rPr>
      </w:pPr>
    </w:p>
    <w:p w:rsidRPr="00AA47C0" w:rsidR="00AA47C0" w:rsidP="00AA47C0" w:rsidRDefault="00AA47C0" w14:paraId="64E73470" w14:textId="77777777">
      <w:pPr>
        <w:tabs>
          <w:tab w:val="left" w:pos="2160"/>
        </w:tabs>
        <w:ind w:left="360"/>
        <w:contextualSpacing/>
        <w:jc w:val="both"/>
        <w:rPr>
          <w:color w:val="000000"/>
          <w:lang w:val="es-PE"/>
        </w:rPr>
      </w:pPr>
      <w:r w:rsidRPr="00AA47C0">
        <w:rPr>
          <w:color w:val="000000"/>
          <w:lang w:val="es-PE"/>
        </w:rPr>
        <w:t xml:space="preserve">También se desprende de la parte final de este cuarto párrafo, lo siguiente: </w:t>
      </w:r>
    </w:p>
    <w:p w:rsidRPr="00AA47C0" w:rsidR="00AA47C0" w:rsidP="00AA47C0" w:rsidRDefault="00AA47C0" w14:paraId="14D392E5" w14:textId="126B4FC8">
      <w:pPr>
        <w:numPr>
          <w:ilvl w:val="0"/>
          <w:numId w:val="46"/>
        </w:numPr>
        <w:tabs>
          <w:tab w:val="left" w:pos="2160"/>
        </w:tabs>
        <w:spacing/>
        <w:contextualSpacing/>
        <w:jc w:val="both"/>
        <w:rPr>
          <w:color w:val="000000"/>
          <w:lang w:val="es-PE"/>
        </w:rPr>
      </w:pPr>
      <w:r w:rsidRPr="3E72C3EA" w:rsidR="00AA47C0">
        <w:rPr>
          <w:color w:val="000000" w:themeColor="text1" w:themeTint="FF" w:themeShade="FF"/>
          <w:lang w:val="es-PE"/>
        </w:rPr>
        <w:t xml:space="preserve">Que se distingue entre “ocupantes del vehículo” y entre “terceros no ocupantes”. Un ocupante del vehículo automotor sería entonces un pasajero o el conductor (en este caso el señor </w:t>
      </w:r>
      <w:r w:rsidRPr="3E72C3EA" w:rsidR="3D7A8C2B">
        <w:rPr>
          <w:color w:val="000000" w:themeColor="text1" w:themeTint="FF" w:themeShade="FF"/>
          <w:lang w:val="es-PE"/>
        </w:rPr>
        <w:t>....................</w:t>
      </w:r>
      <w:r w:rsidRPr="3E72C3EA" w:rsidR="00AA47C0">
        <w:rPr>
          <w:color w:val="000000" w:themeColor="text1" w:themeTint="FF" w:themeShade="FF"/>
          <w:lang w:val="es-PE"/>
        </w:rPr>
        <w:t xml:space="preserve">que lamentablemente falleció en el accidente; y un tercero no ocupante sería un peatón o un tercero que se moviliza en un vehículo no automotor (bicicleta, </w:t>
      </w:r>
      <w:r w:rsidRPr="3E72C3EA" w:rsidR="00AA47C0">
        <w:rPr>
          <w:color w:val="000000" w:themeColor="text1" w:themeTint="FF" w:themeShade="FF"/>
          <w:lang w:val="es-PE"/>
        </w:rPr>
        <w:t>etc</w:t>
      </w:r>
      <w:r w:rsidRPr="3E72C3EA" w:rsidR="00AA47C0">
        <w:rPr>
          <w:color w:val="000000" w:themeColor="text1" w:themeTint="FF" w:themeShade="FF"/>
          <w:lang w:val="es-PE"/>
        </w:rPr>
        <w:t xml:space="preserve">); </w:t>
      </w:r>
    </w:p>
    <w:p w:rsidRPr="00AA47C0" w:rsidR="00AA47C0" w:rsidP="00AA47C0" w:rsidRDefault="00AA47C0" w14:paraId="13B70561" w14:textId="77777777">
      <w:pPr>
        <w:numPr>
          <w:ilvl w:val="0"/>
          <w:numId w:val="46"/>
        </w:numPr>
        <w:tabs>
          <w:tab w:val="left" w:pos="2160"/>
        </w:tabs>
        <w:contextualSpacing/>
        <w:jc w:val="both"/>
        <w:rPr>
          <w:color w:val="000000"/>
          <w:lang w:val="es-PE"/>
        </w:rPr>
      </w:pPr>
      <w:r w:rsidRPr="00AA47C0">
        <w:rPr>
          <w:color w:val="000000"/>
          <w:lang w:val="es-PE"/>
        </w:rPr>
        <w:t xml:space="preserve">Que las compañías de seguros que hubieran pagado indemnizaciones </w:t>
      </w:r>
      <w:r w:rsidRPr="00AA47C0">
        <w:rPr>
          <w:i/>
          <w:color w:val="000000"/>
          <w:lang w:val="es-PE"/>
        </w:rPr>
        <w:t>a los terceros no ocupantes respecto de los cuales tienen responsabilidad solidaria</w:t>
      </w:r>
      <w:r w:rsidRPr="00AA47C0">
        <w:rPr>
          <w:color w:val="000000"/>
          <w:lang w:val="es-PE"/>
        </w:rPr>
        <w:t>, podrán repetir contra el propietario o conductor (o empresa de prestadora del servicio de transporte, si corresponde) por la responsabilidad que a estos últimos les compete.</w:t>
      </w:r>
    </w:p>
    <w:p w:rsidRPr="00AA47C0" w:rsidR="00AA47C0" w:rsidP="00AA47C0" w:rsidRDefault="00AA47C0" w14:paraId="6F5617D4" w14:textId="77777777">
      <w:pPr>
        <w:tabs>
          <w:tab w:val="left" w:pos="2160"/>
        </w:tabs>
        <w:contextualSpacing/>
        <w:jc w:val="both"/>
        <w:rPr>
          <w:color w:val="000000"/>
          <w:lang w:val="es-PE"/>
        </w:rPr>
      </w:pPr>
    </w:p>
    <w:p w:rsidRPr="00AA47C0" w:rsidR="00AA47C0" w:rsidP="00AA47C0" w:rsidRDefault="00AA47C0" w14:paraId="54DD05B1" w14:textId="77777777">
      <w:pPr>
        <w:tabs>
          <w:tab w:val="left" w:pos="2160"/>
        </w:tabs>
        <w:contextualSpacing/>
        <w:jc w:val="both"/>
        <w:rPr>
          <w:color w:val="000000"/>
          <w:lang w:val="es-PE"/>
        </w:rPr>
      </w:pPr>
      <w:r w:rsidRPr="00AA47C0">
        <w:rPr>
          <w:color w:val="000000"/>
          <w:lang w:val="es-PE"/>
        </w:rPr>
        <w:t xml:space="preserve">El reclamante solicita la cobertura respecto del conductor del vehículo que no contaba con SOAT. No obstante, de acuerdo con lo expuesto precedentemente el conductor no tenía la </w:t>
      </w:r>
      <w:r w:rsidRPr="00AA47C0">
        <w:rPr>
          <w:color w:val="000000"/>
          <w:lang w:val="es-PE"/>
        </w:rPr>
        <w:t xml:space="preserve">condición de “tercero no ocupante, siendo que la ley solo presume la responsabilidad solidaria de las aseguradoras respecto de los “terceros no ocupantes”. </w:t>
      </w:r>
    </w:p>
    <w:p w:rsidRPr="00AA47C0" w:rsidR="00AA47C0" w:rsidP="00AA47C0" w:rsidRDefault="00AA47C0" w14:paraId="3E3043DF" w14:textId="77777777">
      <w:pPr>
        <w:tabs>
          <w:tab w:val="left" w:pos="709"/>
          <w:tab w:val="left" w:pos="2160"/>
        </w:tabs>
        <w:jc w:val="both"/>
        <w:rPr>
          <w:color w:val="000000" w:themeColor="text1"/>
          <w:lang w:val="es-PE" w:eastAsia="es-PE"/>
        </w:rPr>
      </w:pPr>
    </w:p>
    <w:p w:rsidRPr="00AA47C0" w:rsidR="00AA47C0" w:rsidP="00AA47C0" w:rsidRDefault="00AA47C0" w14:paraId="5CA8A36B" w14:textId="77777777">
      <w:pPr>
        <w:tabs>
          <w:tab w:val="left" w:pos="709"/>
          <w:tab w:val="left" w:pos="2160"/>
        </w:tabs>
        <w:jc w:val="both"/>
      </w:pPr>
      <w:r w:rsidRPr="00AA47C0">
        <w:rPr>
          <w:color w:val="000000" w:themeColor="text1"/>
          <w:lang w:val="es-PE" w:eastAsia="es-PE"/>
        </w:rPr>
        <w:t>En otras palabras, del señalado texto normativo no puede desprenderse que la aseguradora deba cubrir, haciendo efectivas las coberturas de la póliza SOAT contratada por su cliente, los daños soportados por el conductor y/o los ocupantes de la otra unidad vehicular que participó en los hechos, al margen que la calificación de la actuación del conductor de la unidad asegurada sea concluyente, coadyuvante o ajena a lo sucedido.  En tal virtud, corresponde que los damnificados hagan efectiva la cobertura del propio SOAT que hubiese sido contratado, en el presente caso tratándose de la unidad vehicular (moto)</w:t>
      </w:r>
      <w:r w:rsidRPr="00AA47C0">
        <w:t>.  Si en el presente caso, dicha unidad circulaba en la vía pública sin contar con una póliza SOAT, válida y vigente, ello corresponde a un riesgo asumido consciente o negligentemente por el conductor.</w:t>
      </w:r>
    </w:p>
    <w:p w:rsidRPr="00AA47C0" w:rsidR="00AA47C0" w:rsidP="00AA47C0" w:rsidRDefault="00AA47C0" w14:paraId="4C921ECE" w14:textId="77777777">
      <w:pPr>
        <w:tabs>
          <w:tab w:val="left" w:pos="2160"/>
        </w:tabs>
        <w:contextualSpacing/>
        <w:jc w:val="both"/>
        <w:rPr>
          <w:color w:val="000000"/>
          <w:lang w:eastAsia="en-US"/>
        </w:rPr>
      </w:pPr>
    </w:p>
    <w:p w:rsidRPr="00AA47C0" w:rsidR="00AA47C0" w:rsidP="00AA47C0" w:rsidRDefault="00AA47C0" w14:paraId="1CB4A3FF" w14:textId="77777777">
      <w:pPr>
        <w:jc w:val="both"/>
        <w:rPr>
          <w:color w:val="000000"/>
          <w:lang w:val="es-PE"/>
        </w:rPr>
      </w:pPr>
      <w:r w:rsidRPr="00AA47C0">
        <w:rPr>
          <w:color w:val="000000"/>
        </w:rPr>
        <w:t xml:space="preserve">En efecto, el párrafo en cuestión indica: </w:t>
      </w:r>
      <w:r w:rsidRPr="00AA47C0">
        <w:rPr>
          <w:i/>
          <w:color w:val="000000"/>
        </w:rPr>
        <w:t xml:space="preserve">“En caso de </w:t>
      </w:r>
      <w:r w:rsidRPr="00AA47C0">
        <w:rPr>
          <w:b/>
          <w:i/>
          <w:color w:val="000000"/>
        </w:rPr>
        <w:t>peatones o terceros no ocupantes</w:t>
      </w:r>
      <w:r w:rsidRPr="00AA47C0">
        <w:rPr>
          <w:i/>
          <w:color w:val="000000"/>
        </w:rPr>
        <w:t xml:space="preserve"> de vehículos automotores, las compañías de seguros intervinientes serán responsables solidariamente de las indemnizaciones que correspondan a dichas personas o su (s) beneficiario (s).” </w:t>
      </w:r>
      <w:r w:rsidRPr="00AA47C0">
        <w:rPr>
          <w:color w:val="000000"/>
        </w:rPr>
        <w:t xml:space="preserve">Si la intención de la norma hubiera sido que dicha responsabilidad solidaria (sin perjuicio del derecho de repetición consagrado en el siguiente párrafo de la norma) se extendiera a los terceros ocupantes del vehículo que omitió contratar el SOAT, hubiera indicado: </w:t>
      </w:r>
      <w:r w:rsidRPr="00AA47C0">
        <w:rPr>
          <w:i/>
          <w:color w:val="000000"/>
        </w:rPr>
        <w:t xml:space="preserve">“En caso de peatones, terceros no ocupantes </w:t>
      </w:r>
      <w:r w:rsidRPr="00AA47C0">
        <w:rPr>
          <w:b/>
          <w:i/>
          <w:color w:val="000000"/>
        </w:rPr>
        <w:t>u ocupantes de vehículos automotores participantes en el accidente, incluido el propio conductor del vehículo sin SOAT</w:t>
      </w:r>
      <w:r w:rsidRPr="00AA47C0">
        <w:rPr>
          <w:i/>
          <w:color w:val="000000"/>
        </w:rPr>
        <w:t>, las compañías de seguros intervinientes serán responsables solidariamente (…)”</w:t>
      </w:r>
      <w:r w:rsidRPr="00AA47C0">
        <w:rPr>
          <w:color w:val="000000"/>
        </w:rPr>
        <w:t>; pues conforme se recoge en nuestro ordenamiento legal la solidaridad no se presume “s</w:t>
      </w:r>
      <w:r w:rsidRPr="00AA47C0">
        <w:rPr>
          <w:i/>
          <w:color w:val="000000"/>
          <w:shd w:val="clear" w:color="auto" w:fill="FFFFFF"/>
        </w:rPr>
        <w:t xml:space="preserve">ólo la ley o el título de la obligación la establecen en forma expresa”, </w:t>
      </w:r>
      <w:r w:rsidRPr="00AA47C0">
        <w:rPr>
          <w:color w:val="000000"/>
          <w:shd w:val="clear" w:color="auto" w:fill="FFFFFF"/>
        </w:rPr>
        <w:t>tal como se señala en el</w:t>
      </w:r>
      <w:r w:rsidRPr="00AA47C0">
        <w:rPr>
          <w:color w:val="000000"/>
        </w:rPr>
        <w:t xml:space="preserve"> artículo 1183 del Código Civil</w:t>
      </w:r>
      <w:r w:rsidRPr="00AA47C0">
        <w:rPr>
          <w:i/>
          <w:color w:val="000000"/>
          <w:shd w:val="clear" w:color="auto" w:fill="FFFFFF"/>
        </w:rPr>
        <w:t xml:space="preserve">. </w:t>
      </w:r>
      <w:r w:rsidRPr="00AA47C0">
        <w:rPr>
          <w:color w:val="000000"/>
          <w:shd w:val="clear" w:color="auto" w:fill="FFFFFF"/>
        </w:rPr>
        <w:t xml:space="preserve">Asimismo, la </w:t>
      </w:r>
      <w:r w:rsidRPr="00AA47C0">
        <w:rPr>
          <w:color w:val="000000"/>
        </w:rPr>
        <w:t xml:space="preserve">séptima regla de interpretación de la ley del contrato de seguro, señala que </w:t>
      </w:r>
      <w:r w:rsidRPr="00AA47C0">
        <w:rPr>
          <w:i/>
          <w:color w:val="000000"/>
        </w:rPr>
        <w:t>“</w:t>
      </w:r>
      <w:r w:rsidRPr="00AA47C0">
        <w:rPr>
          <w:i/>
          <w:color w:val="000000"/>
          <w:lang w:val="es-PE"/>
        </w:rPr>
        <w:t>La cobertura, exclusiones y, en general, la extensión del riesgo así como los derechos de los beneficiarios, previstos en el contrato de seguro, deben interpretarse literalmente”</w:t>
      </w:r>
      <w:r w:rsidRPr="00AA47C0">
        <w:rPr>
          <w:color w:val="000000"/>
          <w:lang w:val="es-PE"/>
        </w:rPr>
        <w:t xml:space="preserve">; debiendo resaltarse que tanto la Ley del Contrato de Seguro, como el Código Civil son de aplicación supletoria a las normas del SOAT, tal como expresamente lo reconoce el artículo I de las Disposiciones Generales de la Ley 29946 y el artículo IX del Título Preliminar del Código Civil. </w:t>
      </w:r>
    </w:p>
    <w:p w:rsidRPr="00AA47C0" w:rsidR="00AA47C0" w:rsidP="00AA47C0" w:rsidRDefault="00AA47C0" w14:paraId="59043B56" w14:textId="77777777">
      <w:pPr>
        <w:jc w:val="both"/>
        <w:rPr>
          <w:color w:val="000000"/>
          <w:lang w:val="es-PE"/>
        </w:rPr>
      </w:pPr>
    </w:p>
    <w:p w:rsidRPr="00AA47C0" w:rsidR="00AA47C0" w:rsidP="00AA47C0" w:rsidRDefault="00AA47C0" w14:paraId="126539F2" w14:textId="77777777">
      <w:pPr>
        <w:tabs>
          <w:tab w:val="left" w:pos="2160"/>
        </w:tabs>
        <w:contextualSpacing/>
        <w:jc w:val="both"/>
        <w:rPr>
          <w:color w:val="000000"/>
          <w:lang w:val="es-PE" w:eastAsia="en-US"/>
        </w:rPr>
      </w:pPr>
      <w:r w:rsidRPr="00AA47C0">
        <w:rPr>
          <w:color w:val="000000"/>
          <w:lang w:val="es-PE"/>
        </w:rPr>
        <w:t xml:space="preserve">Ello no afecta la finalidad y espíritu del SOAT que es no dejar desprotegidos a los terceros que se ven afectados en un accidente de tránsito, pues respecto de ellos la solidaridad se mantiene. Los terceros no ocupantes podrán accionar contra alguna de las compañías de seguros que tuviera el SOAT de alguna de las unidades vehiculares involucradas en el accidente; y, los ocupantes de un vehículo que debió contar con </w:t>
      </w:r>
      <w:proofErr w:type="gramStart"/>
      <w:r w:rsidRPr="00AA47C0">
        <w:rPr>
          <w:color w:val="000000"/>
          <w:lang w:val="es-PE"/>
        </w:rPr>
        <w:t>SOAT,</w:t>
      </w:r>
      <w:proofErr w:type="gramEnd"/>
      <w:r w:rsidRPr="00AA47C0">
        <w:rPr>
          <w:color w:val="000000"/>
          <w:lang w:val="es-PE"/>
        </w:rPr>
        <w:t xml:space="preserve"> pueden accionar contra el propietario o conductor del vehículo que debió preocuparse de contar con un SOAT vigente. No tendría sentido que se interprete que la aseguradora del vehículo que sí contaba con SOAT deba responder solidariamente frente al conductor del vehículo que no contaba con SOAT para luego repetir contra el mismo conductor por el monto asumido, pues no existe duda que el último párrafo del artículo 17 del </w:t>
      </w:r>
      <w:r w:rsidRPr="00AA47C0">
        <w:rPr>
          <w:lang w:val="es-PE"/>
        </w:rPr>
        <w:t xml:space="preserve">D.S. 024-2002-MTC </w:t>
      </w:r>
      <w:r w:rsidRPr="00AA47C0">
        <w:rPr>
          <w:color w:val="000000"/>
          <w:lang w:val="es-PE"/>
        </w:rPr>
        <w:t>lo sanciona con dicha responsabilidad solidaria (junto con el propietario y/o el prestador del servicio de transporte, según corresponda).</w:t>
      </w:r>
    </w:p>
    <w:p w:rsidRPr="00AA47C0" w:rsidR="00AA47C0" w:rsidP="00AA47C0" w:rsidRDefault="00AA47C0" w14:paraId="506CBB60" w14:textId="77777777">
      <w:pPr>
        <w:tabs>
          <w:tab w:val="left" w:pos="2160"/>
        </w:tabs>
        <w:contextualSpacing/>
        <w:jc w:val="both"/>
        <w:rPr>
          <w:color w:val="000000"/>
          <w:lang w:val="es-PE"/>
        </w:rPr>
      </w:pPr>
    </w:p>
    <w:p w:rsidRPr="00AA47C0" w:rsidR="00AA47C0" w:rsidP="00AA47C0" w:rsidRDefault="00AA47C0" w14:paraId="765D3022" w14:textId="77777777">
      <w:pPr>
        <w:tabs>
          <w:tab w:val="left" w:pos="2160"/>
        </w:tabs>
        <w:contextualSpacing/>
        <w:jc w:val="both"/>
        <w:rPr>
          <w:color w:val="000000"/>
          <w:lang w:val="es-PE"/>
        </w:rPr>
      </w:pPr>
      <w:r w:rsidRPr="00AA47C0">
        <w:rPr>
          <w:color w:val="000000"/>
          <w:lang w:val="es-PE"/>
        </w:rPr>
        <w:t>En este sentido, esta Defensoría tiene a bien precisar que mantiene el criterio recogido en la Resolución 062/</w:t>
      </w:r>
      <w:proofErr w:type="gramStart"/>
      <w:r w:rsidRPr="00AA47C0">
        <w:rPr>
          <w:color w:val="000000"/>
          <w:lang w:val="es-PE"/>
        </w:rPr>
        <w:t>2010,  la</w:t>
      </w:r>
      <w:proofErr w:type="gramEnd"/>
      <w:r w:rsidRPr="00AA47C0">
        <w:rPr>
          <w:color w:val="000000"/>
          <w:lang w:val="es-PE"/>
        </w:rPr>
        <w:t xml:space="preserve"> misma que fue emitida en el año 2010, cuyos sexto y sétimo considerandos se reproducen a continuación: </w:t>
      </w:r>
    </w:p>
    <w:p w:rsidRPr="00AA47C0" w:rsidR="00AA47C0" w:rsidP="00AA47C0" w:rsidRDefault="00AA47C0" w14:paraId="700C7585" w14:textId="77777777">
      <w:pPr>
        <w:tabs>
          <w:tab w:val="left" w:pos="2160"/>
        </w:tabs>
        <w:jc w:val="both"/>
        <w:rPr>
          <w:lang w:val="es-PE"/>
        </w:rPr>
      </w:pPr>
    </w:p>
    <w:p w:rsidRPr="00AA47C0" w:rsidR="00AA47C0" w:rsidP="00AA47C0" w:rsidRDefault="00AA47C0" w14:paraId="2905622F" w14:textId="77777777">
      <w:pPr>
        <w:tabs>
          <w:tab w:val="left" w:pos="2160"/>
        </w:tabs>
        <w:ind w:left="720"/>
        <w:jc w:val="both"/>
        <w:rPr>
          <w:i/>
          <w:lang w:val="es-PE"/>
        </w:rPr>
      </w:pPr>
      <w:r w:rsidRPr="00AA47C0">
        <w:rPr>
          <w:i/>
          <w:lang w:val="es-PE"/>
        </w:rPr>
        <w:t>“</w:t>
      </w:r>
      <w:r w:rsidRPr="00AA47C0">
        <w:rPr>
          <w:i/>
          <w:u w:val="single"/>
          <w:lang w:val="es-PE"/>
        </w:rPr>
        <w:t>SEXTO</w:t>
      </w:r>
      <w:r w:rsidRPr="00AA47C0">
        <w:rPr>
          <w:i/>
          <w:lang w:val="es-PE"/>
        </w:rPr>
        <w:t xml:space="preserve">:  Este Colegiado mantiene el criterio conforme al cual, de la lectura de la norma reproducida en el considerando precedente, y por más que el SOAT sea un seguro de contratación obligatoria y con finalidad social, no puede inferirse o concluirse que, tratándose de accidentes en que hayan participado al menos dos unidades vehiculares (una de las cuales cuenta con SOAT y la otra no), que la aseguradora de la primera de las unidades esté obligada a otorgar cobertura a quienes son los ocupantes de la segunda unidad, siendo que una conclusión semejante es ajena no sólo al texto legal sino a la propia lógica del seguro en que la prima se estructura en función al riesgo asegurado, siendo que dicha interpretación generaría un desincentivo para contratar el SOAT.  Lo que establece claramente la norma bajo comentario (primer párrafo) es </w:t>
      </w:r>
      <w:proofErr w:type="gramStart"/>
      <w:r w:rsidRPr="00AA47C0">
        <w:rPr>
          <w:i/>
          <w:lang w:val="es-PE"/>
        </w:rPr>
        <w:t>que</w:t>
      </w:r>
      <w:proofErr w:type="gramEnd"/>
      <w:r w:rsidRPr="00AA47C0">
        <w:rPr>
          <w:i/>
          <w:lang w:val="es-PE"/>
        </w:rPr>
        <w:t xml:space="preserve"> si ambas unidades vehiculares cuenta con SOAT, cada aseguradora otorga cobertura a los ocupantes de la unidad que ha asegurado, y (segundo párrafo) tratándose de peatones o terceros (esto es, no ocupantes) se genera la responsabilidad solidaria entre las aseguradoras.  Y en el caso que una unidad carezca de SOAT (cuarto párrafo), tratándose de sus ocupantes, asumen responsabilidad solidaria el propietario, el conductor y el prestador del servicio de transporte terrestre, de ser el caso; en ese orden de ideas, en el texto no se dispone que dicha solidaridad se haga extensiva a la aseguradora de la unidad que sí cuenta con SOAT.  Siendo que la solidaridad es una excepción a la regla general de responsabilidad simple o parciaria, y que sólo proviene o se instituye mediante pacto o por disposición legal, resulta evidente que la pretendida solidaridad objeto del reclamo no se desprende del tenor del artículo 17 del Reglamento </w:t>
      </w:r>
      <w:r w:rsidRPr="00AA47C0">
        <w:rPr>
          <w:i/>
        </w:rPr>
        <w:t xml:space="preserve">Nacional de Responsabilidad Civil y Seguros Obligatorios por Accidentes de Tránsito, en particular de su cuarto ý último párrafo, siendo que postular lo contrario corresponde a una interpretación contra </w:t>
      </w:r>
      <w:proofErr w:type="spellStart"/>
      <w:r w:rsidRPr="00AA47C0">
        <w:rPr>
          <w:i/>
        </w:rPr>
        <w:t>legem</w:t>
      </w:r>
      <w:proofErr w:type="spellEnd"/>
      <w:r w:rsidRPr="00AA47C0">
        <w:rPr>
          <w:i/>
        </w:rPr>
        <w:t xml:space="preserve">, sine ius, careciendo de todo sustento afirmar que la finalidad (ratio </w:t>
      </w:r>
      <w:proofErr w:type="spellStart"/>
      <w:r w:rsidRPr="00AA47C0">
        <w:rPr>
          <w:i/>
        </w:rPr>
        <w:t>legis</w:t>
      </w:r>
      <w:proofErr w:type="spellEnd"/>
      <w:r w:rsidRPr="00AA47C0">
        <w:rPr>
          <w:i/>
        </w:rPr>
        <w:t>) del señalado cuarto párrafo es otorgar cobertura inmediata e incondicional a todas las víctimas de una accidente, más aún cuando la norma reglamentaria distingue expresamente entre ocupante y peatones o terceros no ocupantes, estableciendo regímenes aplicables distintos.</w:t>
      </w:r>
    </w:p>
    <w:p w:rsidRPr="00AA47C0" w:rsidR="00AA47C0" w:rsidP="00AA47C0" w:rsidRDefault="00AA47C0" w14:paraId="4E946A15" w14:textId="77777777">
      <w:pPr>
        <w:tabs>
          <w:tab w:val="left" w:pos="2160"/>
        </w:tabs>
        <w:ind w:left="720"/>
        <w:jc w:val="both"/>
        <w:rPr>
          <w:i/>
          <w:lang w:val="es-PE"/>
        </w:rPr>
      </w:pPr>
    </w:p>
    <w:p w:rsidRPr="00AA47C0" w:rsidR="00AA47C0" w:rsidP="00AA47C0" w:rsidRDefault="00AA47C0" w14:paraId="2EB68CA2" w14:textId="77777777">
      <w:pPr>
        <w:tabs>
          <w:tab w:val="left" w:pos="2160"/>
        </w:tabs>
        <w:ind w:left="720"/>
        <w:jc w:val="both"/>
        <w:rPr>
          <w:i/>
          <w:lang w:val="es-PE"/>
        </w:rPr>
      </w:pPr>
      <w:r w:rsidRPr="00AA47C0">
        <w:rPr>
          <w:i/>
          <w:u w:val="single"/>
          <w:lang w:val="es-PE"/>
        </w:rPr>
        <w:t>SÉTIMO</w:t>
      </w:r>
      <w:r w:rsidRPr="00AA47C0">
        <w:rPr>
          <w:i/>
          <w:lang w:val="es-PE"/>
        </w:rPr>
        <w:t xml:space="preserve">: A mayor abundamiento, este Colegiado estima que la interpretación postulada por la reclamante resulta siendo finalmente contradictoria con la propia obligatoriedad de contratar el SOAT, por lo que de acogerse aquélla se estaría generando un grave desincentivo para dicha contratación y derivaría en un colapso de las aseguradoras dedicadas a otorgar este tipo de coberturas, o en un incremento tan grave del importe de las primas que generaría un seguro de contratación inviable con un mayor impacto de malestar social, ya que las víctimas de un accidente sólo podrían cobrar una indemnización luego de seguir y ganar un proceso judicial, situación que evita el SOAT por su naturaleza de seguro indemnizatorio antes que de responsabilidad civil.  En ese orden de ideas, no puede ni debe confundirse los alcances del artículo 4° y 14° del </w:t>
      </w:r>
      <w:r w:rsidRPr="00AA47C0">
        <w:rPr>
          <w:i/>
        </w:rPr>
        <w:t xml:space="preserve">Reglamento Nacional de Responsabilidad Civil y Seguros Obligatorios por Accidentes de Tránsito, sobre inmediatez e incondicionalidad del pago indemnizatorio, con un tema de solidaridad para el </w:t>
      </w:r>
      <w:r w:rsidRPr="00AA47C0">
        <w:rPr>
          <w:i/>
        </w:rPr>
        <w:t xml:space="preserve">pago, más </w:t>
      </w:r>
      <w:proofErr w:type="spellStart"/>
      <w:proofErr w:type="gramStart"/>
      <w:r w:rsidRPr="00AA47C0">
        <w:rPr>
          <w:i/>
        </w:rPr>
        <w:t>aun</w:t>
      </w:r>
      <w:proofErr w:type="spellEnd"/>
      <w:proofErr w:type="gramEnd"/>
      <w:r w:rsidRPr="00AA47C0">
        <w:rPr>
          <w:i/>
        </w:rPr>
        <w:t xml:space="preserve"> cuando la pretendida solidaridad invocada no ha sido considerada por el legislador, por lo que resulta improcedente postularla vía interpretación.”</w:t>
      </w:r>
    </w:p>
    <w:p w:rsidRPr="00AA47C0" w:rsidR="00AA47C0" w:rsidP="00AA47C0" w:rsidRDefault="00AA47C0" w14:paraId="2C3DF6FF" w14:textId="77777777">
      <w:pPr>
        <w:tabs>
          <w:tab w:val="left" w:pos="2160"/>
        </w:tabs>
        <w:jc w:val="both"/>
        <w:rPr>
          <w:lang w:val="es-PE"/>
        </w:rPr>
      </w:pPr>
    </w:p>
    <w:p w:rsidRPr="00AA47C0" w:rsidR="00AA47C0" w:rsidP="00AA47C0" w:rsidRDefault="00AA47C0" w14:paraId="60396DCD" w14:textId="77777777">
      <w:pPr>
        <w:tabs>
          <w:tab w:val="left" w:pos="709"/>
          <w:tab w:val="left" w:pos="2160"/>
        </w:tabs>
        <w:jc w:val="both"/>
      </w:pPr>
      <w:r w:rsidRPr="00AA47C0">
        <w:rPr>
          <w:lang w:val="es-PE"/>
        </w:rPr>
        <w:t xml:space="preserve">Atendiendo a lo expresado, este colegiado </w:t>
      </w:r>
      <w:r w:rsidRPr="00AA47C0">
        <w:t>concluye su apreciación razonada y conjunta al amparo de lo establecido en su Reglamento estimando que el rechazo de cobertura es legítimo, por lo que existen razones fundadas para desestimar la reclamación interpuesta.</w:t>
      </w:r>
    </w:p>
    <w:p w:rsidRPr="00AA47C0" w:rsidR="00AA47C0" w:rsidP="00AA47C0" w:rsidRDefault="00AA47C0" w14:paraId="16363129" w14:textId="77777777">
      <w:pPr>
        <w:tabs>
          <w:tab w:val="left" w:pos="709"/>
          <w:tab w:val="left" w:pos="2160"/>
        </w:tabs>
        <w:jc w:val="both"/>
      </w:pPr>
    </w:p>
    <w:p w:rsidRPr="00AA47C0" w:rsidR="00AA47C0" w:rsidP="00AA47C0" w:rsidRDefault="00AA47C0" w14:paraId="3808A3A6" w14:textId="77777777">
      <w:pPr>
        <w:tabs>
          <w:tab w:val="left" w:pos="709"/>
          <w:tab w:val="left" w:pos="2160"/>
        </w:tabs>
        <w:jc w:val="both"/>
        <w:rPr>
          <w:b/>
        </w:rPr>
      </w:pPr>
      <w:r w:rsidRPr="00AA47C0">
        <w:rPr>
          <w:b/>
        </w:rPr>
        <w:t>SE RESUELVE</w:t>
      </w:r>
      <w:r w:rsidRPr="00AA47C0">
        <w:rPr>
          <w:b/>
          <w:lang w:val="es-PE"/>
        </w:rPr>
        <w:t>:</w:t>
      </w:r>
    </w:p>
    <w:p w:rsidRPr="00AA47C0" w:rsidR="00AA47C0" w:rsidP="00AA47C0" w:rsidRDefault="00AA47C0" w14:paraId="3E7AE229" w14:textId="77777777">
      <w:pPr>
        <w:tabs>
          <w:tab w:val="left" w:pos="709"/>
          <w:tab w:val="left" w:pos="2160"/>
        </w:tabs>
        <w:jc w:val="both"/>
      </w:pPr>
    </w:p>
    <w:p w:rsidRPr="00AA47C0" w:rsidR="00AA47C0" w:rsidP="3E72C3EA" w:rsidRDefault="00AA47C0" w14:paraId="0B4303FB" w14:textId="4D904ECD">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eastAsia="Calibri" w:eastAsiaTheme="minorAscii"/>
          <w:lang w:val="es-PE" w:eastAsia="en-US"/>
        </w:rPr>
      </w:pPr>
      <w:r w:rsidRPr="3E72C3EA" w:rsidR="00AA47C0">
        <w:rPr>
          <w:lang w:val="es-PE"/>
        </w:rPr>
        <w:t xml:space="preserve">Declarar </w:t>
      </w:r>
      <w:r w:rsidRPr="3E72C3EA" w:rsidR="00AA47C0">
        <w:rPr>
          <w:b w:val="1"/>
          <w:bCs w:val="1"/>
          <w:lang w:val="es-PE"/>
        </w:rPr>
        <w:t xml:space="preserve">INFUNDADA </w:t>
      </w:r>
      <w:r w:rsidRPr="3E72C3EA" w:rsidR="00AA47C0">
        <w:rPr>
          <w:lang w:val="es-PE"/>
        </w:rPr>
        <w:t xml:space="preserve">la reclamación interpuesta por </w:t>
      </w:r>
      <w:r w:rsidRPr="3E72C3EA" w:rsidR="41536022">
        <w:rPr>
          <w:lang w:val="es-MX"/>
        </w:rPr>
        <w:t>...........................................................................</w:t>
      </w:r>
      <w:r w:rsidR="00AA47C0">
        <w:rPr/>
        <w:t xml:space="preserve"> contra</w:t>
      </w:r>
      <w:r w:rsidRPr="3E72C3EA" w:rsidR="00AA47C0">
        <w:rPr>
          <w:lang w:val="es-PE"/>
        </w:rPr>
        <w:t xml:space="preserve"> </w:t>
      </w:r>
      <w:r w:rsidRPr="3E72C3EA" w:rsidR="6E752D58">
        <w:rPr>
          <w:lang w:val="es-PE"/>
        </w:rPr>
        <w:t>...............................</w:t>
      </w:r>
      <w:r w:rsidRPr="3E72C3EA" w:rsidR="00AA47C0">
        <w:rPr>
          <w:lang w:val="es-PE"/>
        </w:rPr>
        <w:t>, dejando a salvo el derecho del reclamante de acudir ante las instancias que estime pertinentes.</w:t>
      </w:r>
    </w:p>
    <w:p w:rsidRPr="00AA47C0" w:rsidR="00132993" w:rsidP="00DF67C8" w:rsidRDefault="00132993" w14:paraId="382A77BF" w14:textId="77777777">
      <w:pPr>
        <w:outlineLvl w:val="0"/>
        <w:rPr>
          <w:lang w:val="es-PE"/>
        </w:rPr>
      </w:pPr>
    </w:p>
    <w:p w:rsidRPr="00AA47C0" w:rsidR="001631D6" w:rsidP="00F202DC" w:rsidRDefault="00F15FBA" w14:paraId="48C7895B" w14:textId="3B6F7488">
      <w:pPr>
        <w:jc w:val="right"/>
        <w:outlineLvl w:val="0"/>
        <w:rPr>
          <w:lang w:val="es-PE"/>
        </w:rPr>
      </w:pPr>
      <w:r w:rsidRPr="00AA47C0">
        <w:rPr>
          <w:lang w:val="es-PE"/>
        </w:rPr>
        <w:t>Lima,</w:t>
      </w:r>
      <w:r w:rsidRPr="00AA47C0" w:rsidR="00B12885">
        <w:rPr>
          <w:lang w:val="es-PE"/>
        </w:rPr>
        <w:t xml:space="preserve"> 11</w:t>
      </w:r>
      <w:r w:rsidRPr="00AA47C0" w:rsidR="00195646">
        <w:t xml:space="preserve"> </w:t>
      </w:r>
      <w:r w:rsidRPr="00AA47C0">
        <w:rPr>
          <w:lang w:val="es-PE"/>
        </w:rPr>
        <w:t>de</w:t>
      </w:r>
      <w:r w:rsidRPr="00AA47C0" w:rsidR="001631D6">
        <w:rPr>
          <w:lang w:val="es-PE"/>
        </w:rPr>
        <w:t xml:space="preserve"> </w:t>
      </w:r>
      <w:r w:rsidRPr="00AA47C0" w:rsidR="00B12885">
        <w:rPr>
          <w:lang w:val="es-PE"/>
        </w:rPr>
        <w:t>marzo</w:t>
      </w:r>
      <w:r w:rsidRPr="00AA47C0" w:rsidR="001631D6">
        <w:rPr>
          <w:lang w:val="es-PE"/>
        </w:rPr>
        <w:t xml:space="preserve"> </w:t>
      </w:r>
      <w:r w:rsidRPr="00AA47C0">
        <w:rPr>
          <w:lang w:val="es-PE"/>
        </w:rPr>
        <w:t>de 20</w:t>
      </w:r>
      <w:r w:rsidRPr="00AA47C0" w:rsidR="001631D6">
        <w:rPr>
          <w:lang w:val="es-PE"/>
        </w:rPr>
        <w:t>2</w:t>
      </w:r>
      <w:r w:rsidRPr="00AA47C0" w:rsidR="00E82564">
        <w:rPr>
          <w:lang w:val="es-PE"/>
        </w:rPr>
        <w:t>4</w:t>
      </w:r>
    </w:p>
    <w:p w:rsidRPr="00AA47C0" w:rsidR="00F202DC" w:rsidP="001631D6" w:rsidRDefault="00F202DC" w14:paraId="55EA6443" w14:textId="77777777">
      <w:pPr>
        <w:jc w:val="both"/>
      </w:pPr>
    </w:p>
    <w:p w:rsidRPr="00AA47C0" w:rsidR="001631D6" w:rsidP="001631D6" w:rsidRDefault="001631D6" w14:paraId="54F717D9" w14:textId="77777777">
      <w:pPr>
        <w:jc w:val="both"/>
        <w:rPr>
          <w:b/>
          <w:bCs/>
          <w:i/>
          <w:iCs/>
          <w:lang w:val="es-ES_tradnl"/>
        </w:rPr>
      </w:pPr>
      <w:r w:rsidRPr="00AA47C0">
        <w:rPr>
          <w:b/>
          <w:bCs/>
          <w:i/>
          <w:iCs/>
          <w:lang w:val="es-ES_tradnl"/>
        </w:rPr>
        <w:t>La Secretaría Técnica certifica que la presente resolución cuenta con el voto de los vocales cuyos nombres figuran en el presente documento.</w:t>
      </w:r>
    </w:p>
    <w:p w:rsidRPr="00AA47C0" w:rsidR="001631D6" w:rsidP="001631D6" w:rsidRDefault="001631D6" w14:paraId="265ABE8B" w14:textId="77777777">
      <w:pPr>
        <w:jc w:val="both"/>
        <w:rPr>
          <w:b/>
          <w:bCs/>
          <w:i/>
          <w:iCs/>
          <w:lang w:val="es-ES_tradnl"/>
        </w:rPr>
      </w:pPr>
    </w:p>
    <w:p w:rsidRPr="00AA47C0" w:rsidR="001631D6" w:rsidP="00356B1A" w:rsidRDefault="00356B1A" w14:paraId="024CA4C1" w14:textId="4785C9C9">
      <w:pPr>
        <w:spacing w:line="360" w:lineRule="auto"/>
        <w:jc w:val="center"/>
        <w:rPr>
          <w:b/>
          <w:bCs/>
        </w:rPr>
      </w:pPr>
      <w:r w:rsidRPr="00AA47C0">
        <w:rPr>
          <w:b/>
          <w:bCs/>
        </w:rPr>
        <w:t xml:space="preserve">María Eugenia Valdez Fernández Baca – </w:t>
      </w:r>
      <w:proofErr w:type="gramStart"/>
      <w:r w:rsidRPr="00AA47C0" w:rsidR="00D43CAB">
        <w:rPr>
          <w:b/>
          <w:bCs/>
        </w:rPr>
        <w:t>Presidente</w:t>
      </w:r>
      <w:proofErr w:type="gramEnd"/>
    </w:p>
    <w:p w:rsidRPr="00AA47C0" w:rsidR="001631D6" w:rsidP="001631D6" w:rsidRDefault="001631D6" w14:paraId="515933D0" w14:textId="5FD7ECBB">
      <w:pPr>
        <w:spacing w:line="360" w:lineRule="auto"/>
        <w:jc w:val="center"/>
        <w:rPr>
          <w:b/>
          <w:bCs/>
        </w:rPr>
      </w:pPr>
      <w:r w:rsidRPr="00AA47C0">
        <w:rPr>
          <w:b/>
          <w:bCs/>
        </w:rPr>
        <w:t xml:space="preserve">Rolando Eyzaguirre </w:t>
      </w:r>
      <w:proofErr w:type="spellStart"/>
      <w:r w:rsidRPr="00AA47C0">
        <w:rPr>
          <w:b/>
          <w:bCs/>
        </w:rPr>
        <w:t>Maccan</w:t>
      </w:r>
      <w:proofErr w:type="spellEnd"/>
      <w:r w:rsidRPr="00AA47C0">
        <w:rPr>
          <w:b/>
          <w:bCs/>
        </w:rPr>
        <w:t xml:space="preserve"> – </w:t>
      </w:r>
      <w:r w:rsidRPr="00AA47C0" w:rsidR="003E6BA6">
        <w:rPr>
          <w:b/>
          <w:bCs/>
        </w:rPr>
        <w:t>Vocal</w:t>
      </w:r>
    </w:p>
    <w:p w:rsidRPr="00AA47C0" w:rsidR="001631D6" w:rsidP="001631D6" w:rsidRDefault="00807D21" w14:paraId="4B70DE1B" w14:textId="0A8BEEE9">
      <w:pPr>
        <w:spacing w:line="360" w:lineRule="auto"/>
        <w:jc w:val="center"/>
        <w:rPr>
          <w:b/>
          <w:bCs/>
        </w:rPr>
      </w:pPr>
      <w:r w:rsidRPr="00AA47C0">
        <w:rPr>
          <w:b/>
          <w:bCs/>
        </w:rPr>
        <w:t>Omar Alfaro Villanueva</w:t>
      </w:r>
      <w:r w:rsidRPr="00AA47C0" w:rsidR="001631D6">
        <w:rPr>
          <w:b/>
          <w:bCs/>
        </w:rPr>
        <w:t xml:space="preserve"> – Vocal</w:t>
      </w:r>
    </w:p>
    <w:p w:rsidRPr="00AA47C0" w:rsidR="00F15FBA" w:rsidP="00E03444" w:rsidRDefault="001631D6" w14:paraId="22C77427" w14:textId="498B9F06">
      <w:pPr>
        <w:spacing w:line="360" w:lineRule="auto"/>
        <w:jc w:val="center"/>
        <w:rPr>
          <w:lang w:val="es-MX"/>
        </w:rPr>
      </w:pPr>
      <w:r w:rsidRPr="00AA47C0">
        <w:rPr>
          <w:b/>
          <w:bCs/>
        </w:rPr>
        <w:t>Gonzalo Abad del Busto - Vocal</w:t>
      </w:r>
    </w:p>
    <w:p w:rsidRPr="00FD640A"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005DC6">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05DC6" w:rsidP="005F148C" w:rsidRDefault="00005DC6" w14:paraId="5E8D1651" w14:textId="77777777">
      <w:r>
        <w:separator/>
      </w:r>
    </w:p>
  </w:endnote>
  <w:endnote w:type="continuationSeparator" w:id="0">
    <w:p w:rsidR="00005DC6" w:rsidP="005F148C" w:rsidRDefault="00005DC6" w14:paraId="78BD315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05DC6" w:rsidP="005F148C" w:rsidRDefault="00005DC6" w14:paraId="3DBEE614" w14:textId="77777777">
      <w:r>
        <w:separator/>
      </w:r>
    </w:p>
  </w:footnote>
  <w:footnote w:type="continuationSeparator" w:id="0">
    <w:p w:rsidR="00005DC6" w:rsidP="005F148C" w:rsidRDefault="00005DC6" w14:paraId="4EADC8F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7057644"/>
    <w:multiLevelType w:val="hybridMultilevel"/>
    <w:tmpl w:val="DDCC8A18"/>
    <w:lvl w:ilvl="0" w:tplc="BF94124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088F7FFE"/>
    <w:multiLevelType w:val="hybridMultilevel"/>
    <w:tmpl w:val="FD3A35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F31018B"/>
    <w:multiLevelType w:val="hybridMultilevel"/>
    <w:tmpl w:val="FFFFFFFF"/>
    <w:lvl w:ilvl="0" w:tplc="280A0017">
      <w:start w:val="1"/>
      <w:numFmt w:val="lowerLetter"/>
      <w:lvlText w:val="%1)"/>
      <w:lvlJc w:val="left"/>
      <w:pPr>
        <w:ind w:left="720" w:hanging="360"/>
      </w:pPr>
      <w:rPr>
        <w:rFonts w:hint="default" w:cs="Times New Roman"/>
      </w:rPr>
    </w:lvl>
    <w:lvl w:ilvl="1" w:tplc="280A0019" w:tentative="1">
      <w:start w:val="1"/>
      <w:numFmt w:val="lowerLetter"/>
      <w:lvlText w:val="%2."/>
      <w:lvlJc w:val="left"/>
      <w:pPr>
        <w:ind w:left="1440" w:hanging="360"/>
      </w:pPr>
      <w:rPr>
        <w:rFonts w:cs="Times New Roman"/>
      </w:rPr>
    </w:lvl>
    <w:lvl w:ilvl="2" w:tplc="280A001B" w:tentative="1">
      <w:start w:val="1"/>
      <w:numFmt w:val="lowerRoman"/>
      <w:lvlText w:val="%3."/>
      <w:lvlJc w:val="right"/>
      <w:pPr>
        <w:ind w:left="2160" w:hanging="180"/>
      </w:pPr>
      <w:rPr>
        <w:rFonts w:cs="Times New Roman"/>
      </w:rPr>
    </w:lvl>
    <w:lvl w:ilvl="3" w:tplc="280A000F" w:tentative="1">
      <w:start w:val="1"/>
      <w:numFmt w:val="decimal"/>
      <w:lvlText w:val="%4."/>
      <w:lvlJc w:val="left"/>
      <w:pPr>
        <w:ind w:left="2880" w:hanging="360"/>
      </w:pPr>
      <w:rPr>
        <w:rFonts w:cs="Times New Roman"/>
      </w:rPr>
    </w:lvl>
    <w:lvl w:ilvl="4" w:tplc="280A0019" w:tentative="1">
      <w:start w:val="1"/>
      <w:numFmt w:val="lowerLetter"/>
      <w:lvlText w:val="%5."/>
      <w:lvlJc w:val="left"/>
      <w:pPr>
        <w:ind w:left="3600" w:hanging="360"/>
      </w:pPr>
      <w:rPr>
        <w:rFonts w:cs="Times New Roman"/>
      </w:rPr>
    </w:lvl>
    <w:lvl w:ilvl="5" w:tplc="280A001B" w:tentative="1">
      <w:start w:val="1"/>
      <w:numFmt w:val="lowerRoman"/>
      <w:lvlText w:val="%6."/>
      <w:lvlJc w:val="right"/>
      <w:pPr>
        <w:ind w:left="4320" w:hanging="180"/>
      </w:pPr>
      <w:rPr>
        <w:rFonts w:cs="Times New Roman"/>
      </w:rPr>
    </w:lvl>
    <w:lvl w:ilvl="6" w:tplc="280A000F" w:tentative="1">
      <w:start w:val="1"/>
      <w:numFmt w:val="decimal"/>
      <w:lvlText w:val="%7."/>
      <w:lvlJc w:val="left"/>
      <w:pPr>
        <w:ind w:left="5040" w:hanging="360"/>
      </w:pPr>
      <w:rPr>
        <w:rFonts w:cs="Times New Roman"/>
      </w:rPr>
    </w:lvl>
    <w:lvl w:ilvl="7" w:tplc="280A0019" w:tentative="1">
      <w:start w:val="1"/>
      <w:numFmt w:val="lowerLetter"/>
      <w:lvlText w:val="%8."/>
      <w:lvlJc w:val="left"/>
      <w:pPr>
        <w:ind w:left="5760" w:hanging="360"/>
      </w:pPr>
      <w:rPr>
        <w:rFonts w:cs="Times New Roman"/>
      </w:rPr>
    </w:lvl>
    <w:lvl w:ilvl="8" w:tplc="280A001B" w:tentative="1">
      <w:start w:val="1"/>
      <w:numFmt w:val="lowerRoman"/>
      <w:lvlText w:val="%9."/>
      <w:lvlJc w:val="right"/>
      <w:pPr>
        <w:ind w:left="6480" w:hanging="180"/>
      </w:pPr>
      <w:rPr>
        <w:rFonts w:cs="Times New Roman"/>
      </w:rPr>
    </w:lvl>
  </w:abstractNum>
  <w:abstractNum w:abstractNumId="1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6"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6E34481"/>
    <w:multiLevelType w:val="hybridMultilevel"/>
    <w:tmpl w:val="1076F67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9"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196201DE"/>
    <w:multiLevelType w:val="hybridMultilevel"/>
    <w:tmpl w:val="1B80837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2" w15:restartNumberingAfterBreak="0">
    <w:nsid w:val="25C066CD"/>
    <w:multiLevelType w:val="hybridMultilevel"/>
    <w:tmpl w:val="944EF5C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27A524E4"/>
    <w:multiLevelType w:val="hybridMultilevel"/>
    <w:tmpl w:val="2358570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9" w15:restartNumberingAfterBreak="0">
    <w:nsid w:val="35A37979"/>
    <w:multiLevelType w:val="hybridMultilevel"/>
    <w:tmpl w:val="FFFFFFFF"/>
    <w:lvl w:ilvl="0" w:tplc="647ED092">
      <w:start w:val="1"/>
      <w:numFmt w:val="lowerRoman"/>
      <w:lvlText w:val="(%1)"/>
      <w:lvlJc w:val="left"/>
      <w:pPr>
        <w:ind w:left="1080" w:hanging="720"/>
      </w:pPr>
      <w:rPr>
        <w:rFonts w:cs="Times New Roman"/>
      </w:rPr>
    </w:lvl>
    <w:lvl w:ilvl="1" w:tplc="0C0A0019">
      <w:start w:val="1"/>
      <w:numFmt w:val="lowerLetter"/>
      <w:lvlText w:val="%2."/>
      <w:lvlJc w:val="left"/>
      <w:pPr>
        <w:ind w:left="1440" w:hanging="360"/>
      </w:pPr>
      <w:rPr>
        <w:rFonts w:cs="Times New Roman"/>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30"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6B24D88"/>
    <w:multiLevelType w:val="hybridMultilevel"/>
    <w:tmpl w:val="3CDAFF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543A7DF6"/>
    <w:multiLevelType w:val="hybridMultilevel"/>
    <w:tmpl w:val="FFFFFFFF"/>
    <w:lvl w:ilvl="0" w:tplc="0C0A0017">
      <w:start w:val="1"/>
      <w:numFmt w:val="lowerLetter"/>
      <w:lvlText w:val="%1)"/>
      <w:lvlJc w:val="left"/>
      <w:pPr>
        <w:ind w:left="360" w:hanging="360"/>
      </w:pPr>
      <w:rPr>
        <w:rFonts w:cs="Times New Roman"/>
      </w:rPr>
    </w:lvl>
    <w:lvl w:ilvl="1" w:tplc="0C0A0019">
      <w:start w:val="1"/>
      <w:numFmt w:val="lowerLetter"/>
      <w:lvlText w:val="%2."/>
      <w:lvlJc w:val="left"/>
      <w:pPr>
        <w:ind w:left="1080" w:hanging="360"/>
      </w:pPr>
      <w:rPr>
        <w:rFonts w:cs="Times New Roman"/>
      </w:rPr>
    </w:lvl>
    <w:lvl w:ilvl="2" w:tplc="0C0A001B">
      <w:start w:val="1"/>
      <w:numFmt w:val="lowerRoman"/>
      <w:lvlText w:val="%3."/>
      <w:lvlJc w:val="right"/>
      <w:pPr>
        <w:ind w:left="1800" w:hanging="180"/>
      </w:pPr>
      <w:rPr>
        <w:rFonts w:cs="Times New Roman"/>
      </w:rPr>
    </w:lvl>
    <w:lvl w:ilvl="3" w:tplc="0C0A000F">
      <w:start w:val="1"/>
      <w:numFmt w:val="decimal"/>
      <w:lvlText w:val="%4."/>
      <w:lvlJc w:val="left"/>
      <w:pPr>
        <w:ind w:left="2520" w:hanging="360"/>
      </w:pPr>
      <w:rPr>
        <w:rFonts w:cs="Times New Roman"/>
      </w:rPr>
    </w:lvl>
    <w:lvl w:ilvl="4" w:tplc="0C0A0019">
      <w:start w:val="1"/>
      <w:numFmt w:val="lowerLetter"/>
      <w:lvlText w:val="%5."/>
      <w:lvlJc w:val="left"/>
      <w:pPr>
        <w:ind w:left="3240" w:hanging="360"/>
      </w:pPr>
      <w:rPr>
        <w:rFonts w:cs="Times New Roman"/>
      </w:rPr>
    </w:lvl>
    <w:lvl w:ilvl="5" w:tplc="0C0A001B">
      <w:start w:val="1"/>
      <w:numFmt w:val="lowerRoman"/>
      <w:lvlText w:val="%6."/>
      <w:lvlJc w:val="right"/>
      <w:pPr>
        <w:ind w:left="3960" w:hanging="180"/>
      </w:pPr>
      <w:rPr>
        <w:rFonts w:cs="Times New Roman"/>
      </w:rPr>
    </w:lvl>
    <w:lvl w:ilvl="6" w:tplc="0C0A000F">
      <w:start w:val="1"/>
      <w:numFmt w:val="decimal"/>
      <w:lvlText w:val="%7."/>
      <w:lvlJc w:val="left"/>
      <w:pPr>
        <w:ind w:left="4680" w:hanging="360"/>
      </w:pPr>
      <w:rPr>
        <w:rFonts w:cs="Times New Roman"/>
      </w:rPr>
    </w:lvl>
    <w:lvl w:ilvl="7" w:tplc="0C0A0019">
      <w:start w:val="1"/>
      <w:numFmt w:val="lowerLetter"/>
      <w:lvlText w:val="%8."/>
      <w:lvlJc w:val="left"/>
      <w:pPr>
        <w:ind w:left="5400" w:hanging="360"/>
      </w:pPr>
      <w:rPr>
        <w:rFonts w:cs="Times New Roman"/>
      </w:rPr>
    </w:lvl>
    <w:lvl w:ilvl="8" w:tplc="0C0A001B">
      <w:start w:val="1"/>
      <w:numFmt w:val="lowerRoman"/>
      <w:lvlText w:val="%9."/>
      <w:lvlJc w:val="right"/>
      <w:pPr>
        <w:ind w:left="6120" w:hanging="180"/>
      </w:pPr>
      <w:rPr>
        <w:rFonts w:cs="Times New Roman"/>
      </w:rPr>
    </w:lvl>
  </w:abstractNum>
  <w:abstractNum w:abstractNumId="38"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40"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41" w15:restartNumberingAfterBreak="0">
    <w:nsid w:val="58FB61B9"/>
    <w:multiLevelType w:val="hybridMultilevel"/>
    <w:tmpl w:val="97E4A9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4"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5" w15:restartNumberingAfterBreak="0">
    <w:nsid w:val="66B460A6"/>
    <w:multiLevelType w:val="hybridMultilevel"/>
    <w:tmpl w:val="6FBAA278"/>
    <w:lvl w:ilvl="0" w:tplc="CF1843D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num w:numId="1" w16cid:durableId="1167133809">
    <w:abstractNumId w:val="15"/>
  </w:num>
  <w:num w:numId="2" w16cid:durableId="484517491">
    <w:abstractNumId w:val="39"/>
  </w:num>
  <w:num w:numId="3" w16cid:durableId="818159359">
    <w:abstractNumId w:val="30"/>
  </w:num>
  <w:num w:numId="4" w16cid:durableId="1722173265">
    <w:abstractNumId w:val="43"/>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40"/>
  </w:num>
  <w:num w:numId="17" w16cid:durableId="19438031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26"/>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42"/>
  </w:num>
  <w:num w:numId="26" w16cid:durableId="719092205">
    <w:abstractNumId w:val="19"/>
  </w:num>
  <w:num w:numId="27" w16cid:durableId="1799180679">
    <w:abstractNumId w:val="44"/>
  </w:num>
  <w:num w:numId="28" w16cid:durableId="1019042468">
    <w:abstractNumId w:val="36"/>
  </w:num>
  <w:num w:numId="29" w16cid:durableId="11761913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3187687">
    <w:abstractNumId w:val="14"/>
  </w:num>
  <w:num w:numId="36" w16cid:durableId="9076865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45366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3671593">
    <w:abstractNumId w:val="20"/>
  </w:num>
  <w:num w:numId="39" w16cid:durableId="13776639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1910186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9062137">
    <w:abstractNumId w:val="22"/>
  </w:num>
  <w:num w:numId="42" w16cid:durableId="98381033">
    <w:abstractNumId w:val="45"/>
  </w:num>
  <w:num w:numId="43" w16cid:durableId="549092">
    <w:abstractNumId w:val="12"/>
  </w:num>
  <w:num w:numId="44" w16cid:durableId="1470513304">
    <w:abstractNumId w:val="41"/>
  </w:num>
  <w:num w:numId="45" w16cid:durableId="4039893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81848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51E9"/>
    <w:rsid w:val="000519B7"/>
    <w:rsid w:val="00052DB6"/>
    <w:rsid w:val="00084E51"/>
    <w:rsid w:val="00094DDA"/>
    <w:rsid w:val="000C0243"/>
    <w:rsid w:val="000C4520"/>
    <w:rsid w:val="000C6EE9"/>
    <w:rsid w:val="000D2700"/>
    <w:rsid w:val="000D5261"/>
    <w:rsid w:val="000F2845"/>
    <w:rsid w:val="000F3798"/>
    <w:rsid w:val="000F3E4F"/>
    <w:rsid w:val="000F5110"/>
    <w:rsid w:val="000F7323"/>
    <w:rsid w:val="00103188"/>
    <w:rsid w:val="00131FAD"/>
    <w:rsid w:val="00132993"/>
    <w:rsid w:val="00140C67"/>
    <w:rsid w:val="00157E8B"/>
    <w:rsid w:val="001631D6"/>
    <w:rsid w:val="00174D7D"/>
    <w:rsid w:val="00195646"/>
    <w:rsid w:val="001A3593"/>
    <w:rsid w:val="001B1B5A"/>
    <w:rsid w:val="001B6607"/>
    <w:rsid w:val="001C2B16"/>
    <w:rsid w:val="001C5BFF"/>
    <w:rsid w:val="001D01FD"/>
    <w:rsid w:val="001D1EB6"/>
    <w:rsid w:val="001E1429"/>
    <w:rsid w:val="001E6B7D"/>
    <w:rsid w:val="001F004E"/>
    <w:rsid w:val="0020442B"/>
    <w:rsid w:val="00210315"/>
    <w:rsid w:val="00216B7B"/>
    <w:rsid w:val="0022642E"/>
    <w:rsid w:val="00233ED8"/>
    <w:rsid w:val="002370F4"/>
    <w:rsid w:val="00247F81"/>
    <w:rsid w:val="00276293"/>
    <w:rsid w:val="00281026"/>
    <w:rsid w:val="00281CF8"/>
    <w:rsid w:val="002A2188"/>
    <w:rsid w:val="002B14D5"/>
    <w:rsid w:val="002B50D6"/>
    <w:rsid w:val="002C1DE8"/>
    <w:rsid w:val="002E35A4"/>
    <w:rsid w:val="002E3B7A"/>
    <w:rsid w:val="002E3CFD"/>
    <w:rsid w:val="002E708C"/>
    <w:rsid w:val="00316A1B"/>
    <w:rsid w:val="0032570B"/>
    <w:rsid w:val="00341B7D"/>
    <w:rsid w:val="003503F7"/>
    <w:rsid w:val="00356B1A"/>
    <w:rsid w:val="00381555"/>
    <w:rsid w:val="003977C8"/>
    <w:rsid w:val="003B46E3"/>
    <w:rsid w:val="003B4770"/>
    <w:rsid w:val="003B5737"/>
    <w:rsid w:val="003E6BA6"/>
    <w:rsid w:val="003F790B"/>
    <w:rsid w:val="004133B4"/>
    <w:rsid w:val="00417664"/>
    <w:rsid w:val="00417E23"/>
    <w:rsid w:val="00444604"/>
    <w:rsid w:val="00444D29"/>
    <w:rsid w:val="00457818"/>
    <w:rsid w:val="004675F1"/>
    <w:rsid w:val="00467825"/>
    <w:rsid w:val="00477D05"/>
    <w:rsid w:val="004852DB"/>
    <w:rsid w:val="004854D9"/>
    <w:rsid w:val="004A0A3B"/>
    <w:rsid w:val="004A2E8D"/>
    <w:rsid w:val="004B2393"/>
    <w:rsid w:val="004C1FA2"/>
    <w:rsid w:val="004E14C6"/>
    <w:rsid w:val="004E50D6"/>
    <w:rsid w:val="00507E35"/>
    <w:rsid w:val="00516549"/>
    <w:rsid w:val="00525E53"/>
    <w:rsid w:val="0052666A"/>
    <w:rsid w:val="00531FBE"/>
    <w:rsid w:val="005574EF"/>
    <w:rsid w:val="00562D9B"/>
    <w:rsid w:val="0058358B"/>
    <w:rsid w:val="005A7F6B"/>
    <w:rsid w:val="005C5922"/>
    <w:rsid w:val="005D1456"/>
    <w:rsid w:val="005E011F"/>
    <w:rsid w:val="005F1349"/>
    <w:rsid w:val="005F148C"/>
    <w:rsid w:val="005F1A32"/>
    <w:rsid w:val="00617F3E"/>
    <w:rsid w:val="00647AEE"/>
    <w:rsid w:val="00651449"/>
    <w:rsid w:val="00654115"/>
    <w:rsid w:val="00660432"/>
    <w:rsid w:val="0069382D"/>
    <w:rsid w:val="006A0CDE"/>
    <w:rsid w:val="006A1077"/>
    <w:rsid w:val="006D33B8"/>
    <w:rsid w:val="00712630"/>
    <w:rsid w:val="007224F7"/>
    <w:rsid w:val="007267ED"/>
    <w:rsid w:val="00734447"/>
    <w:rsid w:val="00742D07"/>
    <w:rsid w:val="007474DB"/>
    <w:rsid w:val="00764A1E"/>
    <w:rsid w:val="007678EB"/>
    <w:rsid w:val="00782489"/>
    <w:rsid w:val="00793F6A"/>
    <w:rsid w:val="0079416E"/>
    <w:rsid w:val="00796B1E"/>
    <w:rsid w:val="007B46FF"/>
    <w:rsid w:val="007B49ED"/>
    <w:rsid w:val="007C2FC5"/>
    <w:rsid w:val="007C3730"/>
    <w:rsid w:val="007D353F"/>
    <w:rsid w:val="00807D21"/>
    <w:rsid w:val="00816E7B"/>
    <w:rsid w:val="008322DC"/>
    <w:rsid w:val="00834DFE"/>
    <w:rsid w:val="00835D6A"/>
    <w:rsid w:val="00853DD1"/>
    <w:rsid w:val="00864800"/>
    <w:rsid w:val="00865B73"/>
    <w:rsid w:val="00892A1F"/>
    <w:rsid w:val="008930FB"/>
    <w:rsid w:val="00895FF5"/>
    <w:rsid w:val="008A1DAB"/>
    <w:rsid w:val="008A67AB"/>
    <w:rsid w:val="008B2E0D"/>
    <w:rsid w:val="008B79EC"/>
    <w:rsid w:val="008D0547"/>
    <w:rsid w:val="008F6A81"/>
    <w:rsid w:val="00900E13"/>
    <w:rsid w:val="0092266A"/>
    <w:rsid w:val="009334B0"/>
    <w:rsid w:val="00934888"/>
    <w:rsid w:val="00941FBF"/>
    <w:rsid w:val="0094536D"/>
    <w:rsid w:val="00945E42"/>
    <w:rsid w:val="00956D96"/>
    <w:rsid w:val="009767BB"/>
    <w:rsid w:val="00977F56"/>
    <w:rsid w:val="009A4409"/>
    <w:rsid w:val="009A7580"/>
    <w:rsid w:val="009B3934"/>
    <w:rsid w:val="009B61F6"/>
    <w:rsid w:val="009C28AE"/>
    <w:rsid w:val="009C4A1C"/>
    <w:rsid w:val="009C62E5"/>
    <w:rsid w:val="009D3A5C"/>
    <w:rsid w:val="00A00F9E"/>
    <w:rsid w:val="00A14315"/>
    <w:rsid w:val="00A15489"/>
    <w:rsid w:val="00A223FC"/>
    <w:rsid w:val="00A60626"/>
    <w:rsid w:val="00A80BAD"/>
    <w:rsid w:val="00A90E47"/>
    <w:rsid w:val="00AA47C0"/>
    <w:rsid w:val="00AA6EF2"/>
    <w:rsid w:val="00AC5A09"/>
    <w:rsid w:val="00AC68FA"/>
    <w:rsid w:val="00AC785D"/>
    <w:rsid w:val="00AC7D5A"/>
    <w:rsid w:val="00AD23AC"/>
    <w:rsid w:val="00AE33DC"/>
    <w:rsid w:val="00AE40BA"/>
    <w:rsid w:val="00B04114"/>
    <w:rsid w:val="00B05313"/>
    <w:rsid w:val="00B12885"/>
    <w:rsid w:val="00B21BFF"/>
    <w:rsid w:val="00B50A08"/>
    <w:rsid w:val="00B60E25"/>
    <w:rsid w:val="00B773DA"/>
    <w:rsid w:val="00B84F66"/>
    <w:rsid w:val="00BA18ED"/>
    <w:rsid w:val="00BA6133"/>
    <w:rsid w:val="00BC6134"/>
    <w:rsid w:val="00BC633A"/>
    <w:rsid w:val="00BD063F"/>
    <w:rsid w:val="00BD5FD0"/>
    <w:rsid w:val="00BE6F36"/>
    <w:rsid w:val="00C07C54"/>
    <w:rsid w:val="00C11655"/>
    <w:rsid w:val="00C15C5D"/>
    <w:rsid w:val="00C21994"/>
    <w:rsid w:val="00C26259"/>
    <w:rsid w:val="00C263B7"/>
    <w:rsid w:val="00C5205B"/>
    <w:rsid w:val="00C5362B"/>
    <w:rsid w:val="00C55A2D"/>
    <w:rsid w:val="00C77057"/>
    <w:rsid w:val="00C85630"/>
    <w:rsid w:val="00CA4FD6"/>
    <w:rsid w:val="00CA72E7"/>
    <w:rsid w:val="00CB3025"/>
    <w:rsid w:val="00CB451A"/>
    <w:rsid w:val="00CB7C37"/>
    <w:rsid w:val="00CF3742"/>
    <w:rsid w:val="00D01DEB"/>
    <w:rsid w:val="00D128FF"/>
    <w:rsid w:val="00D15C1E"/>
    <w:rsid w:val="00D301E0"/>
    <w:rsid w:val="00D43CAB"/>
    <w:rsid w:val="00D54969"/>
    <w:rsid w:val="00D56839"/>
    <w:rsid w:val="00D765F1"/>
    <w:rsid w:val="00D77EF8"/>
    <w:rsid w:val="00D86E87"/>
    <w:rsid w:val="00D9006E"/>
    <w:rsid w:val="00DA7CB9"/>
    <w:rsid w:val="00DC3623"/>
    <w:rsid w:val="00DD7EBB"/>
    <w:rsid w:val="00DF2BA4"/>
    <w:rsid w:val="00DF67C8"/>
    <w:rsid w:val="00E015A1"/>
    <w:rsid w:val="00E03444"/>
    <w:rsid w:val="00E120D5"/>
    <w:rsid w:val="00E22428"/>
    <w:rsid w:val="00E716AC"/>
    <w:rsid w:val="00E82564"/>
    <w:rsid w:val="00E83C90"/>
    <w:rsid w:val="00E908BC"/>
    <w:rsid w:val="00E90C60"/>
    <w:rsid w:val="00E94DD0"/>
    <w:rsid w:val="00EA3BD4"/>
    <w:rsid w:val="00EB6E02"/>
    <w:rsid w:val="00EC1A6A"/>
    <w:rsid w:val="00EF3E81"/>
    <w:rsid w:val="00EF4FF0"/>
    <w:rsid w:val="00F029DD"/>
    <w:rsid w:val="00F1075C"/>
    <w:rsid w:val="00F15FBA"/>
    <w:rsid w:val="00F202DC"/>
    <w:rsid w:val="00F2461F"/>
    <w:rsid w:val="00F35D24"/>
    <w:rsid w:val="00F42DC6"/>
    <w:rsid w:val="00F465F7"/>
    <w:rsid w:val="00F71D17"/>
    <w:rsid w:val="00F7704A"/>
    <w:rsid w:val="00F84FC5"/>
    <w:rsid w:val="00F85626"/>
    <w:rsid w:val="00F97A17"/>
    <w:rsid w:val="00F97C35"/>
    <w:rsid w:val="00FD640A"/>
    <w:rsid w:val="05187A16"/>
    <w:rsid w:val="058BA63D"/>
    <w:rsid w:val="12451EA0"/>
    <w:rsid w:val="1704C5FB"/>
    <w:rsid w:val="22D50880"/>
    <w:rsid w:val="2460F439"/>
    <w:rsid w:val="271F429E"/>
    <w:rsid w:val="2C8140C8"/>
    <w:rsid w:val="30033B67"/>
    <w:rsid w:val="318C72A7"/>
    <w:rsid w:val="3B9DA4BF"/>
    <w:rsid w:val="3C639333"/>
    <w:rsid w:val="3D7A8C2B"/>
    <w:rsid w:val="3E72C3EA"/>
    <w:rsid w:val="41536022"/>
    <w:rsid w:val="41E0B8C2"/>
    <w:rsid w:val="469C1ACC"/>
    <w:rsid w:val="4FA1845E"/>
    <w:rsid w:val="51E7628A"/>
    <w:rsid w:val="55183E8E"/>
    <w:rsid w:val="6099E1A5"/>
    <w:rsid w:val="680C6637"/>
    <w:rsid w:val="6A5571BB"/>
    <w:rsid w:val="6BEE8990"/>
    <w:rsid w:val="6CAA1C6D"/>
    <w:rsid w:val="6E752D58"/>
    <w:rsid w:val="6F675220"/>
    <w:rsid w:val="6FFC1C63"/>
    <w:rsid w:val="72EEA31A"/>
    <w:rsid w:val="7CE77771"/>
    <w:rsid w:val="7EF53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8646130">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A15CFD8-5149-455C-B1C9-8718B7EB7854}"/>
</file>

<file path=customXml/itemProps3.xml><?xml version="1.0" encoding="utf-8"?>
<ds:datastoreItem xmlns:ds="http://schemas.openxmlformats.org/officeDocument/2006/customXml" ds:itemID="{FD8AA1C6-FC65-4A08-8090-234FDB5C1D25}"/>
</file>

<file path=customXml/itemProps4.xml><?xml version="1.0" encoding="utf-8"?>
<ds:datastoreItem xmlns:ds="http://schemas.openxmlformats.org/officeDocument/2006/customXml" ds:itemID="{8592A012-996E-4FDF-ACB3-961DE71A26D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144</cp:revision>
  <cp:lastPrinted>2024-03-11T19:16:00Z</cp:lastPrinted>
  <dcterms:created xsi:type="dcterms:W3CDTF">2020-12-18T20:09:00Z</dcterms:created>
  <dcterms:modified xsi:type="dcterms:W3CDTF">2025-08-13T17:11:57Z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