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824CAC" w:rsidR="009E1EB1" w:rsidP="00917F8C" w:rsidRDefault="00F15FBA" w14:paraId="1DFBD85E" w14:textId="60B28A13">
      <w:pPr>
        <w:pStyle w:val="Ttulo"/>
        <w:outlineLvl w:val="0"/>
        <w:rPr>
          <w:lang w:val="es-PE"/>
        </w:rPr>
      </w:pPr>
      <w:r w:rsidRPr="00824CAC">
        <w:rPr>
          <w:lang w:val="es-PE"/>
        </w:rPr>
        <w:t>RESOLUCIÓN N</w:t>
      </w:r>
      <w:r w:rsidRPr="00824CAC" w:rsidR="001631D6">
        <w:rPr>
          <w:lang w:val="es-PE"/>
        </w:rPr>
        <w:t xml:space="preserve">° </w:t>
      </w:r>
      <w:r w:rsidRPr="00824CAC" w:rsidR="003E6BA6">
        <w:rPr>
          <w:lang w:val="es-PE"/>
        </w:rPr>
        <w:t>0</w:t>
      </w:r>
      <w:r w:rsidRPr="00824CAC" w:rsidR="005D3CA7">
        <w:rPr>
          <w:lang w:val="es-PE"/>
        </w:rPr>
        <w:t>5</w:t>
      </w:r>
      <w:r w:rsidRPr="00824CAC" w:rsidR="00E40E2C">
        <w:rPr>
          <w:lang w:val="es-PE"/>
        </w:rPr>
        <w:t>2</w:t>
      </w:r>
      <w:r w:rsidRPr="00824CAC" w:rsidR="001631D6">
        <w:rPr>
          <w:lang w:val="es-PE"/>
        </w:rPr>
        <w:t>/2</w:t>
      </w:r>
      <w:r w:rsidRPr="00824CAC" w:rsidR="002B50D6">
        <w:rPr>
          <w:lang w:val="es-PE"/>
        </w:rPr>
        <w:t>4</w:t>
      </w:r>
    </w:p>
    <w:p w:rsidRPr="00824CAC" w:rsidR="00824CAC" w:rsidP="00824CAC" w:rsidRDefault="00824CAC" w14:paraId="18FA34E0" w14:textId="77777777">
      <w:pPr>
        <w:rPr>
          <w:rStyle w:val="Textoennegrita"/>
        </w:rPr>
      </w:pPr>
    </w:p>
    <w:p w:rsidRPr="00824CAC" w:rsidR="00824CAC" w:rsidP="00824CAC" w:rsidRDefault="00824CAC" w14:paraId="51CB2B9F" w14:textId="77777777">
      <w:pPr>
        <w:jc w:val="both"/>
      </w:pPr>
      <w:r w:rsidRPr="00824CAC">
        <w:rPr>
          <w:rStyle w:val="Textoennegrita"/>
        </w:rPr>
        <w:t>VISTOS:</w:t>
      </w:r>
    </w:p>
    <w:p w:rsidRPr="00824CAC" w:rsidR="00824CAC" w:rsidP="00824CAC" w:rsidRDefault="00824CAC" w14:paraId="7A556014" w14:textId="77777777">
      <w:pPr>
        <w:jc w:val="both"/>
        <w:rPr>
          <w:lang w:val="es-PE"/>
        </w:rPr>
      </w:pPr>
    </w:p>
    <w:p w:rsidRPr="00824CAC" w:rsidR="00824CAC" w:rsidP="00824CAC" w:rsidRDefault="00824CAC" w14:paraId="3853DFFE" w14:textId="506EFC8F">
      <w:pPr>
        <w:jc w:val="both"/>
        <w:rPr>
          <w:lang w:val="es-PE"/>
        </w:rPr>
      </w:pPr>
      <w:r w:rsidRPr="5B44B9B2" w:rsidR="38688DF4">
        <w:rPr>
          <w:lang w:val="es-PE"/>
        </w:rPr>
        <w:t xml:space="preserve">Que, doña </w:t>
      </w:r>
      <w:r w:rsidRPr="5B44B9B2" w:rsidR="1D941232">
        <w:rPr>
          <w:b w:val="1"/>
          <w:bCs w:val="1"/>
          <w:lang w:val="es-PE"/>
        </w:rPr>
        <w:t>.........................................</w:t>
      </w:r>
      <w:r w:rsidRPr="5B44B9B2" w:rsidR="38688DF4">
        <w:rPr>
          <w:b w:val="1"/>
          <w:bCs w:val="1"/>
          <w:lang w:val="es-PE"/>
        </w:rPr>
        <w:t xml:space="preserve"> </w:t>
      </w:r>
      <w:r w:rsidRPr="5B44B9B2" w:rsidR="38688DF4">
        <w:rPr>
          <w:lang w:val="es-PE"/>
        </w:rPr>
        <w:t xml:space="preserve">(en adelante, la reclamante) interpone reclamación ante esta Defensoría del Asegurado (DEFASEG), solicitando que </w:t>
      </w:r>
      <w:r w:rsidRPr="5B44B9B2" w:rsidR="6DA6944B">
        <w:rPr>
          <w:b w:val="1"/>
          <w:bCs w:val="1"/>
          <w:lang w:val="es-PE"/>
        </w:rPr>
        <w:t>..............................................................................</w:t>
      </w:r>
      <w:r w:rsidRPr="5B44B9B2" w:rsidR="38688DF4">
        <w:rPr>
          <w:b w:val="1"/>
          <w:bCs w:val="1"/>
          <w:lang w:val="es-PE"/>
        </w:rPr>
        <w:t xml:space="preserve"> </w:t>
      </w:r>
      <w:r w:rsidRPr="5B44B9B2" w:rsidR="38688DF4">
        <w:rPr>
          <w:lang w:val="es-PE"/>
        </w:rPr>
        <w:t>(en adelante, la aseguradora)</w:t>
      </w:r>
      <w:r w:rsidRPr="5B44B9B2" w:rsidR="38688DF4">
        <w:rPr>
          <w:b w:val="1"/>
          <w:bCs w:val="1"/>
          <w:lang w:val="es-PE"/>
        </w:rPr>
        <w:t xml:space="preserve"> </w:t>
      </w:r>
      <w:r w:rsidRPr="5B44B9B2" w:rsidR="38688DF4">
        <w:rPr>
          <w:lang w:val="es-PE"/>
        </w:rPr>
        <w:t xml:space="preserve">apruebe su solicitud de cobertura como consecuencia del siniestro ocurrido el 24 de agosto de 2023 con su vehículo de placa </w:t>
      </w:r>
      <w:r w:rsidRPr="5B44B9B2" w:rsidR="6CCCB0D7">
        <w:rPr>
          <w:lang w:val="es-PE"/>
        </w:rPr>
        <w:t>..............</w:t>
      </w:r>
      <w:r w:rsidRPr="5B44B9B2" w:rsidR="38688DF4">
        <w:rPr>
          <w:lang w:val="es-PE"/>
        </w:rPr>
        <w:t xml:space="preserve"> (en adelante, el vehículo), conforme a </w:t>
      </w:r>
      <w:r w:rsidRPr="5B44B9B2" w:rsidR="38688DF4">
        <w:rPr>
          <w:lang w:val="es-PE"/>
        </w:rPr>
        <w:t xml:space="preserve">Póliza Vehicular </w:t>
      </w:r>
      <w:r w:rsidRPr="5B44B9B2" w:rsidR="38688DF4">
        <w:rPr>
          <w:lang w:val="es-PE"/>
        </w:rPr>
        <w:t>N°</w:t>
      </w:r>
      <w:r w:rsidRPr="5B44B9B2" w:rsidR="38688DF4">
        <w:rPr>
          <w:lang w:val="es-PE"/>
        </w:rPr>
        <w:t xml:space="preserve"> </w:t>
      </w:r>
      <w:r w:rsidRPr="5B44B9B2" w:rsidR="21035C01">
        <w:rPr>
          <w:lang w:val="es-PE"/>
        </w:rPr>
        <w:t>...................</w:t>
      </w:r>
      <w:r w:rsidRPr="5B44B9B2" w:rsidR="38688DF4">
        <w:rPr>
          <w:lang w:val="es-PE"/>
        </w:rPr>
        <w:t xml:space="preserve"> (en adelante, la póliza).</w:t>
      </w:r>
    </w:p>
    <w:p w:rsidRPr="00824CAC" w:rsidR="00824CAC" w:rsidP="00824CAC" w:rsidRDefault="00824CAC" w14:paraId="04C4EF84" w14:textId="77777777">
      <w:pPr>
        <w:jc w:val="both"/>
        <w:rPr>
          <w:lang w:val="es-PE"/>
        </w:rPr>
      </w:pPr>
    </w:p>
    <w:p w:rsidRPr="00824CAC" w:rsidR="00824CAC" w:rsidP="00824CAC" w:rsidRDefault="00824CAC" w14:paraId="12253F12" w14:textId="77777777">
      <w:pPr>
        <w:jc w:val="both"/>
        <w:rPr>
          <w:rFonts w:eastAsia="Arial Unicode MS"/>
          <w:lang w:val="es-PE"/>
        </w:rPr>
      </w:pPr>
      <w:r w:rsidRPr="00824CAC">
        <w:rPr>
          <w:rFonts w:eastAsia="Arial Unicode MS"/>
          <w:lang w:val="es-PE"/>
        </w:rPr>
        <w:t>Que, la señalada reclamación cumple con los requisitos de materia, cuantía y oportunidad establecidos en el Reglamento de la DEFASEG (http://www.defaseg.com.pe/reglamento);</w:t>
      </w:r>
    </w:p>
    <w:p w:rsidRPr="00824CAC" w:rsidR="00824CAC" w:rsidP="00824CAC" w:rsidRDefault="00824CAC" w14:paraId="39F15E25" w14:textId="77777777">
      <w:pPr>
        <w:tabs>
          <w:tab w:val="left" w:pos="2160"/>
        </w:tabs>
        <w:jc w:val="both"/>
        <w:rPr>
          <w:lang w:val="es-PE"/>
        </w:rPr>
      </w:pPr>
    </w:p>
    <w:p w:rsidRPr="00824CAC" w:rsidR="00824CAC" w:rsidP="00824CAC" w:rsidRDefault="00824CAC" w14:paraId="7BB58BA7" w14:textId="77777777">
      <w:pPr>
        <w:tabs>
          <w:tab w:val="num" w:pos="720"/>
        </w:tabs>
        <w:jc w:val="both"/>
        <w:rPr>
          <w:lang w:val="es-PE"/>
        </w:rPr>
      </w:pPr>
      <w:r w:rsidRPr="00824CAC">
        <w:rPr>
          <w:lang w:val="es-PE"/>
        </w:rPr>
        <w:t>Que, habiéndosele corrido traslado de la respectiva reclamación, la aseguradora presentó sus respectivos descargos y la documentación solicitada;</w:t>
      </w:r>
    </w:p>
    <w:p w:rsidRPr="00824CAC" w:rsidR="00824CAC" w:rsidP="00824CAC" w:rsidRDefault="00824CAC" w14:paraId="7EBB7A2E" w14:textId="77777777">
      <w:pPr>
        <w:tabs>
          <w:tab w:val="num" w:pos="720"/>
        </w:tabs>
        <w:jc w:val="both"/>
        <w:rPr>
          <w:lang w:val="es-PE"/>
        </w:rPr>
      </w:pPr>
    </w:p>
    <w:p w:rsidRPr="00824CAC" w:rsidR="00824CAC" w:rsidP="00824CAC" w:rsidRDefault="00824CAC" w14:paraId="794B21EE" w14:textId="77777777">
      <w:pPr>
        <w:tabs>
          <w:tab w:val="num" w:pos="720"/>
        </w:tabs>
        <w:jc w:val="both"/>
        <w:rPr>
          <w:lang w:val="es-PE"/>
        </w:rPr>
      </w:pPr>
      <w:r w:rsidRPr="00824CAC">
        <w:rPr>
          <w:lang w:val="es-PE"/>
        </w:rPr>
        <w:t>Que, el 29 de enero de 2024 se realizó la audiencia virtual de vista con la concurrencia de ambas partes, quienes tuvieron oportunidad de exponer sus respectivas posiciones tratándose de la materia reclamada, absolviendo las diversas preguntas que les fueron formuladas;</w:t>
      </w:r>
    </w:p>
    <w:p w:rsidRPr="00824CAC" w:rsidR="00824CAC" w:rsidP="00824CAC" w:rsidRDefault="00824CAC" w14:paraId="5261A4F7" w14:textId="77777777">
      <w:pPr>
        <w:tabs>
          <w:tab w:val="num" w:pos="720"/>
        </w:tabs>
        <w:jc w:val="both"/>
        <w:rPr>
          <w:lang w:val="es-PE"/>
        </w:rPr>
      </w:pPr>
    </w:p>
    <w:p w:rsidRPr="00824CAC" w:rsidR="00824CAC" w:rsidP="00824CAC" w:rsidRDefault="00824CAC" w14:paraId="07027B2A" w14:textId="77777777">
      <w:pPr>
        <w:jc w:val="both"/>
      </w:pPr>
      <w:r w:rsidRPr="00824CAC">
        <w:t xml:space="preserve">Que, en síntesis, el reclamante manifiesta lo siguiente: a) el </w:t>
      </w:r>
      <w:r w:rsidRPr="00824CAC">
        <w:rPr>
          <w:lang w:val="es-PE"/>
        </w:rPr>
        <w:t>siniestro ocurrió a las 8:45 pm, mientras conducía su vehículo por la calle Alameda central con calle Bucaramanga, una zona muy oscura, siendo que -al manejar- sintió golpes en su vehículo producto de haber pasado sobre una piedras ubicadas en el camino; b) al bajar para ver los daños, se percató de la presencia de cuatro personas en un vehículo blanco, una de las abrió la puerta de dicho vehículo, luego de lo que la reclamante decide avanzar, al sentirse en peligro, manejando aproximadamente 7 u 8 cuadras hasta una zona segura donde estacionar y llamar a la aseguradora; c) según el razonamiento de la aseguradora, tenía que  haberse quedado en el lugar para no agravar el riesgo, por lo que la aseguradora estaría indicando que tendría que haber caminado 7 u 8 cuadras, colocándose en situación de peligro, para poder llamar a la aseguradora y denunciar el siniestro; d) solicita que se revise su caso, afirmando que el Presupuesto total formulado por el taller para reparar el vehículo asciende a USD12,886.17, mientras que el monto de cobertura aprobado por la aseguradora asciende a USD 2,337.38;</w:t>
      </w:r>
    </w:p>
    <w:p w:rsidRPr="00824CAC" w:rsidR="00824CAC" w:rsidP="00824CAC" w:rsidRDefault="00824CAC" w14:paraId="053BAF29" w14:textId="77777777">
      <w:pPr>
        <w:jc w:val="both"/>
      </w:pPr>
    </w:p>
    <w:p w:rsidRPr="00824CAC" w:rsidR="00824CAC" w:rsidP="00824CAC" w:rsidRDefault="00824CAC" w14:paraId="5DBB7483" w14:textId="77777777">
      <w:pPr>
        <w:jc w:val="both"/>
        <w:rPr>
          <w:lang w:val="es-PE"/>
        </w:rPr>
      </w:pPr>
      <w:r w:rsidRPr="00824CAC">
        <w:t xml:space="preserve">Que, por su parte, la aseguradora sustenta su posición resumidamente en lo siguiente: </w:t>
      </w:r>
      <w:r w:rsidRPr="00824CAC">
        <w:rPr>
          <w:lang w:val="es-PE"/>
        </w:rPr>
        <w:t xml:space="preserve">a) el reclamo, que acusa una indebida cobertura parcial, es infundado porque no se ajusta a los términos y condiciones de la póliza contratada; b) la cobertura del seguro fue solicitada en razón a los daños ocasionados al vehículo como consecuencia del siniestro; no obstante, la reclamante solicita la cobertura de la suma total de $12,886.17, que no correspondía ser amparada, ya que muchos de tales daños no fueron consecuencia del siniestro, sino del agravamiento de los daños causados de manera posterior; c) para evaluar los daños, designaron a un ajustador de siniestros para que realice la inspección correspondiente. El ajustador concluyó que los daños que correspondían que sean cubiertos son los causados por el impacto directo del vehículo, los que equivalen a USD 2,337.38 y no aquellos adicionales causados por el agravamiento; d) el haber sobrepasado su vehículo sobre una piedra de regular dimensión solo causó daños en el cárter de motor, es decir, en aquella parte del vehículo en donde se almacena el aceite que sirve para lubricar el motor. En este sentido, </w:t>
      </w:r>
      <w:r w:rsidRPr="00824CAC">
        <w:rPr>
          <w:lang w:val="es-PE"/>
        </w:rPr>
        <w:t>todos los daños internos y adicionales generados en el motor por haber seguido circulando la unidad luego del impacto no son materia de cobertura; puesto que no se generaron por el impacto, sino por una conducta posterior que generó agravamiento de estos; condición que excluye la cobertura de los daños solicitados; e) tal como lo señala la póliza, en caso de un siniestro, es obligación del asegurado mantenerse en el lugar de los hechos y comunicarse con la aseguradora. Ello, en efecto se encuentra estipulado en la página 26 de la póliza, numeral 4 respecto a las “Obligaciones”; f) si bien la reclamante optó seguir circulando al considerar que se encontraba en una zona no tan segura, ello no la exonera de tener que seguir las indicaciones de la Compañía, y es que si la póliza de seguros establece que se mantenga en el lugar de los hechos; es precisamente a fin de evitar agraviar los daños ya causados y entorpecer el análisis del siniestro; g) la póliza no cubre actos de negligencia inexcusable del asegurado, reforzándose así la postura respecto de que los daños causados de manera posterior al siniestro por la circulación del vehículo no pueden ser cubiertos. Al respecto, señalamos que la negligencia inexcusable del asegurado ocurre cuando no se despliega la diligencia mínima, de manera que la desatención es sobre los más elementales deberes a cumplir por un consumidor razonable de seguros; h) DEFASEG se ha pronunciado anteriormente respecto a la negligencia inexcusable o culpa grave, en cuanto a que tales conceptos implican un defecto en el comportamiento, sin adoptar las medidas de cuidado mínimas o elementales (Resolución N°035/19 del 11 de marzo de 2019);</w:t>
      </w:r>
    </w:p>
    <w:p w:rsidRPr="00824CAC" w:rsidR="00824CAC" w:rsidP="00824CAC" w:rsidRDefault="00824CAC" w14:paraId="7B719D67" w14:textId="77777777">
      <w:pPr>
        <w:jc w:val="both"/>
        <w:rPr>
          <w:lang w:val="es-PE"/>
        </w:rPr>
      </w:pPr>
    </w:p>
    <w:p w:rsidRPr="00824CAC" w:rsidR="00824CAC" w:rsidP="00824CAC" w:rsidRDefault="00824CAC" w14:paraId="50B07420" w14:textId="77777777">
      <w:pPr>
        <w:jc w:val="both"/>
      </w:pPr>
      <w:r w:rsidRPr="00824CAC">
        <w:rPr>
          <w:rStyle w:val="Textoennegrita"/>
        </w:rPr>
        <w:t>CONSIDERANDO:</w:t>
      </w:r>
    </w:p>
    <w:p w:rsidRPr="00824CAC" w:rsidR="00824CAC" w:rsidP="00824CAC" w:rsidRDefault="00824CAC" w14:paraId="1C63C545" w14:textId="77777777">
      <w:pPr>
        <w:jc w:val="both"/>
      </w:pPr>
      <w:r w:rsidRPr="00824CAC">
        <w:t> </w:t>
      </w:r>
    </w:p>
    <w:p w:rsidRPr="00824CAC" w:rsidR="00824CAC" w:rsidP="00824CAC" w:rsidRDefault="00824CAC" w14:paraId="3A93B325" w14:textId="77777777">
      <w:pPr>
        <w:jc w:val="both"/>
        <w:rPr>
          <w:lang w:val="es-PE"/>
        </w:rPr>
      </w:pPr>
      <w:r w:rsidRPr="00824CAC">
        <w:rPr>
          <w:b/>
          <w:u w:val="single"/>
          <w:lang w:val="es-PE"/>
        </w:rPr>
        <w:t>Primero</w:t>
      </w:r>
      <w:r w:rsidRPr="00824CAC">
        <w:rPr>
          <w:b/>
          <w:lang w:val="es-PE"/>
        </w:rPr>
        <w:t xml:space="preserve">: </w:t>
      </w:r>
      <w:r w:rsidRPr="00824CAC">
        <w:rPr>
          <w:lang w:val="es-PE"/>
        </w:rPr>
        <w:t>Conforme a su Reglamento, la</w:t>
      </w:r>
      <w:r w:rsidRPr="00824CAC">
        <w:rPr>
          <w:b/>
          <w:bCs/>
          <w:lang w:val="es-PE"/>
        </w:rPr>
        <w:t xml:space="preserve"> </w:t>
      </w:r>
      <w:r w:rsidRPr="00824CA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24CAC" w:rsidR="00824CAC" w:rsidP="00824CAC" w:rsidRDefault="00824CAC" w14:paraId="4F4C6C6E" w14:textId="77777777">
      <w:pPr>
        <w:jc w:val="both"/>
        <w:rPr>
          <w:bCs/>
        </w:rPr>
      </w:pPr>
    </w:p>
    <w:p w:rsidRPr="00824CAC" w:rsidR="00824CAC" w:rsidP="00824CAC" w:rsidRDefault="00824CAC" w14:paraId="41E89792" w14:textId="77777777">
      <w:pPr>
        <w:jc w:val="both"/>
        <w:rPr>
          <w:bCs/>
          <w:lang w:val="es-PE"/>
        </w:rPr>
      </w:pPr>
      <w:r w:rsidRPr="00824CAC">
        <w:rPr>
          <w:b/>
          <w:bCs/>
          <w:u w:val="single"/>
          <w:lang w:val="es-PE"/>
        </w:rPr>
        <w:t>Segundo</w:t>
      </w:r>
      <w:r w:rsidRPr="00824CAC">
        <w:rPr>
          <w:b/>
          <w:bCs/>
          <w:lang w:val="es-PE"/>
        </w:rPr>
        <w:t>:</w:t>
      </w:r>
      <w:r w:rsidRPr="00824CAC">
        <w:rPr>
          <w:bCs/>
          <w:lang w:val="es-PE"/>
        </w:rPr>
        <w:t xml:space="preserve"> </w:t>
      </w:r>
      <w:r w:rsidRPr="00824CAC">
        <w:rPr>
          <w:lang w:val="es-PE"/>
        </w:rPr>
        <w:t xml:space="preserve">Asimismo, de acuerdo a </w:t>
      </w:r>
      <w:r w:rsidRPr="00824CA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24CAC" w:rsidR="00824CAC" w:rsidP="00824CAC" w:rsidRDefault="00824CAC" w14:paraId="130B8D31" w14:textId="77777777">
      <w:pPr>
        <w:jc w:val="both"/>
        <w:rPr>
          <w:lang w:val="es-PE"/>
        </w:rPr>
      </w:pPr>
    </w:p>
    <w:p w:rsidRPr="00824CAC" w:rsidR="00824CAC" w:rsidP="00824CAC" w:rsidRDefault="00824CAC" w14:paraId="3D34396A" w14:textId="77777777">
      <w:pPr>
        <w:jc w:val="both"/>
      </w:pPr>
      <w:r w:rsidRPr="00824CAC">
        <w:rPr>
          <w:b/>
          <w:bCs/>
          <w:u w:val="single"/>
          <w:lang w:val="es-PE"/>
        </w:rPr>
        <w:t>Tercero</w:t>
      </w:r>
      <w:r w:rsidRPr="00824CAC">
        <w:rPr>
          <w:b/>
          <w:bCs/>
          <w:lang w:val="es-PE"/>
        </w:rPr>
        <w:t>:</w:t>
      </w:r>
      <w:r w:rsidRPr="00824CAC">
        <w:rPr>
          <w:lang w:val="es-PE"/>
        </w:rPr>
        <w:t xml:space="preserve"> Que, de acuerdo a la Ley Nro. </w:t>
      </w:r>
      <w:r w:rsidRPr="00824CAC">
        <w:t xml:space="preserve">29946 – Ley del Contrato de Seguro, norma legal vigente con ocasión de la celebración del contrato al cual se contrae el presente caso, </w:t>
      </w:r>
      <w:r w:rsidRPr="00824CA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24CAC" w:rsidR="00824CAC" w:rsidP="00824CAC" w:rsidRDefault="00824CAC" w14:paraId="178B5C38" w14:textId="77777777">
      <w:pPr>
        <w:jc w:val="both"/>
        <w:rPr>
          <w:b/>
          <w:u w:val="single"/>
          <w:lang w:val="es-PE"/>
        </w:rPr>
      </w:pPr>
    </w:p>
    <w:p w:rsidRPr="00824CAC" w:rsidR="00824CAC" w:rsidP="00824CAC" w:rsidRDefault="00824CAC" w14:paraId="585D9979" w14:textId="77777777">
      <w:pPr>
        <w:jc w:val="both"/>
        <w:rPr>
          <w:lang w:val="es-PE"/>
        </w:rPr>
      </w:pPr>
      <w:r w:rsidRPr="00824CAC">
        <w:rPr>
          <w:b/>
          <w:u w:val="single"/>
          <w:lang w:val="es-PE"/>
        </w:rPr>
        <w:t>Cuarto</w:t>
      </w:r>
      <w:r w:rsidRPr="00824CAC">
        <w:rPr>
          <w:b/>
          <w:lang w:val="es-PE"/>
        </w:rPr>
        <w:t>:</w:t>
      </w:r>
      <w:r w:rsidRPr="00824CA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24CAC" w:rsidR="00824CAC" w:rsidP="00824CAC" w:rsidRDefault="00824CAC" w14:paraId="19D59B97" w14:textId="77777777">
      <w:pPr>
        <w:jc w:val="both"/>
        <w:rPr>
          <w:rStyle w:val="Textoennegrita"/>
          <w:b w:val="0"/>
        </w:rPr>
      </w:pPr>
    </w:p>
    <w:p w:rsidRPr="00824CAC" w:rsidR="00824CAC" w:rsidP="00824CAC" w:rsidRDefault="00824CAC" w14:paraId="32BEA129" w14:textId="77777777">
      <w:pPr>
        <w:jc w:val="both"/>
      </w:pPr>
      <w:r w:rsidRPr="00824CAC">
        <w:rPr>
          <w:rStyle w:val="Textoennegrita"/>
          <w:u w:val="single"/>
          <w:lang w:val="es-PE"/>
        </w:rPr>
        <w:t>Quinto</w:t>
      </w:r>
      <w:r w:rsidRPr="00824CAC">
        <w:rPr>
          <w:rStyle w:val="Textoennegrita"/>
          <w:lang w:val="es-PE"/>
        </w:rPr>
        <w:t xml:space="preserve">: </w:t>
      </w:r>
      <w:r w:rsidRPr="00C15FDE">
        <w:rPr>
          <w:rStyle w:val="Textoennegrita"/>
          <w:b w:val="0"/>
          <w:bCs w:val="0"/>
          <w:lang w:val="es-PE"/>
        </w:rPr>
        <w:t xml:space="preserve">Que, conforme al </w:t>
      </w:r>
      <w:r w:rsidRPr="00824CAC">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24CAC" w:rsidR="00824CAC" w:rsidP="00824CAC" w:rsidRDefault="00824CAC" w14:paraId="5639694D" w14:textId="77777777">
      <w:pPr>
        <w:tabs>
          <w:tab w:val="left" w:pos="2160"/>
        </w:tabs>
        <w:jc w:val="both"/>
      </w:pPr>
    </w:p>
    <w:p w:rsidRPr="00824CAC" w:rsidR="00824CAC" w:rsidP="00824CAC" w:rsidRDefault="00824CAC" w14:paraId="73898CC8" w14:textId="08FAE0E4">
      <w:pPr>
        <w:jc w:val="both"/>
        <w:rPr>
          <w:lang w:val="es-PE"/>
        </w:rPr>
      </w:pPr>
      <w:r w:rsidRPr="00824CAC">
        <w:rPr>
          <w:b/>
          <w:u w:val="single"/>
        </w:rPr>
        <w:t>Sexto</w:t>
      </w:r>
      <w:r w:rsidRPr="00824CAC">
        <w:rPr>
          <w:b/>
        </w:rPr>
        <w:t>:</w:t>
      </w:r>
      <w:r w:rsidRPr="00824CAC">
        <w:rPr>
          <w:b/>
          <w:lang w:val="es-PE"/>
        </w:rPr>
        <w:t xml:space="preserve"> </w:t>
      </w:r>
      <w:r w:rsidRPr="00824CAC">
        <w:rPr>
          <w:lang w:val="es-PE"/>
        </w:rPr>
        <w:t xml:space="preserve"> </w:t>
      </w:r>
      <w:r w:rsidRPr="00824CAC">
        <w:rPr>
          <w:rStyle w:val="Textoennegrita"/>
          <w:b w:val="0"/>
          <w:bCs w:val="0"/>
        </w:rPr>
        <w:t>Que, en el presente caso no se discute la procedencia de la cobertura solicitada, puesto que esta ha sido aceptada por la aseguradora. Por el contrario, se discute el monto pagado por la aseguradora por concepto de indemnización. En ese sentido, la reclamante refiere que este debió ascender a</w:t>
      </w:r>
      <w:r w:rsidRPr="00824CAC">
        <w:rPr>
          <w:rStyle w:val="Textoennegrita"/>
        </w:rPr>
        <w:t xml:space="preserve"> </w:t>
      </w:r>
      <w:r w:rsidRPr="00824CAC">
        <w:rPr>
          <w:lang w:val="es-PE"/>
        </w:rPr>
        <w:t>USD12,886.17, mientras que el monto de cobertura aprobado</w:t>
      </w:r>
      <w:r w:rsidR="00D55695">
        <w:rPr>
          <w:lang w:val="es-PE"/>
        </w:rPr>
        <w:t xml:space="preserve"> </w:t>
      </w:r>
      <w:r w:rsidRPr="00824CAC">
        <w:rPr>
          <w:lang w:val="es-PE"/>
        </w:rPr>
        <w:t xml:space="preserve">por la aseguradora ascendió </w:t>
      </w:r>
      <w:r w:rsidRPr="00824CAC">
        <w:rPr>
          <w:lang w:val="es-PE"/>
        </w:rPr>
        <w:br/>
      </w:r>
      <w:r w:rsidRPr="00824CAC">
        <w:rPr>
          <w:lang w:val="es-PE"/>
        </w:rPr>
        <w:t>-únicamente- a USD 2,337.38.</w:t>
      </w:r>
    </w:p>
    <w:p w:rsidRPr="00824CAC" w:rsidR="00824CAC" w:rsidP="00824CAC" w:rsidRDefault="00824CAC" w14:paraId="7EEABE60" w14:textId="77777777">
      <w:pPr>
        <w:jc w:val="both"/>
        <w:rPr>
          <w:lang w:val="es-PE"/>
        </w:rPr>
      </w:pPr>
    </w:p>
    <w:p w:rsidRPr="00824CAC" w:rsidR="00824CAC" w:rsidP="00824CAC" w:rsidRDefault="00824CAC" w14:paraId="0E967478" w14:textId="77777777">
      <w:pPr>
        <w:jc w:val="both"/>
        <w:rPr>
          <w:rStyle w:val="Textoennegrita"/>
          <w:b w:val="0"/>
        </w:rPr>
      </w:pPr>
      <w:r w:rsidRPr="00824CAC">
        <w:rPr>
          <w:lang w:val="es-PE"/>
        </w:rPr>
        <w:t>En ese sentido, se aprecia que la controversia reside en los gastos generados por la decisión de la reclamante de continuar avanzando luego de haber pasado sobre una piedra, debido a que -según alega- se encontró en una situación de peligro. Así pues, la reclamante afirma que advirtió un vehículo en las proximidades que le hizo sospechar que sería víctima de un asalto.</w:t>
      </w:r>
    </w:p>
    <w:p w:rsidRPr="00824CAC" w:rsidR="00824CAC" w:rsidP="00824CAC" w:rsidRDefault="00824CAC" w14:paraId="3CFEE25B" w14:textId="77777777">
      <w:pPr>
        <w:jc w:val="both"/>
        <w:rPr>
          <w:rStyle w:val="Textoennegrita"/>
          <w:b w:val="0"/>
        </w:rPr>
      </w:pPr>
    </w:p>
    <w:p w:rsidRPr="00824CAC" w:rsidR="00824CAC" w:rsidP="00824CAC" w:rsidRDefault="00824CAC" w14:paraId="193E90D5" w14:textId="77777777">
      <w:pPr>
        <w:tabs>
          <w:tab w:val="left" w:pos="2160"/>
        </w:tabs>
        <w:jc w:val="both"/>
        <w:rPr>
          <w:lang w:val="es-PE"/>
        </w:rPr>
      </w:pPr>
      <w:r w:rsidRPr="00824CAC">
        <w:rPr>
          <w:b/>
          <w:u w:val="single"/>
          <w:lang w:val="es-PE"/>
        </w:rPr>
        <w:t>Sétimo:</w:t>
      </w:r>
      <w:r w:rsidRPr="00824CAC">
        <w:rPr>
          <w:lang w:val="es-PE"/>
        </w:rPr>
        <w:t xml:space="preserve">  Que, según se aprecia, la póliza cuenta con un procedimiento de aviso de siniestro previamente establecido, el que contempla lo siguiente:</w:t>
      </w:r>
    </w:p>
    <w:p w:rsidRPr="00824CAC" w:rsidR="00824CAC" w:rsidP="00824CAC" w:rsidRDefault="00824CAC" w14:paraId="1046F1B5" w14:textId="77777777">
      <w:pPr>
        <w:tabs>
          <w:tab w:val="left" w:pos="2160"/>
        </w:tabs>
        <w:jc w:val="center"/>
        <w:rPr>
          <w:lang w:val="es-PE"/>
        </w:rPr>
      </w:pPr>
      <w:r w:rsidR="38688DF4">
        <w:drawing>
          <wp:inline wp14:editId="49C4623E" wp14:anchorId="38EBC60B">
            <wp:extent cx="4652559" cy="1689327"/>
            <wp:effectExtent l="0" t="0" r="0" b="0"/>
            <wp:docPr id="2" name="Imagen 2" descr="Texto&#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Imagen 2" descr="Texto&#10;&#10;Descripción generada automáticamente"/>
                    <pic:cNvPicPr/>
                  </pic:nvPicPr>
                  <pic:blipFill>
                    <a:blip xmlns:r="http://schemas.openxmlformats.org/officeDocument/2006/relationships" r:embed="rId8"/>
                    <a:stretch>
                      <a:fillRect/>
                    </a:stretch>
                    <a:srcRect l="0" t="0" r="0" b="12369"/>
                  </pic:blipFill>
                  <pic:spPr>
                    <a:xfrm rot="0">
                      <a:off x="0" y="0"/>
                      <a:ext cx="4652559" cy="1689327"/>
                    </a:xfrm>
                    <a:prstGeom prst="rect">
                      <a:avLst/>
                    </a:prstGeom>
                  </pic:spPr>
                </pic:pic>
              </a:graphicData>
            </a:graphic>
          </wp:inline>
        </w:drawing>
      </w:r>
    </w:p>
    <w:p w:rsidR="5B44B9B2" w:rsidP="5B44B9B2" w:rsidRDefault="5B44B9B2" w14:paraId="5B043AC6" w14:textId="1C29396D">
      <w:pPr>
        <w:tabs>
          <w:tab w:val="left" w:leader="none" w:pos="2160"/>
        </w:tabs>
        <w:jc w:val="center"/>
        <w:rPr>
          <w:lang w:val="es-PE"/>
        </w:rPr>
      </w:pPr>
    </w:p>
    <w:p w:rsidRPr="00824CAC" w:rsidR="00824CAC" w:rsidP="00824CAC" w:rsidRDefault="00824CAC" w14:paraId="0CB35452" w14:textId="77777777">
      <w:pPr>
        <w:tabs>
          <w:tab w:val="left" w:pos="2160"/>
        </w:tabs>
        <w:jc w:val="both"/>
        <w:rPr>
          <w:lang w:val="es-PE"/>
        </w:rPr>
      </w:pPr>
      <w:r w:rsidRPr="00824CAC">
        <w:rPr>
          <w:lang w:val="es-PE"/>
        </w:rPr>
        <w:t>Como vemos, según la póliza, se prevé que la reclamante se mantenga en el lugar de los hechos al dar aviso del siniestro. En ese sentido, la posición de la aseguradora estriba en que no resulta atendible que la reclamante haya seguido avanzando, pese a lo afirmado por la reclamante, ya que agravó el riesgo y entorpeció el análisis del siniestro. Así pues, agregan que ello resultaría un actuar negligente y atentatorio respecto de las reglas acordadas en la póliza.</w:t>
      </w:r>
    </w:p>
    <w:p w:rsidRPr="00824CAC" w:rsidR="00824CAC" w:rsidP="00824CAC" w:rsidRDefault="00824CAC" w14:paraId="56B67DAB" w14:textId="77777777">
      <w:pPr>
        <w:tabs>
          <w:tab w:val="left" w:pos="2160"/>
        </w:tabs>
        <w:jc w:val="both"/>
        <w:rPr>
          <w:lang w:val="es-PE"/>
        </w:rPr>
      </w:pPr>
    </w:p>
    <w:p w:rsidRPr="00824CAC" w:rsidR="00824CAC" w:rsidP="00824CAC" w:rsidRDefault="00824CAC" w14:paraId="31FFE595" w14:textId="77777777">
      <w:pPr>
        <w:tabs>
          <w:tab w:val="left" w:pos="2160"/>
        </w:tabs>
        <w:jc w:val="both"/>
        <w:rPr>
          <w:lang w:val="es-PE"/>
        </w:rPr>
      </w:pPr>
      <w:r w:rsidRPr="00824CAC">
        <w:rPr>
          <w:lang w:val="es-PE"/>
        </w:rPr>
        <w:t>Ahora bien, respecto de ello, es importante recordar que la Ley del Contrato de Seguro, respecto de la agravación del riesgo, dispone lo siguiente:</w:t>
      </w:r>
    </w:p>
    <w:p w:rsidRPr="00824CAC" w:rsidR="00824CAC" w:rsidP="00824CAC" w:rsidRDefault="00824CAC" w14:paraId="41176483" w14:textId="77777777">
      <w:pPr>
        <w:tabs>
          <w:tab w:val="left" w:pos="2160"/>
        </w:tabs>
        <w:jc w:val="both"/>
        <w:rPr>
          <w:lang w:val="es-PE"/>
        </w:rPr>
      </w:pPr>
    </w:p>
    <w:p w:rsidRPr="00824CAC" w:rsidR="00824CAC" w:rsidP="00824CAC" w:rsidRDefault="00824CAC" w14:paraId="3977D832" w14:textId="77777777">
      <w:pPr>
        <w:tabs>
          <w:tab w:val="left" w:pos="2160"/>
        </w:tabs>
        <w:ind w:left="1418"/>
        <w:jc w:val="both"/>
        <w:rPr>
          <w:lang w:val="es-PE"/>
        </w:rPr>
      </w:pPr>
      <w:r w:rsidRPr="00824CAC">
        <w:rPr>
          <w:b/>
          <w:bCs/>
          <w:lang w:val="es-PE"/>
        </w:rPr>
        <w:t>Artículo 64. Excepciones a la agravación del riesgo</w:t>
      </w:r>
    </w:p>
    <w:p w:rsidRPr="00824CAC" w:rsidR="00824CAC" w:rsidP="00824CAC" w:rsidRDefault="00824CAC" w14:paraId="45ADD180" w14:textId="77777777">
      <w:pPr>
        <w:tabs>
          <w:tab w:val="left" w:pos="2160"/>
        </w:tabs>
        <w:ind w:left="1418"/>
        <w:jc w:val="both"/>
        <w:rPr>
          <w:lang w:val="es-PE"/>
        </w:rPr>
      </w:pPr>
      <w:r w:rsidRPr="00824CAC">
        <w:rPr>
          <w:lang w:val="es-PE"/>
        </w:rPr>
        <w:t>Las disposiciones sobre agravación del riesgo no se aplican cuando se provoque para evitar el siniestro o para atenuar sus consecuencias, por un deber de humanidad generalmente aceptado, por legítima defensa, estado de necesidad o por cumplimiento de un deber legal.</w:t>
      </w:r>
    </w:p>
    <w:p w:rsidRPr="00824CAC" w:rsidR="00824CAC" w:rsidP="00824CAC" w:rsidRDefault="00824CAC" w14:paraId="384B0573" w14:textId="77777777">
      <w:pPr>
        <w:tabs>
          <w:tab w:val="left" w:pos="2160"/>
        </w:tabs>
        <w:jc w:val="both"/>
        <w:rPr>
          <w:lang w:val="es-PE"/>
        </w:rPr>
      </w:pPr>
    </w:p>
    <w:p w:rsidRPr="00824CAC" w:rsidR="00824CAC" w:rsidP="00824CAC" w:rsidRDefault="00824CAC" w14:paraId="311CE079" w14:textId="77777777">
      <w:pPr>
        <w:tabs>
          <w:tab w:val="left" w:pos="2160"/>
        </w:tabs>
        <w:jc w:val="both"/>
        <w:rPr>
          <w:lang w:val="es-PE"/>
        </w:rPr>
      </w:pPr>
      <w:r w:rsidRPr="00824CAC">
        <w:rPr>
          <w:lang w:val="es-PE"/>
        </w:rPr>
        <w:t>En ese sentido, resulta imprescindible analizar si es que el presente caso representa uno de agravación del riesgo en los términos de la norma previamente glosada. Así pues, no resulta cierto que, sin importar las circunstancias, la reclamante haya estado imposibilitada de avanzar, puesto que la Ley del Contrato de Seguro ofrece una serie de alternativas, tales como: deber de humanidad generalmente aceptado, legítima defensa, estado de necesidad o cumplimiento de un deber legal.</w:t>
      </w:r>
    </w:p>
    <w:p w:rsidRPr="00824CAC" w:rsidR="00824CAC" w:rsidP="00824CAC" w:rsidRDefault="00824CAC" w14:paraId="3BDC57AD" w14:textId="77777777">
      <w:pPr>
        <w:tabs>
          <w:tab w:val="left" w:pos="2160"/>
        </w:tabs>
        <w:jc w:val="both"/>
        <w:rPr>
          <w:lang w:val="es-PE"/>
        </w:rPr>
      </w:pPr>
    </w:p>
    <w:p w:rsidRPr="00824CAC" w:rsidR="00824CAC" w:rsidP="00824CAC" w:rsidRDefault="00824CAC" w14:paraId="0F1C59E6" w14:textId="77777777">
      <w:pPr>
        <w:tabs>
          <w:tab w:val="left" w:pos="2160"/>
        </w:tabs>
        <w:jc w:val="both"/>
        <w:rPr>
          <w:lang w:val="es-PE"/>
        </w:rPr>
      </w:pPr>
      <w:r w:rsidRPr="00824CAC">
        <w:rPr>
          <w:lang w:val="es-PE"/>
        </w:rPr>
        <w:t>En el presente caso, si bien la reclamante no invoca el presente artículo, es deber de DEFASEG aplicar el derecho correspondiente y llamar la atención respecto de que la reclamante sí afirma que continúa avanzando en su vehículo por encontrarse en una situación de inminente peligro; es decir, alega un estado de necesidad.</w:t>
      </w:r>
    </w:p>
    <w:p w:rsidRPr="00824CAC" w:rsidR="00824CAC" w:rsidP="00824CAC" w:rsidRDefault="00824CAC" w14:paraId="4DB17C0F" w14:textId="77777777">
      <w:pPr>
        <w:tabs>
          <w:tab w:val="left" w:pos="2160"/>
        </w:tabs>
        <w:jc w:val="both"/>
        <w:rPr>
          <w:lang w:val="es-PE"/>
        </w:rPr>
      </w:pPr>
    </w:p>
    <w:p w:rsidRPr="00824CAC" w:rsidR="00824CAC" w:rsidP="00824CAC" w:rsidRDefault="00824CAC" w14:paraId="2CF12B6F" w14:textId="77777777">
      <w:pPr>
        <w:tabs>
          <w:tab w:val="left" w:pos="2160"/>
        </w:tabs>
        <w:jc w:val="both"/>
      </w:pPr>
      <w:r w:rsidRPr="00824CAC">
        <w:rPr>
          <w:b/>
          <w:u w:val="single"/>
          <w:lang w:val="es-PE"/>
        </w:rPr>
        <w:t>Octavo:</w:t>
      </w:r>
      <w:r w:rsidRPr="00824CAC">
        <w:rPr>
          <w:lang w:val="es-PE"/>
        </w:rPr>
        <w:t xml:space="preserve">  Que, a fin de determinar si lo alegado por la reclamante resulta atendible debemos ceñirnos a las reglas de la carga de la prueba. En ese sentido, debemos recordar que </w:t>
      </w:r>
      <w:r w:rsidRPr="00824CAC">
        <w:t>las posiciones personales o hechos narrados por las partes se rigen por las reglas de la carga de la prueba. De este modo, nos permitimos recordar lo señalado por el Código Procesal Civil:</w:t>
      </w:r>
    </w:p>
    <w:p w:rsidRPr="00824CAC" w:rsidR="00824CAC" w:rsidP="00824CAC" w:rsidRDefault="00824CAC" w14:paraId="3B1C0EF3" w14:textId="77777777">
      <w:pPr>
        <w:tabs>
          <w:tab w:val="left" w:pos="2160"/>
        </w:tabs>
        <w:jc w:val="both"/>
      </w:pPr>
    </w:p>
    <w:p w:rsidRPr="00824CAC" w:rsidR="00824CAC" w:rsidP="00824CAC" w:rsidRDefault="00824CAC" w14:paraId="3E766103" w14:textId="77777777">
      <w:pPr>
        <w:tabs>
          <w:tab w:val="left" w:pos="2160"/>
        </w:tabs>
        <w:ind w:left="1418"/>
        <w:jc w:val="both"/>
        <w:rPr>
          <w:b/>
          <w:bCs/>
        </w:rPr>
      </w:pPr>
      <w:r w:rsidRPr="00824CAC">
        <w:rPr>
          <w:b/>
          <w:bCs/>
        </w:rPr>
        <w:t>Carga de la prueba. -</w:t>
      </w:r>
    </w:p>
    <w:p w:rsidRPr="00824CAC" w:rsidR="00824CAC" w:rsidP="00824CAC" w:rsidRDefault="00824CAC" w14:paraId="5E7476AC" w14:textId="77777777">
      <w:pPr>
        <w:tabs>
          <w:tab w:val="left" w:pos="2160"/>
        </w:tabs>
        <w:ind w:left="1418"/>
        <w:jc w:val="both"/>
      </w:pPr>
      <w:r w:rsidRPr="00824CAC">
        <w:t xml:space="preserve">Artículo 196.- Salvo disposición legal diferente, </w:t>
      </w:r>
      <w:r w:rsidRPr="00824CAC">
        <w:rPr>
          <w:b/>
          <w:bCs/>
        </w:rPr>
        <w:t>la carga de probar corresponde a quien afirma hechos que configuran su pretensión</w:t>
      </w:r>
      <w:r w:rsidRPr="00824CAC">
        <w:t>, o a quien los contradice alegando nuevos hechos.</w:t>
      </w:r>
    </w:p>
    <w:p w:rsidRPr="00824CAC" w:rsidR="00824CAC" w:rsidP="00824CAC" w:rsidRDefault="00824CAC" w14:paraId="34F9825F" w14:textId="77777777">
      <w:pPr>
        <w:tabs>
          <w:tab w:val="left" w:pos="2160"/>
        </w:tabs>
        <w:ind w:left="1418"/>
        <w:jc w:val="both"/>
      </w:pPr>
      <w:r w:rsidRPr="00824CAC">
        <w:t>[resaltado en negritas de nuestra autoría]</w:t>
      </w:r>
    </w:p>
    <w:p w:rsidRPr="00824CAC" w:rsidR="00824CAC" w:rsidP="00824CAC" w:rsidRDefault="00824CAC" w14:paraId="630B40D7" w14:textId="77777777">
      <w:pPr>
        <w:tabs>
          <w:tab w:val="left" w:pos="2160"/>
        </w:tabs>
        <w:jc w:val="both"/>
      </w:pPr>
    </w:p>
    <w:p w:rsidRPr="00824CAC" w:rsidR="00824CAC" w:rsidP="00824CAC" w:rsidRDefault="00824CAC" w14:paraId="41C35923" w14:textId="77777777">
      <w:pPr>
        <w:tabs>
          <w:tab w:val="left" w:pos="2160"/>
        </w:tabs>
        <w:jc w:val="both"/>
      </w:pPr>
      <w:r w:rsidRPr="00824CAC">
        <w:t>En el mismo sentido se ha pronunciado -en repetidas ocasiones- el Tribunal Constitucional cuando señaló lo siguiente:</w:t>
      </w:r>
    </w:p>
    <w:p w:rsidRPr="00824CAC" w:rsidR="00824CAC" w:rsidP="00824CAC" w:rsidRDefault="00824CAC" w14:paraId="7E3F762B" w14:textId="77777777">
      <w:pPr>
        <w:tabs>
          <w:tab w:val="left" w:pos="2160"/>
        </w:tabs>
        <w:jc w:val="both"/>
      </w:pPr>
    </w:p>
    <w:p w:rsidRPr="00824CAC" w:rsidR="00824CAC" w:rsidP="00824CAC" w:rsidRDefault="00824CAC" w14:paraId="63A54362" w14:textId="77777777">
      <w:pPr>
        <w:tabs>
          <w:tab w:val="left" w:pos="2160"/>
        </w:tabs>
        <w:ind w:left="1418"/>
        <w:jc w:val="both"/>
        <w:rPr>
          <w:lang w:val="es-MX"/>
        </w:rPr>
      </w:pPr>
      <w:r w:rsidRPr="00824CAC">
        <w:rPr>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824CAC">
        <w:rPr>
          <w:lang w:val="es-MX"/>
        </w:rPr>
        <w:t>N.°</w:t>
      </w:r>
      <w:proofErr w:type="spellEnd"/>
      <w:r w:rsidRPr="00824CAC">
        <w:rPr>
          <w:lang w:val="es-MX"/>
        </w:rPr>
        <w:t xml:space="preserve"> 25398 se establece que “En todo lo que no esté previsto en la Ley y en la presente, rigen supletoriamente las disposiciones de los Códigos de Procedimientos Civiles y Penales”.”</w:t>
      </w:r>
    </w:p>
    <w:p w:rsidRPr="00824CAC" w:rsidR="00824CAC" w:rsidP="00824CAC" w:rsidRDefault="00824CAC" w14:paraId="5616F8DE" w14:textId="2C11E1DF">
      <w:pPr>
        <w:tabs>
          <w:tab w:val="left" w:pos="2160"/>
        </w:tabs>
        <w:ind w:left="1418"/>
        <w:jc w:val="right"/>
      </w:pPr>
      <w:r w:rsidRPr="5B44B9B2" w:rsidR="38688DF4">
        <w:rPr>
          <w:lang w:val="es-MX"/>
        </w:rPr>
        <w:t>[</w:t>
      </w:r>
      <w:r w:rsidRPr="5B44B9B2" w:rsidR="055E1F7D">
        <w:rPr>
          <w:lang w:val="es-MX"/>
        </w:rPr>
        <w:t>...................................................</w:t>
      </w:r>
      <w:r w:rsidRPr="5B44B9B2" w:rsidR="38688DF4">
        <w:rPr>
          <w:lang w:val="es-MX"/>
        </w:rPr>
        <w:t>]</w:t>
      </w:r>
    </w:p>
    <w:p w:rsidRPr="00824CAC" w:rsidR="00824CAC" w:rsidP="00824CAC" w:rsidRDefault="00824CAC" w14:paraId="4A563690" w14:textId="77777777">
      <w:pPr>
        <w:tabs>
          <w:tab w:val="left" w:pos="2160"/>
        </w:tabs>
        <w:jc w:val="both"/>
      </w:pPr>
      <w:r w:rsidRPr="00824CAC">
        <w:rPr>
          <w:lang w:val="es-MX"/>
        </w:rPr>
        <w:t> </w:t>
      </w:r>
    </w:p>
    <w:p w:rsidRPr="00824CAC" w:rsidR="00824CAC" w:rsidP="00824CAC" w:rsidRDefault="00824CAC" w14:paraId="68780AF3" w14:textId="77777777">
      <w:pPr>
        <w:tabs>
          <w:tab w:val="left" w:pos="2160"/>
        </w:tabs>
        <w:jc w:val="both"/>
      </w:pPr>
      <w:r w:rsidRPr="00824CAC">
        <w:t>De la misma forma, el Tribunal Constitucional agrega lo siguiente:</w:t>
      </w:r>
    </w:p>
    <w:p w:rsidRPr="00824CAC" w:rsidR="00824CAC" w:rsidP="00824CAC" w:rsidRDefault="00824CAC" w14:paraId="604907E8" w14:textId="77777777">
      <w:pPr>
        <w:tabs>
          <w:tab w:val="left" w:pos="2160"/>
        </w:tabs>
        <w:jc w:val="both"/>
      </w:pPr>
    </w:p>
    <w:p w:rsidRPr="00824CAC" w:rsidR="00824CAC" w:rsidP="00824CAC" w:rsidRDefault="00824CAC" w14:paraId="6CC1443E" w14:textId="77777777">
      <w:pPr>
        <w:tabs>
          <w:tab w:val="left" w:pos="2160"/>
        </w:tabs>
        <w:ind w:left="1418"/>
        <w:jc w:val="both"/>
        <w:rPr>
          <w:lang w:val="es-MX"/>
        </w:rPr>
      </w:pPr>
      <w:r w:rsidRPr="00824CAC">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824CAC" w:rsidR="00824CAC" w:rsidP="00824CAC" w:rsidRDefault="00824CAC" w14:paraId="4D63ED1E" w14:textId="403C418D">
      <w:pPr>
        <w:tabs>
          <w:tab w:val="left" w:pos="2160"/>
        </w:tabs>
        <w:ind w:left="1418"/>
        <w:jc w:val="right"/>
      </w:pPr>
      <w:r w:rsidRPr="5B44B9B2" w:rsidR="38688DF4">
        <w:rPr>
          <w:lang w:val="es-MX"/>
        </w:rPr>
        <w:t>[</w:t>
      </w:r>
      <w:r w:rsidRPr="5B44B9B2" w:rsidR="69AF5F2E">
        <w:rPr>
          <w:lang w:val="es-MX"/>
        </w:rPr>
        <w:t>...................................................</w:t>
      </w:r>
      <w:r w:rsidRPr="5B44B9B2" w:rsidR="38688DF4">
        <w:rPr>
          <w:lang w:val="es-MX"/>
        </w:rPr>
        <w:t>]</w:t>
      </w:r>
    </w:p>
    <w:p w:rsidRPr="00824CAC" w:rsidR="00824CAC" w:rsidP="00824CAC" w:rsidRDefault="00824CAC" w14:paraId="0D8C75A3" w14:textId="77777777">
      <w:pPr>
        <w:tabs>
          <w:tab w:val="left" w:pos="2160"/>
        </w:tabs>
        <w:jc w:val="both"/>
      </w:pPr>
    </w:p>
    <w:p w:rsidRPr="00824CAC" w:rsidR="00824CAC" w:rsidP="00824CAC" w:rsidRDefault="00824CAC" w14:paraId="6089AA9B" w14:textId="77777777">
      <w:pPr>
        <w:tabs>
          <w:tab w:val="left" w:pos="2160"/>
        </w:tabs>
        <w:jc w:val="both"/>
      </w:pPr>
      <w:r w:rsidRPr="00824CAC">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824CAC" w:rsidR="00824CAC" w:rsidP="00824CAC" w:rsidRDefault="00824CAC" w14:paraId="1C62E596" w14:textId="77777777">
      <w:pPr>
        <w:tabs>
          <w:tab w:val="left" w:pos="2160"/>
        </w:tabs>
        <w:jc w:val="both"/>
      </w:pPr>
    </w:p>
    <w:p w:rsidRPr="00824CAC" w:rsidR="00824CAC" w:rsidP="00824CAC" w:rsidRDefault="00824CAC" w14:paraId="190E66D7" w14:textId="77777777">
      <w:pPr>
        <w:tabs>
          <w:tab w:val="left" w:pos="2160"/>
        </w:tabs>
        <w:jc w:val="both"/>
        <w:rPr>
          <w:lang w:val="es-PE"/>
        </w:rPr>
      </w:pPr>
      <w:r w:rsidRPr="00824CAC">
        <w:t xml:space="preserve">En el presente caso, </w:t>
      </w:r>
      <w:r w:rsidRPr="00824CAC">
        <w:rPr>
          <w:lang w:val="es-PE"/>
        </w:rPr>
        <w:t xml:space="preserve">según se aprecia de los actuados, la reclamante adjunta a su reclamo fotografías del lugar de los hechos. En dichas tomas se aprecia una piedra colocada al lado de una vía de tránsito vehicular en medio de la noche. En ese sentido, se puede inferir que dicha piedra es la que ocasionó el siniestro. No obstante, no se aprecia medio probatorio alguno (directo o indirecto) que permita inferir el estado de peligro en el que alude haberse encontrado. </w:t>
      </w:r>
    </w:p>
    <w:p w:rsidRPr="00824CAC" w:rsidR="00824CAC" w:rsidP="00824CAC" w:rsidRDefault="00824CAC" w14:paraId="588BF42F" w14:textId="77777777">
      <w:pPr>
        <w:tabs>
          <w:tab w:val="left" w:pos="2160"/>
        </w:tabs>
        <w:jc w:val="both"/>
        <w:rPr>
          <w:lang w:val="es-PE"/>
        </w:rPr>
      </w:pPr>
    </w:p>
    <w:p w:rsidRPr="00824CAC" w:rsidR="00824CAC" w:rsidP="00824CAC" w:rsidRDefault="00824CAC" w14:paraId="0C23A41E" w14:textId="77777777">
      <w:pPr>
        <w:tabs>
          <w:tab w:val="left" w:pos="2160"/>
        </w:tabs>
        <w:jc w:val="both"/>
        <w:rPr>
          <w:lang w:val="es-PE"/>
        </w:rPr>
      </w:pPr>
      <w:r w:rsidRPr="00824CAC">
        <w:rPr>
          <w:lang w:val="es-PE"/>
        </w:rPr>
        <w:t>En consecuencia, atendiendo a lo dispuesto en el artículo 196 del Código Procesal Civil, aplicable supletoriamente al presente caso, no resulta posible tener como un hecho probado lo alegado por la reclamante.</w:t>
      </w:r>
    </w:p>
    <w:p w:rsidRPr="00824CAC" w:rsidR="00824CAC" w:rsidP="00824CAC" w:rsidRDefault="00824CAC" w14:paraId="4E5BBBBC" w14:textId="77777777">
      <w:pPr>
        <w:tabs>
          <w:tab w:val="left" w:pos="2160"/>
        </w:tabs>
        <w:jc w:val="both"/>
        <w:rPr>
          <w:lang w:val="es-PE"/>
        </w:rPr>
      </w:pPr>
    </w:p>
    <w:p w:rsidRPr="00824CAC" w:rsidR="00824CAC" w:rsidP="00824CAC" w:rsidRDefault="00824CAC" w14:paraId="303DF4EA" w14:textId="77777777">
      <w:pPr>
        <w:tabs>
          <w:tab w:val="left" w:pos="2160"/>
        </w:tabs>
        <w:jc w:val="both"/>
        <w:rPr>
          <w:lang w:val="es-PE"/>
        </w:rPr>
      </w:pPr>
      <w:r w:rsidRPr="00824CAC">
        <w:rPr>
          <w:b/>
          <w:u w:val="single"/>
          <w:lang w:val="es-PE"/>
        </w:rPr>
        <w:t>Noveno:</w:t>
      </w:r>
      <w:r w:rsidRPr="00824CAC">
        <w:rPr>
          <w:lang w:val="es-PE"/>
        </w:rPr>
        <w:t xml:space="preserve">  Que, atendiendo a lo señalado anteriormente, debemos recordar que la aseguradora afirmó que el agravamiento del riesgo por parte de la reclamante lo exime de ofrecer cobertura respecto del daño producido por dicha conducta de la reclamante; es decir, avanzar con su vehículo pese a haberse encontrado ante un siniestro. </w:t>
      </w:r>
    </w:p>
    <w:p w:rsidRPr="00824CAC" w:rsidR="00824CAC" w:rsidP="00824CAC" w:rsidRDefault="00824CAC" w14:paraId="53E971C6" w14:textId="77777777">
      <w:pPr>
        <w:tabs>
          <w:tab w:val="left" w:pos="2160"/>
        </w:tabs>
        <w:jc w:val="both"/>
        <w:rPr>
          <w:lang w:val="es-PE"/>
        </w:rPr>
      </w:pPr>
    </w:p>
    <w:p w:rsidRPr="00824CAC" w:rsidR="00824CAC" w:rsidP="00824CAC" w:rsidRDefault="00824CAC" w14:paraId="3DBE9EAF" w14:textId="77777777">
      <w:pPr>
        <w:tabs>
          <w:tab w:val="left" w:pos="2160"/>
        </w:tabs>
        <w:jc w:val="both"/>
        <w:rPr>
          <w:lang w:val="es-PE"/>
        </w:rPr>
      </w:pPr>
      <w:r w:rsidRPr="00824CAC">
        <w:rPr>
          <w:lang w:val="es-PE"/>
        </w:rPr>
        <w:t>Así pues, debido a que no se ha determinado que exista causa que justifique la conducta de la reclamante, tal como se ha señalado anteriormente, resulta de aplicación lo establecido en la póliza respecto de las reglas de comunicación del siniestro, tal como se señaló en el considerando SÉTIMO de la presente resolución. En ese sentido, considerando que la aseguradora ha ofrecido cobertura respecto del daño identificado como producto directo del siniestro (golpe del vehículo con la piedra en la vía), no resulta atendible la solicitud de la reclamante respecto del daño producido como consecuencia de su decisión de seguir avanzando con su vehículo luego de la ocurrencia del siniestro, hecho que originó una agravación del riesgo que no resulta amparado en la cobertura ofrecida por la aseguradora.</w:t>
      </w:r>
    </w:p>
    <w:p w:rsidRPr="00824CAC" w:rsidR="00824CAC" w:rsidP="00824CAC" w:rsidRDefault="00824CAC" w14:paraId="54DA6CAD" w14:textId="77777777">
      <w:pPr>
        <w:tabs>
          <w:tab w:val="left" w:pos="2160"/>
        </w:tabs>
        <w:jc w:val="both"/>
        <w:rPr>
          <w:lang w:val="es-PE"/>
        </w:rPr>
      </w:pPr>
    </w:p>
    <w:p w:rsidRPr="00824CAC" w:rsidR="00824CAC" w:rsidP="00824CAC" w:rsidRDefault="00824CAC" w14:paraId="5A87FF2A" w14:textId="77777777">
      <w:pPr>
        <w:tabs>
          <w:tab w:val="left" w:pos="2160"/>
        </w:tabs>
        <w:jc w:val="both"/>
        <w:rPr>
          <w:b/>
          <w:lang w:val="es-PE"/>
        </w:rPr>
      </w:pPr>
      <w:r w:rsidRPr="00824CAC">
        <w:rPr>
          <w:b/>
          <w:lang w:val="es-PE"/>
        </w:rPr>
        <w:t xml:space="preserve">Atendiendo a lo expresado, este colegiado </w:t>
      </w:r>
      <w:r w:rsidRPr="00824CAC">
        <w:rPr>
          <w:b/>
        </w:rPr>
        <w:t>concluye su apreciación razonada y conjunta al amparo de lo establecido en su Reglamento, por lo que</w:t>
      </w:r>
      <w:r w:rsidRPr="00824CAC">
        <w:rPr>
          <w:b/>
          <w:lang w:val="es-PE"/>
        </w:rPr>
        <w:t xml:space="preserve"> resuelve:</w:t>
      </w:r>
    </w:p>
    <w:p w:rsidRPr="00824CAC" w:rsidR="00824CAC" w:rsidP="00824CAC" w:rsidRDefault="00824CAC" w14:paraId="2E54D1B0" w14:textId="77777777">
      <w:pPr>
        <w:tabs>
          <w:tab w:val="left" w:pos="2160"/>
        </w:tabs>
        <w:jc w:val="both"/>
      </w:pPr>
    </w:p>
    <w:p w:rsidRPr="00824CAC" w:rsidR="00824CAC" w:rsidP="00824CAC" w:rsidRDefault="00824CAC" w14:paraId="06FD2834" w14:textId="5F01509C">
      <w:pPr>
        <w:tabs>
          <w:tab w:val="left" w:pos="2160"/>
        </w:tabs>
        <w:jc w:val="both"/>
        <w:rPr>
          <w:lang w:val="es-PE"/>
        </w:rPr>
      </w:pPr>
      <w:r w:rsidRPr="5B44B9B2" w:rsidR="38688DF4">
        <w:rPr>
          <w:lang w:val="es-PE"/>
        </w:rPr>
        <w:t xml:space="preserve">Declarar </w:t>
      </w:r>
      <w:r w:rsidRPr="5B44B9B2" w:rsidR="38688DF4">
        <w:rPr>
          <w:b w:val="1"/>
          <w:bCs w:val="1"/>
          <w:lang w:val="es-PE"/>
        </w:rPr>
        <w:t xml:space="preserve">INFUNDADA </w:t>
      </w:r>
      <w:r w:rsidRPr="5B44B9B2" w:rsidR="38688DF4">
        <w:rPr>
          <w:lang w:val="es-PE"/>
        </w:rPr>
        <w:t xml:space="preserve">la reclamación interpuesta por doña </w:t>
      </w:r>
      <w:r w:rsidRPr="5B44B9B2" w:rsidR="1D941232">
        <w:rPr>
          <w:b w:val="1"/>
          <w:bCs w:val="1"/>
          <w:lang w:val="es-PE"/>
        </w:rPr>
        <w:t>.........................................</w:t>
      </w:r>
      <w:r w:rsidRPr="5B44B9B2" w:rsidR="38688DF4">
        <w:rPr>
          <w:b w:val="1"/>
          <w:bCs w:val="1"/>
        </w:rPr>
        <w:t xml:space="preserve"> </w:t>
      </w:r>
      <w:r w:rsidRPr="5B44B9B2" w:rsidR="38688DF4">
        <w:rPr>
          <w:lang w:val="es-PE"/>
        </w:rPr>
        <w:t xml:space="preserve">contra </w:t>
      </w:r>
      <w:r w:rsidRPr="5B44B9B2" w:rsidR="6DA6944B">
        <w:rPr>
          <w:b w:val="1"/>
          <w:bCs w:val="1"/>
          <w:lang w:val="es-PE"/>
        </w:rPr>
        <w:t>..............................................................................</w:t>
      </w:r>
      <w:r w:rsidRPr="5B44B9B2" w:rsidR="38688DF4">
        <w:rPr>
          <w:lang w:val="es-PE"/>
        </w:rPr>
        <w:t>, dejando a salvo el derecho de la reclamante de acudir ante las instancias que estime pertinente.</w:t>
      </w:r>
    </w:p>
    <w:p w:rsidRPr="00824CAC" w:rsidR="00670CA7" w:rsidP="00DF67C8" w:rsidRDefault="00670CA7" w14:paraId="03D6D2E6" w14:textId="77777777">
      <w:pPr>
        <w:outlineLvl w:val="0"/>
        <w:rPr>
          <w:lang w:val="es-PE"/>
        </w:rPr>
      </w:pPr>
    </w:p>
    <w:p w:rsidRPr="00824CAC" w:rsidR="001631D6" w:rsidP="00F202DC" w:rsidRDefault="00F15FBA" w14:paraId="48C7895B" w14:textId="45CD98B6">
      <w:pPr>
        <w:jc w:val="right"/>
        <w:outlineLvl w:val="0"/>
        <w:rPr>
          <w:lang w:val="es-PE"/>
        </w:rPr>
      </w:pPr>
      <w:r w:rsidRPr="00824CAC">
        <w:rPr>
          <w:lang w:val="es-PE"/>
        </w:rPr>
        <w:t>Lima,</w:t>
      </w:r>
      <w:r w:rsidRPr="00824CAC" w:rsidR="00B12885">
        <w:rPr>
          <w:lang w:val="es-PE"/>
        </w:rPr>
        <w:t xml:space="preserve"> </w:t>
      </w:r>
      <w:r w:rsidRPr="00824CAC" w:rsidR="005D3CA7">
        <w:rPr>
          <w:lang w:val="es-PE"/>
        </w:rPr>
        <w:t>2</w:t>
      </w:r>
      <w:r w:rsidRPr="00824CAC" w:rsidR="00CA6E20">
        <w:rPr>
          <w:lang w:val="es-PE"/>
        </w:rPr>
        <w:t>5</w:t>
      </w:r>
      <w:r w:rsidRPr="00824CAC" w:rsidR="00195646">
        <w:t xml:space="preserve"> </w:t>
      </w:r>
      <w:r w:rsidRPr="00824CAC">
        <w:rPr>
          <w:lang w:val="es-PE"/>
        </w:rPr>
        <w:t>de</w:t>
      </w:r>
      <w:r w:rsidRPr="00824CAC" w:rsidR="001631D6">
        <w:rPr>
          <w:lang w:val="es-PE"/>
        </w:rPr>
        <w:t xml:space="preserve"> </w:t>
      </w:r>
      <w:r w:rsidRPr="00824CAC" w:rsidR="00B12885">
        <w:rPr>
          <w:lang w:val="es-PE"/>
        </w:rPr>
        <w:t>marzo</w:t>
      </w:r>
      <w:r w:rsidRPr="00824CAC" w:rsidR="001631D6">
        <w:rPr>
          <w:lang w:val="es-PE"/>
        </w:rPr>
        <w:t xml:space="preserve"> </w:t>
      </w:r>
      <w:r w:rsidRPr="00824CAC">
        <w:rPr>
          <w:lang w:val="es-PE"/>
        </w:rPr>
        <w:t>de 20</w:t>
      </w:r>
      <w:r w:rsidRPr="00824CAC" w:rsidR="001631D6">
        <w:rPr>
          <w:lang w:val="es-PE"/>
        </w:rPr>
        <w:t>2</w:t>
      </w:r>
      <w:r w:rsidRPr="00824CAC" w:rsidR="00E82564">
        <w:rPr>
          <w:lang w:val="es-PE"/>
        </w:rPr>
        <w:t>4</w:t>
      </w:r>
    </w:p>
    <w:p w:rsidRPr="00824CAC" w:rsidR="00F202DC" w:rsidP="001631D6" w:rsidRDefault="00F202DC" w14:paraId="55EA6443" w14:textId="77777777">
      <w:pPr>
        <w:jc w:val="both"/>
      </w:pPr>
    </w:p>
    <w:p w:rsidRPr="00824CAC" w:rsidR="001631D6" w:rsidP="001631D6" w:rsidRDefault="001631D6" w14:paraId="54F717D9" w14:textId="77777777">
      <w:pPr>
        <w:jc w:val="both"/>
        <w:rPr>
          <w:b/>
          <w:bCs/>
          <w:i/>
          <w:iCs/>
          <w:lang w:val="es-ES_tradnl"/>
        </w:rPr>
      </w:pPr>
      <w:r w:rsidRPr="00824CAC">
        <w:rPr>
          <w:b/>
          <w:bCs/>
          <w:i/>
          <w:iCs/>
          <w:lang w:val="es-ES_tradnl"/>
        </w:rPr>
        <w:t>La Secretaría Técnica certifica que la presente resolución cuenta con el voto de los vocales cuyos nombres figuran en el presente documento.</w:t>
      </w:r>
    </w:p>
    <w:p w:rsidRPr="00824CAC" w:rsidR="001631D6" w:rsidP="001631D6" w:rsidRDefault="001631D6" w14:paraId="265ABE8B" w14:textId="77777777">
      <w:pPr>
        <w:jc w:val="both"/>
        <w:rPr>
          <w:b/>
          <w:bCs/>
          <w:i/>
          <w:iCs/>
          <w:lang w:val="es-ES_tradnl"/>
        </w:rPr>
      </w:pPr>
    </w:p>
    <w:p w:rsidRPr="00824CAC" w:rsidR="001631D6" w:rsidP="00356B1A" w:rsidRDefault="00356B1A" w14:paraId="024CA4C1" w14:textId="4785C9C9">
      <w:pPr>
        <w:spacing w:line="360" w:lineRule="auto"/>
        <w:jc w:val="center"/>
        <w:rPr>
          <w:b/>
          <w:bCs/>
        </w:rPr>
      </w:pPr>
      <w:r w:rsidRPr="00824CAC">
        <w:rPr>
          <w:b/>
          <w:bCs/>
        </w:rPr>
        <w:t xml:space="preserve">María Eugenia Valdez Fernández Baca – </w:t>
      </w:r>
      <w:proofErr w:type="gramStart"/>
      <w:r w:rsidRPr="00824CAC" w:rsidR="00D43CAB">
        <w:rPr>
          <w:b/>
          <w:bCs/>
        </w:rPr>
        <w:t>Presidente</w:t>
      </w:r>
      <w:proofErr w:type="gramEnd"/>
    </w:p>
    <w:p w:rsidRPr="00824CAC" w:rsidR="001631D6" w:rsidP="001631D6" w:rsidRDefault="001631D6" w14:paraId="515933D0" w14:textId="5FD7ECBB">
      <w:pPr>
        <w:spacing w:line="360" w:lineRule="auto"/>
        <w:jc w:val="center"/>
        <w:rPr>
          <w:b/>
          <w:bCs/>
        </w:rPr>
      </w:pPr>
      <w:r w:rsidRPr="00824CAC">
        <w:rPr>
          <w:b/>
          <w:bCs/>
        </w:rPr>
        <w:t xml:space="preserve">Rolando Eyzaguirre </w:t>
      </w:r>
      <w:proofErr w:type="spellStart"/>
      <w:r w:rsidRPr="00824CAC">
        <w:rPr>
          <w:b/>
          <w:bCs/>
        </w:rPr>
        <w:t>Maccan</w:t>
      </w:r>
      <w:proofErr w:type="spellEnd"/>
      <w:r w:rsidRPr="00824CAC">
        <w:rPr>
          <w:b/>
          <w:bCs/>
        </w:rPr>
        <w:t xml:space="preserve"> – </w:t>
      </w:r>
      <w:r w:rsidRPr="00824CAC" w:rsidR="003E6BA6">
        <w:rPr>
          <w:b/>
          <w:bCs/>
        </w:rPr>
        <w:t>Vocal</w:t>
      </w:r>
    </w:p>
    <w:p w:rsidRPr="00824CAC" w:rsidR="001631D6" w:rsidP="001631D6" w:rsidRDefault="00807D21" w14:paraId="4B70DE1B" w14:textId="0A8BEEE9">
      <w:pPr>
        <w:spacing w:line="360" w:lineRule="auto"/>
        <w:jc w:val="center"/>
        <w:rPr>
          <w:b/>
          <w:bCs/>
        </w:rPr>
      </w:pPr>
      <w:r w:rsidRPr="00824CAC">
        <w:rPr>
          <w:b/>
          <w:bCs/>
        </w:rPr>
        <w:t>Omar Alfaro Villanueva</w:t>
      </w:r>
      <w:r w:rsidRPr="00824CAC" w:rsidR="001631D6">
        <w:rPr>
          <w:b/>
          <w:bCs/>
        </w:rPr>
        <w:t xml:space="preserve"> – Vocal</w:t>
      </w:r>
    </w:p>
    <w:p w:rsidRPr="00824CAC" w:rsidR="00F15FBA" w:rsidP="00E03444" w:rsidRDefault="001631D6" w14:paraId="22C77427" w14:textId="498B9F06">
      <w:pPr>
        <w:spacing w:line="360" w:lineRule="auto"/>
        <w:jc w:val="center"/>
        <w:rPr>
          <w:lang w:val="es-MX"/>
        </w:rPr>
      </w:pPr>
      <w:r w:rsidRPr="00824CAC">
        <w:rPr>
          <w:b/>
          <w:bCs/>
        </w:rPr>
        <w:t>Gonzalo Abad del Busto - Vocal</w:t>
      </w:r>
    </w:p>
    <w:p w:rsidRPr="00824CA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E963B3">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963B3" w:rsidP="005F148C" w:rsidRDefault="00E963B3" w14:paraId="2BC6B6EB" w14:textId="77777777">
      <w:r>
        <w:separator/>
      </w:r>
    </w:p>
  </w:endnote>
  <w:endnote w:type="continuationSeparator" w:id="0">
    <w:p w:rsidR="00E963B3" w:rsidP="005F148C" w:rsidRDefault="00E963B3" w14:paraId="776C0AB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963B3" w:rsidP="005F148C" w:rsidRDefault="00E963B3" w14:paraId="152F8A21" w14:textId="77777777">
      <w:r>
        <w:separator/>
      </w:r>
    </w:p>
  </w:footnote>
  <w:footnote w:type="continuationSeparator" w:id="0">
    <w:p w:rsidR="00E963B3" w:rsidP="005F148C" w:rsidRDefault="00E963B3" w14:paraId="410148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7"/>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201040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228B0"/>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D3CA7"/>
    <w:rsid w:val="005E011F"/>
    <w:rsid w:val="005F1349"/>
    <w:rsid w:val="005F148C"/>
    <w:rsid w:val="005F1A32"/>
    <w:rsid w:val="00617F3E"/>
    <w:rsid w:val="00647AEE"/>
    <w:rsid w:val="00651449"/>
    <w:rsid w:val="00654115"/>
    <w:rsid w:val="00660432"/>
    <w:rsid w:val="00670CA7"/>
    <w:rsid w:val="0069382D"/>
    <w:rsid w:val="006A0CDE"/>
    <w:rsid w:val="006A1077"/>
    <w:rsid w:val="006D33B8"/>
    <w:rsid w:val="006F2C46"/>
    <w:rsid w:val="00712630"/>
    <w:rsid w:val="007224F7"/>
    <w:rsid w:val="007267ED"/>
    <w:rsid w:val="00734447"/>
    <w:rsid w:val="00741DC0"/>
    <w:rsid w:val="00742D07"/>
    <w:rsid w:val="007443F1"/>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24CAC"/>
    <w:rsid w:val="008322DC"/>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5205"/>
    <w:rsid w:val="00C77057"/>
    <w:rsid w:val="00C85630"/>
    <w:rsid w:val="00CA3CC6"/>
    <w:rsid w:val="00CA4FD6"/>
    <w:rsid w:val="00CA6E20"/>
    <w:rsid w:val="00CA72E7"/>
    <w:rsid w:val="00CB3025"/>
    <w:rsid w:val="00CB451A"/>
    <w:rsid w:val="00CB75B2"/>
    <w:rsid w:val="00CB7C37"/>
    <w:rsid w:val="00CD167D"/>
    <w:rsid w:val="00CF3742"/>
    <w:rsid w:val="00D01DEB"/>
    <w:rsid w:val="00D128FF"/>
    <w:rsid w:val="00D15C1E"/>
    <w:rsid w:val="00D2799E"/>
    <w:rsid w:val="00D301E0"/>
    <w:rsid w:val="00D43CAB"/>
    <w:rsid w:val="00D54969"/>
    <w:rsid w:val="00D55695"/>
    <w:rsid w:val="00D56839"/>
    <w:rsid w:val="00D765F1"/>
    <w:rsid w:val="00D77EF8"/>
    <w:rsid w:val="00D86E87"/>
    <w:rsid w:val="00D9006E"/>
    <w:rsid w:val="00DA7CB9"/>
    <w:rsid w:val="00DB3366"/>
    <w:rsid w:val="00DC3623"/>
    <w:rsid w:val="00DD7EBB"/>
    <w:rsid w:val="00DE1284"/>
    <w:rsid w:val="00DF2BA4"/>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55E1F7D"/>
    <w:rsid w:val="1D941232"/>
    <w:rsid w:val="21035C01"/>
    <w:rsid w:val="3145B4C5"/>
    <w:rsid w:val="33A23C26"/>
    <w:rsid w:val="38688DF4"/>
    <w:rsid w:val="3B4D1486"/>
    <w:rsid w:val="5B44B9B2"/>
    <w:rsid w:val="69AF5F2E"/>
    <w:rsid w:val="6CCCB0D7"/>
    <w:rsid w:val="6DA69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2C58CF6-DFA1-4E66-BD51-0060EC56F6A8}"/>
</file>

<file path=customXml/itemProps3.xml><?xml version="1.0" encoding="utf-8"?>
<ds:datastoreItem xmlns:ds="http://schemas.openxmlformats.org/officeDocument/2006/customXml" ds:itemID="{43930575-21B6-4A79-936E-157C663F43C0}"/>
</file>

<file path=customXml/itemProps4.xml><?xml version="1.0" encoding="utf-8"?>
<ds:datastoreItem xmlns:ds="http://schemas.openxmlformats.org/officeDocument/2006/customXml" ds:itemID="{6CECE47E-CE7D-40B4-9126-D57663BB86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178</cp:revision>
  <cp:lastPrinted>2024-03-26T16:02:00Z</cp:lastPrinted>
  <dcterms:created xsi:type="dcterms:W3CDTF">2020-12-18T20:09:00Z</dcterms:created>
  <dcterms:modified xsi:type="dcterms:W3CDTF">2025-08-18T14:31:44Z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