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417A9" w:rsidR="009E1EB1" w:rsidP="00917F8C" w:rsidRDefault="00F15FBA" w14:paraId="1DFBD85E" w14:textId="0BB85E40">
      <w:pPr>
        <w:pStyle w:val="Ttulo"/>
        <w:outlineLvl w:val="0"/>
        <w:rPr>
          <w:lang w:val="es-PE"/>
        </w:rPr>
      </w:pPr>
      <w:r w:rsidRPr="007417A9">
        <w:rPr>
          <w:lang w:val="es-PE"/>
        </w:rPr>
        <w:t>RESOLUCIÓN N</w:t>
      </w:r>
      <w:r w:rsidRPr="007417A9" w:rsidR="001631D6">
        <w:rPr>
          <w:lang w:val="es-PE"/>
        </w:rPr>
        <w:t xml:space="preserve">° </w:t>
      </w:r>
      <w:r w:rsidRPr="007417A9" w:rsidR="003E6BA6">
        <w:rPr>
          <w:lang w:val="es-PE"/>
        </w:rPr>
        <w:t>0</w:t>
      </w:r>
      <w:r w:rsidRPr="007417A9" w:rsidR="005D3CA7">
        <w:rPr>
          <w:lang w:val="es-PE"/>
        </w:rPr>
        <w:t>5</w:t>
      </w:r>
      <w:r w:rsidRPr="007417A9" w:rsidR="009C3232">
        <w:rPr>
          <w:lang w:val="es-PE"/>
        </w:rPr>
        <w:t>4</w:t>
      </w:r>
      <w:r w:rsidRPr="007417A9" w:rsidR="001631D6">
        <w:rPr>
          <w:lang w:val="es-PE"/>
        </w:rPr>
        <w:t>/2</w:t>
      </w:r>
      <w:r w:rsidRPr="007417A9" w:rsidR="002B50D6">
        <w:rPr>
          <w:lang w:val="es-PE"/>
        </w:rPr>
        <w:t>4</w:t>
      </w:r>
    </w:p>
    <w:p w:rsidRPr="007417A9" w:rsidR="00824CAC" w:rsidP="00824CAC" w:rsidRDefault="00824CAC" w14:paraId="18FA34E0" w14:textId="77777777">
      <w:pPr>
        <w:rPr>
          <w:rStyle w:val="Textoennegrita"/>
        </w:rPr>
      </w:pPr>
    </w:p>
    <w:p w:rsidRPr="007417A9" w:rsidR="007417A9" w:rsidP="007417A9" w:rsidRDefault="007417A9" w14:paraId="471B4B26" w14:textId="77777777">
      <w:pPr>
        <w:jc w:val="both"/>
        <w:outlineLvl w:val="0"/>
        <w:rPr>
          <w:b/>
          <w:bCs/>
          <w:lang w:val="es-PE"/>
        </w:rPr>
      </w:pPr>
      <w:r w:rsidRPr="007417A9">
        <w:rPr>
          <w:b/>
          <w:bCs/>
          <w:lang w:val="es-PE"/>
        </w:rPr>
        <w:t>Vistos:</w:t>
      </w:r>
    </w:p>
    <w:p w:rsidRPr="007417A9" w:rsidR="007417A9" w:rsidP="007417A9" w:rsidRDefault="007417A9" w14:paraId="7D1ECE76" w14:textId="77777777">
      <w:pPr>
        <w:jc w:val="both"/>
        <w:rPr>
          <w:b/>
          <w:bCs/>
          <w:lang w:val="es-PE"/>
        </w:rPr>
      </w:pPr>
    </w:p>
    <w:p w:rsidRPr="007417A9" w:rsidR="007417A9" w:rsidP="0F70149C" w:rsidRDefault="007417A9" w14:paraId="21E38705" w14:textId="60DA7C66">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F70149C" w:rsidR="007417A9">
        <w:rPr>
          <w:lang w:val="es-PE"/>
        </w:rPr>
        <w:t xml:space="preserve">Que, con fecha 10 de octubre de 2023 doña </w:t>
      </w:r>
      <w:r w:rsidRPr="0F70149C" w:rsidR="00C3EA28">
        <w:rPr>
          <w:lang w:val="es-PE"/>
        </w:rPr>
        <w:t>...............................................................................</w:t>
      </w:r>
      <w:r w:rsidRPr="0F70149C" w:rsidR="007417A9">
        <w:rPr>
          <w:lang w:val="es-PE"/>
        </w:rPr>
        <w:t xml:space="preserve">, interpone reclamación ante esta Defensoría del Asegurado (DEFASEG) solicitando que </w:t>
      </w:r>
      <w:r w:rsidRPr="0F70149C" w:rsidR="4752652B">
        <w:rPr>
          <w:lang w:val="es-PE"/>
        </w:rPr>
        <w:t>........................................................................</w:t>
      </w:r>
      <w:r w:rsidRPr="0F70149C" w:rsidR="007417A9">
        <w:rPr>
          <w:lang w:val="es-PE"/>
        </w:rPr>
        <w:t xml:space="preserve"> </w:t>
      </w:r>
      <w:r w:rsidR="007417A9">
        <w:rPr/>
        <w:t>(</w:t>
      </w:r>
      <w:r w:rsidR="690366D0">
        <w:rPr/>
        <w:t>..............</w:t>
      </w:r>
      <w:r w:rsidR="007417A9">
        <w:rPr/>
        <w:t>)</w:t>
      </w:r>
      <w:r w:rsidRPr="0F70149C" w:rsidR="007417A9">
        <w:rPr>
          <w:lang w:val="es-PE"/>
        </w:rPr>
        <w:t xml:space="preserve"> le otorgue cobertura de seguro por el fallecimiento de su cónyuge el asegurado </w:t>
      </w:r>
      <w:r w:rsidRPr="0F70149C" w:rsidR="021DB632">
        <w:rPr>
          <w:lang w:val="es-PE"/>
        </w:rPr>
        <w:t>...............................................................................</w:t>
      </w:r>
      <w:r w:rsidRPr="0F70149C" w:rsidR="007417A9">
        <w:rPr>
          <w:lang w:val="es-PE"/>
        </w:rPr>
        <w:t xml:space="preserve">; conforme a la póliza de seguro de desgravamen </w:t>
      </w:r>
      <w:r w:rsidRPr="0F70149C" w:rsidR="007417A9">
        <w:rPr>
          <w:lang w:val="es-PE"/>
        </w:rPr>
        <w:t>Nº</w:t>
      </w:r>
      <w:r w:rsidRPr="0F70149C" w:rsidR="007417A9">
        <w:rPr>
          <w:lang w:val="es-PE"/>
        </w:rPr>
        <w:t xml:space="preserve"> </w:t>
      </w:r>
      <w:r w:rsidRPr="0F70149C" w:rsidR="5C5EBD49">
        <w:rPr>
          <w:lang w:val="es-PE"/>
        </w:rPr>
        <w:t>....................</w:t>
      </w:r>
      <w:r w:rsidRPr="0F70149C" w:rsidR="007417A9">
        <w:rPr>
          <w:lang w:val="es-PE"/>
        </w:rPr>
        <w:t xml:space="preserve">, contratada a través del BBVA Banco Continental al adquirir el contrato de crédito hipotecario CONTICASA. </w:t>
      </w:r>
    </w:p>
    <w:p w:rsidRPr="007417A9" w:rsidR="007417A9" w:rsidP="007417A9" w:rsidRDefault="007417A9" w14:paraId="30BF91E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417A9" w:rsidR="007417A9" w:rsidP="007417A9" w:rsidRDefault="007417A9" w14:paraId="404DF309" w14:textId="77777777">
      <w:pPr>
        <w:jc w:val="both"/>
        <w:rPr>
          <w:rFonts w:eastAsia="Arial Unicode MS"/>
          <w:lang w:val="es-PE"/>
        </w:rPr>
      </w:pPr>
      <w:r w:rsidRPr="007417A9">
        <w:rPr>
          <w:rFonts w:eastAsia="Arial Unicode MS"/>
          <w:lang w:val="es-PE"/>
        </w:rPr>
        <w:t>Que, la señalada reclamación cumple con los requisitos de materia y oportunidad establecidos en el Reglamento de la DEFASEG (http://www.defaseg.com.pe/reglamento.html);</w:t>
      </w:r>
    </w:p>
    <w:p w:rsidRPr="007417A9" w:rsidR="007417A9" w:rsidP="007417A9" w:rsidRDefault="007417A9" w14:paraId="0971741E" w14:textId="77777777">
      <w:pPr>
        <w:tabs>
          <w:tab w:val="left" w:pos="2160"/>
        </w:tabs>
        <w:jc w:val="both"/>
        <w:rPr>
          <w:lang w:val="es-PE"/>
        </w:rPr>
      </w:pPr>
    </w:p>
    <w:p w:rsidRPr="007417A9" w:rsidR="007417A9" w:rsidP="007417A9" w:rsidRDefault="007417A9" w14:paraId="6080603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7417A9">
        <w:rPr>
          <w:lang w:val="es-PE"/>
        </w:rPr>
        <w:t xml:space="preserve">Que, habiéndosele corrido traslado de la respectiva reclamación, la aseguradora presentó sus descargos y la documentación solicitada. </w:t>
      </w:r>
    </w:p>
    <w:p w:rsidRPr="007417A9" w:rsidR="007417A9" w:rsidP="007417A9" w:rsidRDefault="007417A9" w14:paraId="37F7019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417A9" w:rsidR="007417A9" w:rsidP="007417A9" w:rsidRDefault="007417A9" w14:paraId="1A056DE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7417A9">
        <w:rPr>
          <w:lang w:val="es-PE"/>
        </w:rPr>
        <w:t>Que el 18 de marzo de 2024 se realizó la correspondiente audiencia de vista con la participación virtual de ambas partes, oportunidad en la cual estas absolvieron las distintas preguntas formuladas por este colegiado, requiriéndose a la aseguradora presentar copia de la póliza grupal, y precisando la reclamante que su reclamo versa sobre el seguro desgravamen de un crédito hipotecario, mas no así sobre el seguro de desgravamen de una tarjeta de crédito.</w:t>
      </w:r>
    </w:p>
    <w:p w:rsidRPr="007417A9" w:rsidR="007417A9" w:rsidP="007417A9" w:rsidRDefault="007417A9" w14:paraId="5D56F60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417A9" w:rsidR="007417A9" w:rsidP="007417A9" w:rsidRDefault="007417A9" w14:paraId="6C29A869" w14:textId="77777777">
      <w:pPr>
        <w:jc w:val="both"/>
        <w:rPr>
          <w:lang w:val="es-PE"/>
        </w:rPr>
      </w:pPr>
      <w:r w:rsidRPr="007417A9">
        <w:rPr>
          <w:lang w:val="es-PE"/>
        </w:rPr>
        <w:t xml:space="preserve">Que, la reclamante sustenta su reclamo resumidamente en lo siguiente: a) Las causas del fallecimiento de su cónyuge todavía se encuentran en investigación por el Tercer Despacho de la Tercera Fiscalía Provincial Penal Corporativa de San Juan de Lurigancho de Lima Este, signado con la Carpeta Fiscal </w:t>
      </w:r>
      <w:proofErr w:type="spellStart"/>
      <w:r w:rsidRPr="007417A9">
        <w:rPr>
          <w:lang w:val="es-PE"/>
        </w:rPr>
        <w:t>Nº</w:t>
      </w:r>
      <w:proofErr w:type="spellEnd"/>
      <w:r w:rsidRPr="007417A9">
        <w:rPr>
          <w:lang w:val="es-PE"/>
        </w:rPr>
        <w:t xml:space="preserve"> 1534-2023; b) la aseguradora ha recogido información que aparece en el atestado policial, donde lo único cierto es que su cónyuge sufrió una caída cuando se encontraba bajando las empinadas escaleras de la “Discoteca Bar Rock”, pero en base a ello no se puede determinar cuál ha sido la real causa de su muerte; y si bien la necropsia señala hematoma subdural, esta no ha sido materia de análisis por un perito médico especializado que pueda determinar cuál fue la causa real del hematoma subdural que finalmente le produjo la muerte; c) la caída sufrida por su difunto esposo fue el día 12/11/2022 a las 02:17am, y la necropsia señala que el cuerpo ingresó para determinar la causa el día 13/11/2022 a las 08:00:54am, señalando que el tiempo aproximado de la muerte a la hora de la evaluación es entre 27 y 29 horas, por lo que él no falleció con la caída; d) en los videos se puede apreciar que después de la caída su cónyuge se encontraba con vida, y fueron los encargados de seguridad quienes no le prestaron apoyo inmediato, limitándose a sentarlo al costado de la puerta; por lo que no se trató de una muerte instantánea; es por ello que la investigación sigue en curso ante la fiscalía; d) si bien las exclusiones de la póliza no cubren los siniestros ocurridos a consecuencia directa o indirecta del sustancias tóxicas o alcohólicas, ello no ha sucedido en este caso, pues el fallecimiento de su cónyuge no se debió al consumo de alcohol; por ello solicita se haga efectivo el seguro adquirido por su cónyuge para cubrir las obligaciones hipotecarias con el BBVA Banco Continental a través del crédito hipotecario </w:t>
      </w:r>
      <w:proofErr w:type="spellStart"/>
      <w:r w:rsidRPr="007417A9">
        <w:rPr>
          <w:lang w:val="es-PE"/>
        </w:rPr>
        <w:t>Conticasa</w:t>
      </w:r>
      <w:proofErr w:type="spellEnd"/>
      <w:r w:rsidRPr="007417A9">
        <w:rPr>
          <w:lang w:val="es-PE"/>
        </w:rPr>
        <w:t>.</w:t>
      </w:r>
    </w:p>
    <w:p w:rsidRPr="007417A9" w:rsidR="007417A9" w:rsidP="007417A9" w:rsidRDefault="007417A9" w14:paraId="152EA8A0" w14:textId="77777777">
      <w:pPr>
        <w:rPr>
          <w:lang w:val="es-PE"/>
        </w:rPr>
      </w:pPr>
    </w:p>
    <w:p w:rsidRPr="007417A9" w:rsidR="007417A9" w:rsidP="0F70149C" w:rsidRDefault="007417A9" w14:paraId="3A07CBEE" w14:textId="38EBE3B4">
      <w:pPr>
        <w:pStyle w:val="paragraph"/>
        <w:jc w:val="both"/>
        <w:textAlignment w:val="baseline"/>
        <w:rPr>
          <w:rFonts w:eastAsia="" w:eastAsiaTheme="majorEastAsia"/>
          <w:lang w:val="es-PE"/>
        </w:rPr>
      </w:pPr>
      <w:r w:rsidRPr="0F70149C" w:rsidR="007417A9">
        <w:rPr>
          <w:lang w:val="es-PE"/>
        </w:rPr>
        <w:t>Que, por su parte la aseguradora expresó en sus descargos resumidamente lo siguiente</w:t>
      </w:r>
      <w:r w:rsidRPr="0F70149C" w:rsidR="007417A9">
        <w:rPr>
          <w:rStyle w:val="Ttulo2Car"/>
          <w:rFonts w:ascii="Times New Roman" w:hAnsi="Times New Roman" w:cs="Times New Roman"/>
          <w:sz w:val="24"/>
          <w:szCs w:val="24"/>
          <w:lang w:val="es-PE"/>
        </w:rPr>
        <w:t xml:space="preserve"> </w:t>
      </w:r>
      <w:r w:rsidRPr="0F70149C" w:rsidR="007417A9">
        <w:rPr>
          <w:rFonts w:eastAsia="" w:eastAsiaTheme="majorEastAsia"/>
          <w:lang w:val="es-PE"/>
        </w:rPr>
        <w:t xml:space="preserve">a) rechazaron la cobertura de seguro debido a que las circunstancias que rodearon el siniestro se encuentra dentro de los supuestos de exclusión, pues el asegurado falleció como consecuencia de una caída estando bajo altos niveles de alcohol; b) según el informe policial en donde aprecian las causas de fallecimiento se señala:  “(…) </w:t>
      </w:r>
      <w:r w:rsidRPr="0F70149C" w:rsidR="007417A9">
        <w:rPr>
          <w:rFonts w:eastAsia="" w:eastAsiaTheme="majorEastAsia"/>
          <w:i w:val="1"/>
          <w:iCs w:val="1"/>
          <w:lang w:val="es-PE"/>
        </w:rPr>
        <w:t xml:space="preserve">la muerte del fallecido </w:t>
      </w:r>
      <w:r w:rsidRPr="0F70149C" w:rsidR="021DB632">
        <w:rPr>
          <w:rFonts w:eastAsia="" w:eastAsiaTheme="majorEastAsia"/>
          <w:i w:val="1"/>
          <w:iCs w:val="1"/>
          <w:lang w:val="es-PE"/>
        </w:rPr>
        <w:t>...............................................................................</w:t>
      </w:r>
      <w:r w:rsidRPr="0F70149C" w:rsidR="007417A9">
        <w:rPr>
          <w:rFonts w:eastAsia="" w:eastAsiaTheme="majorEastAsia"/>
          <w:i w:val="1"/>
          <w:iCs w:val="1"/>
          <w:lang w:val="es-PE"/>
        </w:rPr>
        <w:t xml:space="preserve"> (51), fue de </w:t>
      </w:r>
      <w:r w:rsidRPr="0F70149C" w:rsidR="007417A9">
        <w:rPr>
          <w:rFonts w:eastAsia="" w:eastAsiaTheme="majorEastAsia"/>
          <w:b w:val="1"/>
          <w:bCs w:val="1"/>
          <w:i w:val="1"/>
          <w:iCs w:val="1"/>
          <w:lang w:val="es-PE"/>
        </w:rPr>
        <w:t xml:space="preserve">manera accidental y negligente por el mismo occiso, ya que, de acuerdo a los videos presentados, se visualizó al mencionado en presunto signo de estado de ebriedad </w:t>
      </w:r>
      <w:r w:rsidRPr="0F70149C" w:rsidR="007417A9">
        <w:rPr>
          <w:rFonts w:eastAsia="" w:eastAsiaTheme="majorEastAsia"/>
          <w:i w:val="1"/>
          <w:iCs w:val="1"/>
          <w:lang w:val="es-PE"/>
        </w:rPr>
        <w:t xml:space="preserve">ya que permaneció alrededor de tres horas en el interior de la Discoteca “Bar Rock”, así mismo, al salir de dicho local, </w:t>
      </w:r>
      <w:r w:rsidRPr="0F70149C" w:rsidR="007417A9">
        <w:rPr>
          <w:rFonts w:eastAsia="" w:eastAsiaTheme="majorEastAsia"/>
          <w:b w:val="1"/>
          <w:bCs w:val="1"/>
          <w:i w:val="1"/>
          <w:iCs w:val="1"/>
          <w:lang w:val="es-PE"/>
        </w:rPr>
        <w:t>mostró inestabilidad y desequilibrio en su forma de caminar, originando que se cayera desde la escalera hacia el pavimento exterior, donde se golpeó la cabeza, el cual le produjo un Hematoma Subdural Traumatismo Cráneo Encefálico</w:t>
      </w:r>
      <w:r w:rsidRPr="0F70149C" w:rsidR="007417A9">
        <w:rPr>
          <w:rFonts w:eastAsia="" w:eastAsiaTheme="majorEastAsia"/>
          <w:i w:val="1"/>
          <w:iCs w:val="1"/>
          <w:lang w:val="es-PE"/>
        </w:rPr>
        <w:t>, siendo descrito detalladamente en el Informe pericial de necropsia médico legal N°003119-2022, donde se menciona las lesiones traumáticas, las cuales provocaron su muerte</w:t>
      </w:r>
      <w:r w:rsidRPr="0F70149C" w:rsidR="007417A9">
        <w:rPr>
          <w:rFonts w:eastAsia="" w:eastAsiaTheme="majorEastAsia"/>
          <w:lang w:val="es-PE"/>
        </w:rPr>
        <w:t>”; c) añaden que el dosaje etílico determinó la presencia de 2.99g de alcohol en la sangre, lo cual reafirma las declaraciones del informe policial; d) respecto a las afirmaciones de la reclamante sobre que el asegurado no falleció a consecuencia de la caída antes citada, reiteran que fue la caída la que provocó que el asegurado padezca de un hematoma subdural traumatismo cráneo encefálico, lo que produjo posteriormente el deceso; e) señalan que de no haberse encontrado el asegurado en estado de ebriedad no habría tenido esa caída accidental, pues ella fue generada por la desestabilidad del asegurado debido a los altos niveles de alcohol en la sangre; por lo que han rechazado la cobertura conforme a las exclusiones de la póliza que señalan que esta no cubre cuando el asegurado se encuentre bajo la influencia de alcohol, drogas o sonambulismos y esa situación sea el acto generador del siniestro.</w:t>
      </w:r>
    </w:p>
    <w:p w:rsidRPr="007417A9" w:rsidR="007417A9" w:rsidP="007417A9" w:rsidRDefault="007417A9" w14:paraId="58274014" w14:textId="77777777">
      <w:pPr>
        <w:pStyle w:val="paragraph"/>
        <w:jc w:val="both"/>
        <w:textAlignment w:val="baseline"/>
        <w:rPr>
          <w:rFonts w:eastAsiaTheme="majorEastAsia"/>
          <w:lang w:val="es-PE"/>
        </w:rPr>
      </w:pPr>
      <w:r w:rsidRPr="007417A9">
        <w:rPr>
          <w:rFonts w:eastAsiaTheme="majorEastAsia"/>
          <w:lang w:val="es-PE"/>
        </w:rPr>
        <w:t xml:space="preserve">Que, mediante comunicación de fecha 19 de marzo de 2024, la aseguradora solicitó se declare la improcedencia del reclamo, por exceder la cuantía de la DEFASEG, toda vez que el saldo insoluto de la deuda contraída por el asegurado, a la fecha de su fallecimiento, respecto del Crédito hipotecario </w:t>
      </w:r>
      <w:proofErr w:type="spellStart"/>
      <w:r w:rsidRPr="007417A9">
        <w:rPr>
          <w:rFonts w:eastAsiaTheme="majorEastAsia"/>
          <w:lang w:val="es-PE"/>
        </w:rPr>
        <w:t>Conticasa</w:t>
      </w:r>
      <w:proofErr w:type="spellEnd"/>
      <w:r w:rsidRPr="007417A9">
        <w:rPr>
          <w:rFonts w:eastAsiaTheme="majorEastAsia"/>
          <w:lang w:val="es-PE"/>
        </w:rPr>
        <w:t xml:space="preserve"> asciende a S/544,119, siendo ese el monto que la reclamante solicita sea cubierto por el seguro. </w:t>
      </w:r>
    </w:p>
    <w:p w:rsidRPr="007417A9" w:rsidR="007417A9" w:rsidP="007417A9" w:rsidRDefault="007417A9" w14:paraId="74D21834" w14:textId="77777777">
      <w:pPr>
        <w:jc w:val="both"/>
        <w:outlineLvl w:val="0"/>
        <w:rPr>
          <w:lang w:val="es-PE"/>
        </w:rPr>
      </w:pPr>
      <w:r w:rsidRPr="007417A9">
        <w:rPr>
          <w:rStyle w:val="Textoennegrita"/>
          <w:rFonts w:eastAsiaTheme="majorEastAsia"/>
          <w:lang w:val="es-PE"/>
        </w:rPr>
        <w:t>Considerando:</w:t>
      </w:r>
    </w:p>
    <w:p w:rsidRPr="007417A9" w:rsidR="007417A9" w:rsidP="007417A9" w:rsidRDefault="007417A9" w14:paraId="3AF77408" w14:textId="77777777">
      <w:pPr>
        <w:jc w:val="both"/>
        <w:rPr>
          <w:lang w:val="es-PE"/>
        </w:rPr>
      </w:pPr>
    </w:p>
    <w:p w:rsidRPr="007417A9" w:rsidR="007417A9" w:rsidP="007417A9" w:rsidRDefault="007417A9" w14:paraId="0F97CE70" w14:textId="77777777">
      <w:pPr>
        <w:jc w:val="both"/>
        <w:rPr>
          <w:lang w:val="es-PE"/>
        </w:rPr>
      </w:pPr>
      <w:r w:rsidRPr="007417A9">
        <w:rPr>
          <w:b/>
          <w:u w:val="single"/>
          <w:lang w:val="es-PE"/>
        </w:rPr>
        <w:t>Primero</w:t>
      </w:r>
      <w:r w:rsidRPr="007417A9">
        <w:rPr>
          <w:b/>
          <w:lang w:val="es-PE"/>
        </w:rPr>
        <w:t xml:space="preserve">: </w:t>
      </w:r>
      <w:r w:rsidRPr="007417A9">
        <w:rPr>
          <w:lang w:val="es-PE"/>
        </w:rPr>
        <w:t>Que, conforme a su Reglamento, la</w:t>
      </w:r>
      <w:r w:rsidRPr="007417A9">
        <w:rPr>
          <w:b/>
          <w:bCs/>
          <w:lang w:val="es-PE"/>
        </w:rPr>
        <w:t xml:space="preserve"> </w:t>
      </w:r>
      <w:r w:rsidRPr="007417A9">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417A9" w:rsidR="007417A9" w:rsidP="007417A9" w:rsidRDefault="007417A9" w14:paraId="4DD76618" w14:textId="77777777">
      <w:pPr>
        <w:jc w:val="both"/>
        <w:rPr>
          <w:rStyle w:val="Textoennegrita"/>
          <w:rFonts w:eastAsiaTheme="majorEastAsia"/>
          <w:b w:val="0"/>
        </w:rPr>
      </w:pPr>
    </w:p>
    <w:p w:rsidRPr="007417A9" w:rsidR="007417A9" w:rsidP="007417A9" w:rsidRDefault="007417A9" w14:paraId="5B748487" w14:textId="77777777">
      <w:pPr>
        <w:jc w:val="both"/>
        <w:rPr>
          <w:rStyle w:val="Textoennegrita"/>
          <w:rFonts w:eastAsiaTheme="majorEastAsia"/>
          <w:b w:val="0"/>
          <w:lang w:val="es-PE"/>
        </w:rPr>
      </w:pPr>
      <w:r w:rsidRPr="007417A9">
        <w:rPr>
          <w:rStyle w:val="Textoennegrita"/>
          <w:rFonts w:eastAsiaTheme="majorEastAsia"/>
          <w:u w:val="single"/>
          <w:lang w:val="es-PE"/>
        </w:rPr>
        <w:t>Segundo</w:t>
      </w:r>
      <w:r w:rsidRPr="007417A9">
        <w:rPr>
          <w:rStyle w:val="Textoennegrita"/>
          <w:rFonts w:eastAsiaTheme="majorEastAsia"/>
          <w:lang w:val="es-PE"/>
        </w:rPr>
        <w:t xml:space="preserve">: </w:t>
      </w:r>
      <w:r w:rsidRPr="007417A9">
        <w:rPr>
          <w:lang w:val="es-PE"/>
        </w:rPr>
        <w:t xml:space="preserve">Asimismo, </w:t>
      </w:r>
      <w:proofErr w:type="gramStart"/>
      <w:r w:rsidRPr="007417A9">
        <w:rPr>
          <w:lang w:val="es-PE"/>
        </w:rPr>
        <w:t>de acuerdo a</w:t>
      </w:r>
      <w:proofErr w:type="gramEnd"/>
      <w:r w:rsidRPr="007417A9">
        <w:rPr>
          <w:b/>
          <w:bCs/>
          <w:lang w:val="es-PE"/>
        </w:rPr>
        <w:t xml:space="preserve"> </w:t>
      </w:r>
      <w:r w:rsidRPr="007417A9">
        <w:rPr>
          <w:rStyle w:val="Textoennegrita"/>
          <w:rFonts w:eastAsiaTheme="majorEastAsi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w:t>
      </w:r>
    </w:p>
    <w:p w:rsidRPr="007417A9" w:rsidR="007417A9" w:rsidP="007417A9" w:rsidRDefault="007417A9" w14:paraId="200D18C5" w14:textId="77777777">
      <w:pPr>
        <w:jc w:val="both"/>
        <w:rPr>
          <w:rStyle w:val="Textoennegrita"/>
          <w:rFonts w:eastAsiaTheme="majorEastAsia"/>
          <w:b w:val="0"/>
          <w:lang w:val="es-PE"/>
        </w:rPr>
      </w:pPr>
    </w:p>
    <w:p w:rsidRPr="007417A9" w:rsidR="007417A9" w:rsidP="007417A9" w:rsidRDefault="007417A9" w14:paraId="317BFC5C" w14:textId="77777777">
      <w:pPr>
        <w:jc w:val="both"/>
      </w:pPr>
      <w:r w:rsidRPr="007417A9">
        <w:rPr>
          <w:rStyle w:val="Textoennegrita"/>
          <w:rFonts w:eastAsiaTheme="majorEastAsia"/>
          <w:u w:val="single"/>
          <w:lang w:val="es-PE"/>
        </w:rPr>
        <w:t>Tercero:</w:t>
      </w:r>
      <w:r w:rsidRPr="007417A9">
        <w:rPr>
          <w:rStyle w:val="Textoennegrita"/>
          <w:rFonts w:eastAsiaTheme="majorEastAsia"/>
          <w:lang w:val="es-PE"/>
        </w:rPr>
        <w:t xml:space="preserve"> </w:t>
      </w:r>
      <w:r w:rsidRPr="007417A9">
        <w:rPr>
          <w:rStyle w:val="Textoennegrita"/>
          <w:rFonts w:eastAsiaTheme="majorEastAsia"/>
          <w:b w:val="0"/>
          <w:bCs w:val="0"/>
          <w:lang w:val="es-PE"/>
        </w:rPr>
        <w:t xml:space="preserve">Que, en lo que respecta a la cuantía </w:t>
      </w:r>
      <w:r w:rsidRPr="007417A9">
        <w:rPr>
          <w:lang w:val="es-PE"/>
        </w:rPr>
        <w:t>en el numeral 4 del Reglamento de la Defensoría del Asegurado que señala:</w:t>
      </w:r>
    </w:p>
    <w:p w:rsidRPr="007417A9" w:rsidR="007417A9" w:rsidP="007417A9" w:rsidRDefault="007417A9" w14:paraId="7C8D1123" w14:textId="77777777">
      <w:pPr>
        <w:tabs>
          <w:tab w:val="left" w:pos="2160"/>
        </w:tabs>
        <w:jc w:val="both"/>
        <w:rPr>
          <w:lang w:val="es-PE"/>
        </w:rPr>
      </w:pPr>
    </w:p>
    <w:p w:rsidRPr="007417A9" w:rsidR="007417A9" w:rsidP="007417A9" w:rsidRDefault="007417A9" w14:paraId="4AD76300" w14:textId="77777777">
      <w:pPr>
        <w:tabs>
          <w:tab w:val="left" w:pos="2160"/>
        </w:tabs>
        <w:ind w:left="720"/>
        <w:jc w:val="both"/>
        <w:rPr>
          <w:i/>
          <w:lang w:val="es-PE"/>
        </w:rPr>
      </w:pPr>
      <w:r w:rsidRPr="007417A9">
        <w:rPr>
          <w:i/>
          <w:lang w:val="es-PE"/>
        </w:rPr>
        <w:t xml:space="preserve">“4. Competencia </w:t>
      </w:r>
    </w:p>
    <w:p w:rsidRPr="007417A9" w:rsidR="007417A9" w:rsidP="007417A9" w:rsidRDefault="007417A9" w14:paraId="43FDD76F" w14:textId="77777777">
      <w:pPr>
        <w:tabs>
          <w:tab w:val="left" w:pos="2160"/>
        </w:tabs>
        <w:ind w:left="720"/>
        <w:jc w:val="both"/>
        <w:rPr>
          <w:i/>
          <w:lang w:val="es-PE"/>
        </w:rPr>
      </w:pPr>
      <w:r w:rsidRPr="007417A9">
        <w:rPr>
          <w:i/>
          <w:lang w:val="es-PE"/>
        </w:rPr>
        <w:t>La Defensoría conoce los reclamos que los usuarios de seguros planteen, siempre y cuando cumplan con los siguientes requisitos de admisibilidad de manera concurrente:</w:t>
      </w:r>
    </w:p>
    <w:p w:rsidRPr="007417A9" w:rsidR="007417A9" w:rsidP="007417A9" w:rsidRDefault="007417A9" w14:paraId="7C3E8E65" w14:textId="77777777">
      <w:pPr>
        <w:tabs>
          <w:tab w:val="left" w:pos="2160"/>
        </w:tabs>
        <w:ind w:left="720"/>
        <w:jc w:val="both"/>
        <w:rPr>
          <w:i/>
          <w:lang w:val="es-PE"/>
        </w:rPr>
      </w:pPr>
      <w:r w:rsidRPr="007417A9">
        <w:rPr>
          <w:i/>
          <w:lang w:val="es-PE"/>
        </w:rPr>
        <w:t>(…)</w:t>
      </w:r>
    </w:p>
    <w:p w:rsidRPr="007417A9" w:rsidR="007417A9" w:rsidP="007417A9" w:rsidRDefault="007417A9" w14:paraId="06E9A711" w14:textId="77777777">
      <w:pPr>
        <w:pStyle w:val="Prrafodelista"/>
        <w:numPr>
          <w:ilvl w:val="0"/>
          <w:numId w:val="51"/>
        </w:numPr>
        <w:tabs>
          <w:tab w:val="left" w:pos="2160"/>
        </w:tabs>
        <w:ind w:left="1429"/>
        <w:jc w:val="both"/>
        <w:rPr>
          <w:i/>
          <w:lang w:val="es-PE"/>
        </w:rPr>
      </w:pPr>
      <w:r w:rsidRPr="007417A9">
        <w:rPr>
          <w:i/>
          <w:lang w:val="es-PE"/>
        </w:rPr>
        <w:t xml:space="preserve">El total de la indemnización solicitada a la empresa de seguros no debe exceder los US$ 50,000.00. </w:t>
      </w:r>
    </w:p>
    <w:p w:rsidRPr="007417A9" w:rsidR="007417A9" w:rsidP="007417A9" w:rsidRDefault="007417A9" w14:paraId="4CBAD9B8" w14:textId="77777777">
      <w:pPr>
        <w:pStyle w:val="Prrafodelista"/>
        <w:tabs>
          <w:tab w:val="left" w:pos="2160"/>
        </w:tabs>
        <w:ind w:left="1429"/>
        <w:jc w:val="both"/>
        <w:rPr>
          <w:i/>
          <w:lang w:val="es-PE"/>
        </w:rPr>
      </w:pPr>
      <w:r w:rsidRPr="007417A9">
        <w:rPr>
          <w:i/>
          <w:lang w:val="es-PE"/>
        </w:rPr>
        <w:t>(…)”</w:t>
      </w:r>
    </w:p>
    <w:p w:rsidRPr="007417A9" w:rsidR="007417A9" w:rsidP="007417A9" w:rsidRDefault="007417A9" w14:paraId="373F3791" w14:textId="77777777">
      <w:pPr>
        <w:jc w:val="both"/>
        <w:rPr>
          <w:lang w:val="es-PE"/>
        </w:rPr>
      </w:pPr>
    </w:p>
    <w:p w:rsidRPr="007417A9" w:rsidR="007417A9" w:rsidP="007417A9" w:rsidRDefault="007417A9" w14:paraId="0F4399B5" w14:textId="77777777">
      <w:pPr>
        <w:jc w:val="both"/>
        <w:rPr>
          <w:lang w:val="es-PE"/>
        </w:rPr>
      </w:pPr>
      <w:r w:rsidRPr="007417A9">
        <w:rPr>
          <w:rStyle w:val="Textoennegrita"/>
          <w:rFonts w:eastAsiaTheme="majorEastAsia"/>
          <w:u w:val="single"/>
          <w:lang w:val="es-PE"/>
        </w:rPr>
        <w:t>Cuarto</w:t>
      </w:r>
      <w:r w:rsidRPr="007417A9">
        <w:rPr>
          <w:rStyle w:val="Textoennegrita"/>
          <w:rFonts w:eastAsiaTheme="majorEastAsia"/>
          <w:lang w:val="es-PE"/>
        </w:rPr>
        <w:t>:</w:t>
      </w:r>
      <w:r w:rsidRPr="007417A9">
        <w:rPr>
          <w:lang w:val="es-PE"/>
        </w:rPr>
        <w:t xml:space="preserve"> Que, al revisar el certificado de seguro, con fecha de inicio de vigencia 3 de noviembre de 2016, se constata que la suma asegurada asciende a S/660,000; siendo que se contrató el seguro bajo la modalidad “saldo insoluto”. </w:t>
      </w:r>
    </w:p>
    <w:p w:rsidRPr="007417A9" w:rsidR="007417A9" w:rsidP="007417A9" w:rsidRDefault="007417A9" w14:paraId="2F6C7B0A" w14:textId="77777777">
      <w:pPr>
        <w:jc w:val="both"/>
        <w:rPr>
          <w:lang w:val="es-PE"/>
        </w:rPr>
      </w:pPr>
    </w:p>
    <w:p w:rsidRPr="007417A9" w:rsidR="007417A9" w:rsidP="007417A9" w:rsidRDefault="007417A9" w14:paraId="6FB8F0A4" w14:textId="77777777">
      <w:pPr>
        <w:jc w:val="both"/>
        <w:rPr>
          <w:i/>
          <w:lang w:val="es-PE"/>
        </w:rPr>
      </w:pPr>
      <w:r w:rsidRPr="007417A9">
        <w:rPr>
          <w:lang w:val="es-PE"/>
        </w:rPr>
        <w:t>Que, la aseguradora señala que el saldo insoluto informado por el Banco al 10 de noviembre de 2022 (mes de fallecimiento del asegurado), excede la cuantía establecida para que la DEFASEG pueda conocer del presente caso, toda vez que el saldo insoluto de la deuda a la fecha de fallecimiento asciende a S/544,119, lo cual acredita con la impresión del saldo proporcionado con el Banco.</w:t>
      </w:r>
    </w:p>
    <w:p w:rsidRPr="007417A9" w:rsidR="007417A9" w:rsidP="007417A9" w:rsidRDefault="007417A9" w14:paraId="24F4C4C2" w14:textId="77777777">
      <w:pPr>
        <w:tabs>
          <w:tab w:val="left" w:pos="2520"/>
        </w:tabs>
        <w:jc w:val="both"/>
        <w:rPr>
          <w:lang w:val="es-PE"/>
        </w:rPr>
      </w:pPr>
      <w:r w:rsidRPr="007417A9">
        <w:rPr>
          <w:lang w:val="es-PE"/>
        </w:rPr>
        <w:tab/>
      </w:r>
    </w:p>
    <w:p w:rsidRPr="007417A9" w:rsidR="007417A9" w:rsidP="007417A9" w:rsidRDefault="007417A9" w14:paraId="5D2CFFA5" w14:textId="77777777">
      <w:pPr>
        <w:jc w:val="both"/>
      </w:pPr>
      <w:r w:rsidRPr="007417A9">
        <w:t>Habiéndose acreditado que la suma asegurada contratada excede de la suma de US$50,000 y que la pretensión del reclamante excede de la misma suma, se verifica que la cuantía de la presente controversia excede de la competencia de esta Defensoría.</w:t>
      </w:r>
    </w:p>
    <w:p w:rsidRPr="007417A9" w:rsidR="007417A9" w:rsidP="007417A9" w:rsidRDefault="007417A9" w14:paraId="22584D7C" w14:textId="77777777"/>
    <w:p w:rsidRPr="007417A9" w:rsidR="007417A9" w:rsidP="007417A9" w:rsidRDefault="007417A9" w14:paraId="30A16125" w14:textId="77777777">
      <w:pPr>
        <w:rPr>
          <w:b/>
          <w:lang w:val="es-PE"/>
        </w:rPr>
      </w:pPr>
      <w:r w:rsidRPr="007417A9">
        <w:rPr>
          <w:b/>
          <w:lang w:val="es-PE"/>
        </w:rPr>
        <w:t>Atendiendo a lo expresado, conforme a su Reglamento, este colegiado resuelve:</w:t>
      </w:r>
    </w:p>
    <w:p w:rsidRPr="007417A9" w:rsidR="007417A9" w:rsidP="007417A9" w:rsidRDefault="007417A9" w14:paraId="3A188CC7" w14:textId="77777777">
      <w:pPr>
        <w:rPr>
          <w:lang w:val="es-PE"/>
        </w:rPr>
      </w:pPr>
    </w:p>
    <w:p w:rsidRPr="007417A9" w:rsidR="007417A9" w:rsidP="007417A9" w:rsidRDefault="007417A9" w14:paraId="5ADD7AF1" w14:textId="33631024">
      <w:pPr>
        <w:jc w:val="both"/>
        <w:rPr>
          <w:lang w:val="es-PE"/>
        </w:rPr>
      </w:pPr>
      <w:r w:rsidRPr="0F70149C" w:rsidR="007417A9">
        <w:rPr>
          <w:lang w:val="es-PE"/>
        </w:rPr>
        <w:t xml:space="preserve">Declarar </w:t>
      </w:r>
      <w:r w:rsidRPr="0F70149C" w:rsidR="007417A9">
        <w:rPr>
          <w:b w:val="1"/>
          <w:bCs w:val="1"/>
          <w:lang w:val="es-PE"/>
        </w:rPr>
        <w:t xml:space="preserve">IMPROCEDENTE </w:t>
      </w:r>
      <w:r w:rsidRPr="0F70149C" w:rsidR="007417A9">
        <w:rPr>
          <w:lang w:val="es-PE"/>
        </w:rPr>
        <w:t xml:space="preserve">la reclamación interpuesta por doña </w:t>
      </w:r>
      <w:r w:rsidRPr="0F70149C" w:rsidR="00C3EA28">
        <w:rPr>
          <w:lang w:val="es-PE"/>
        </w:rPr>
        <w:t>...............................................................................</w:t>
      </w:r>
      <w:r w:rsidRPr="0F70149C" w:rsidR="007417A9">
        <w:rPr>
          <w:lang w:val="es-PE"/>
        </w:rPr>
        <w:t xml:space="preserve"> contra </w:t>
      </w:r>
      <w:r w:rsidRPr="0F70149C" w:rsidR="690366D0">
        <w:rPr>
          <w:lang w:val="es-PE"/>
        </w:rPr>
        <w:t>..............</w:t>
      </w:r>
      <w:r w:rsidRPr="0F70149C" w:rsidR="007417A9">
        <w:rPr>
          <w:lang w:val="es-PE"/>
        </w:rPr>
        <w:t xml:space="preserve"> SEGUROS, dejándose a salvo el derecho de la reclamante para recurrir a las instancias que considere pertinentes.</w:t>
      </w:r>
    </w:p>
    <w:p w:rsidRPr="007417A9" w:rsidR="00670CA7" w:rsidP="00DF67C8" w:rsidRDefault="00670CA7" w14:paraId="03D6D2E6" w14:textId="77777777">
      <w:pPr>
        <w:outlineLvl w:val="0"/>
        <w:rPr>
          <w:lang w:val="es-PE"/>
        </w:rPr>
      </w:pPr>
    </w:p>
    <w:p w:rsidRPr="007417A9" w:rsidR="001631D6" w:rsidP="00F202DC" w:rsidRDefault="00F15FBA" w14:paraId="48C7895B" w14:textId="274629AA">
      <w:pPr>
        <w:jc w:val="right"/>
        <w:outlineLvl w:val="0"/>
        <w:rPr>
          <w:lang w:val="es-PE"/>
        </w:rPr>
      </w:pPr>
      <w:r w:rsidRPr="007417A9">
        <w:rPr>
          <w:lang w:val="es-PE"/>
        </w:rPr>
        <w:t>Lima,</w:t>
      </w:r>
      <w:r w:rsidRPr="007417A9" w:rsidR="00B12885">
        <w:rPr>
          <w:lang w:val="es-PE"/>
        </w:rPr>
        <w:t xml:space="preserve"> </w:t>
      </w:r>
      <w:r w:rsidRPr="007417A9" w:rsidR="00804DE5">
        <w:rPr>
          <w:lang w:val="es-PE"/>
        </w:rPr>
        <w:t>15</w:t>
      </w:r>
      <w:r w:rsidRPr="007417A9" w:rsidR="00195646">
        <w:t xml:space="preserve"> </w:t>
      </w:r>
      <w:r w:rsidRPr="007417A9">
        <w:rPr>
          <w:lang w:val="es-PE"/>
        </w:rPr>
        <w:t>de</w:t>
      </w:r>
      <w:r w:rsidRPr="007417A9" w:rsidR="001631D6">
        <w:rPr>
          <w:lang w:val="es-PE"/>
        </w:rPr>
        <w:t xml:space="preserve"> </w:t>
      </w:r>
      <w:r w:rsidRPr="007417A9" w:rsidR="00804DE5">
        <w:rPr>
          <w:lang w:val="es-PE"/>
        </w:rPr>
        <w:t>abril</w:t>
      </w:r>
      <w:r w:rsidRPr="007417A9" w:rsidR="001631D6">
        <w:rPr>
          <w:lang w:val="es-PE"/>
        </w:rPr>
        <w:t xml:space="preserve"> </w:t>
      </w:r>
      <w:r w:rsidRPr="007417A9">
        <w:rPr>
          <w:lang w:val="es-PE"/>
        </w:rPr>
        <w:t>de 20</w:t>
      </w:r>
      <w:r w:rsidRPr="007417A9" w:rsidR="001631D6">
        <w:rPr>
          <w:lang w:val="es-PE"/>
        </w:rPr>
        <w:t>2</w:t>
      </w:r>
      <w:r w:rsidRPr="007417A9" w:rsidR="00E82564">
        <w:rPr>
          <w:lang w:val="es-PE"/>
        </w:rPr>
        <w:t>4</w:t>
      </w:r>
    </w:p>
    <w:p w:rsidRPr="007417A9" w:rsidR="00F202DC" w:rsidP="001631D6" w:rsidRDefault="00F202DC" w14:paraId="55EA6443" w14:textId="77777777">
      <w:pPr>
        <w:jc w:val="both"/>
      </w:pPr>
    </w:p>
    <w:p w:rsidRPr="007417A9" w:rsidR="001631D6" w:rsidP="001631D6" w:rsidRDefault="001631D6" w14:paraId="54F717D9" w14:textId="77777777">
      <w:pPr>
        <w:jc w:val="both"/>
        <w:rPr>
          <w:b/>
          <w:bCs/>
          <w:i/>
          <w:iCs/>
          <w:lang w:val="es-ES_tradnl"/>
        </w:rPr>
      </w:pPr>
      <w:r w:rsidRPr="007417A9">
        <w:rPr>
          <w:b/>
          <w:bCs/>
          <w:i/>
          <w:iCs/>
          <w:lang w:val="es-ES_tradnl"/>
        </w:rPr>
        <w:t>La Secretaría Técnica certifica que la presente resolución cuenta con el voto de los vocales cuyos nombres figuran en el presente documento.</w:t>
      </w:r>
    </w:p>
    <w:p w:rsidRPr="007417A9" w:rsidR="001631D6" w:rsidP="001631D6" w:rsidRDefault="001631D6" w14:paraId="265ABE8B" w14:textId="77777777">
      <w:pPr>
        <w:jc w:val="both"/>
        <w:rPr>
          <w:b/>
          <w:bCs/>
          <w:i/>
          <w:iCs/>
          <w:lang w:val="es-ES_tradnl"/>
        </w:rPr>
      </w:pPr>
    </w:p>
    <w:p w:rsidRPr="007417A9" w:rsidR="001631D6" w:rsidP="00356B1A" w:rsidRDefault="00356B1A" w14:paraId="024CA4C1" w14:textId="4785C9C9">
      <w:pPr>
        <w:spacing w:line="360" w:lineRule="auto"/>
        <w:jc w:val="center"/>
        <w:rPr>
          <w:b/>
          <w:bCs/>
        </w:rPr>
      </w:pPr>
      <w:r w:rsidRPr="007417A9">
        <w:rPr>
          <w:b/>
          <w:bCs/>
        </w:rPr>
        <w:t xml:space="preserve">María Eugenia Valdez Fernández Baca – </w:t>
      </w:r>
      <w:proofErr w:type="gramStart"/>
      <w:r w:rsidRPr="007417A9" w:rsidR="00D43CAB">
        <w:rPr>
          <w:b/>
          <w:bCs/>
        </w:rPr>
        <w:t>Presidente</w:t>
      </w:r>
      <w:proofErr w:type="gramEnd"/>
    </w:p>
    <w:p w:rsidRPr="007417A9" w:rsidR="001631D6" w:rsidP="001631D6" w:rsidRDefault="001631D6" w14:paraId="515933D0" w14:textId="5FD7ECBB">
      <w:pPr>
        <w:spacing w:line="360" w:lineRule="auto"/>
        <w:jc w:val="center"/>
        <w:rPr>
          <w:b/>
          <w:bCs/>
        </w:rPr>
      </w:pPr>
      <w:r w:rsidRPr="007417A9">
        <w:rPr>
          <w:b/>
          <w:bCs/>
        </w:rPr>
        <w:t xml:space="preserve">Rolando Eyzaguirre </w:t>
      </w:r>
      <w:proofErr w:type="spellStart"/>
      <w:r w:rsidRPr="007417A9">
        <w:rPr>
          <w:b/>
          <w:bCs/>
        </w:rPr>
        <w:t>Maccan</w:t>
      </w:r>
      <w:proofErr w:type="spellEnd"/>
      <w:r w:rsidRPr="007417A9">
        <w:rPr>
          <w:b/>
          <w:bCs/>
        </w:rPr>
        <w:t xml:space="preserve"> – </w:t>
      </w:r>
      <w:r w:rsidRPr="007417A9" w:rsidR="003E6BA6">
        <w:rPr>
          <w:b/>
          <w:bCs/>
        </w:rPr>
        <w:t>Vocal</w:t>
      </w:r>
    </w:p>
    <w:p w:rsidRPr="007417A9" w:rsidR="001631D6" w:rsidP="001631D6" w:rsidRDefault="00807D21" w14:paraId="4B70DE1B" w14:textId="0A8BEEE9">
      <w:pPr>
        <w:spacing w:line="360" w:lineRule="auto"/>
        <w:jc w:val="center"/>
        <w:rPr>
          <w:b/>
          <w:bCs/>
        </w:rPr>
      </w:pPr>
      <w:r w:rsidRPr="007417A9">
        <w:rPr>
          <w:b/>
          <w:bCs/>
        </w:rPr>
        <w:t>Omar Alfaro Villanueva</w:t>
      </w:r>
      <w:r w:rsidRPr="007417A9" w:rsidR="001631D6">
        <w:rPr>
          <w:b/>
          <w:bCs/>
        </w:rPr>
        <w:t xml:space="preserve"> – Vocal</w:t>
      </w:r>
    </w:p>
    <w:p w:rsidRPr="007417A9" w:rsidR="00F15FBA" w:rsidP="00E03444" w:rsidRDefault="001631D6" w14:paraId="22C77427" w14:textId="498B9F06">
      <w:pPr>
        <w:spacing w:line="360" w:lineRule="auto"/>
        <w:jc w:val="center"/>
        <w:rPr>
          <w:lang w:val="es-MX"/>
        </w:rPr>
      </w:pPr>
      <w:r w:rsidRPr="007417A9">
        <w:rPr>
          <w:b/>
          <w:bCs/>
        </w:rPr>
        <w:t>Gonzalo Abad del Busto - Vocal</w:t>
      </w:r>
    </w:p>
    <w:p w:rsidRPr="007417A9"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752CA3">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2CA3" w:rsidP="005F148C" w:rsidRDefault="00752CA3" w14:paraId="2B15DA89" w14:textId="77777777">
      <w:r>
        <w:separator/>
      </w:r>
    </w:p>
  </w:endnote>
  <w:endnote w:type="continuationSeparator" w:id="0">
    <w:p w:rsidR="00752CA3" w:rsidP="005F148C" w:rsidRDefault="00752CA3" w14:paraId="02A5B7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2CA3" w:rsidP="005F148C" w:rsidRDefault="00752CA3" w14:paraId="22704C1A" w14:textId="77777777">
      <w:r>
        <w:separator/>
      </w:r>
    </w:p>
  </w:footnote>
  <w:footnote w:type="continuationSeparator" w:id="0">
    <w:p w:rsidR="00752CA3" w:rsidP="005F148C" w:rsidRDefault="00752CA3" w14:paraId="0F2E5A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7"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0"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1A6F4677"/>
    <w:multiLevelType w:val="hybridMultilevel"/>
    <w:tmpl w:val="4A0AE6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AE256BF"/>
    <w:multiLevelType w:val="hybridMultilevel"/>
    <w:tmpl w:val="51A24B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2"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3E6D0A1C"/>
    <w:multiLevelType w:val="hybridMultilevel"/>
    <w:tmpl w:val="A24007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5"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9"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6"/>
  </w:num>
  <w:num w:numId="2" w16cid:durableId="484517491">
    <w:abstractNumId w:val="43"/>
  </w:num>
  <w:num w:numId="3" w16cid:durableId="818159359">
    <w:abstractNumId w:val="33"/>
  </w:num>
  <w:num w:numId="4" w16cid:durableId="1722173265">
    <w:abstractNumId w:val="47"/>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4"/>
  </w:num>
  <w:num w:numId="17" w16cid:durableId="19438031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30"/>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6"/>
  </w:num>
  <w:num w:numId="26" w16cid:durableId="719092205">
    <w:abstractNumId w:val="20"/>
  </w:num>
  <w:num w:numId="27" w16cid:durableId="1799180679">
    <w:abstractNumId w:val="48"/>
  </w:num>
  <w:num w:numId="28" w16cid:durableId="1019042468">
    <w:abstractNumId w:val="40"/>
  </w:num>
  <w:num w:numId="29" w16cid:durableId="11761913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5"/>
  </w:num>
  <w:num w:numId="36" w16cid:durableId="9076865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1"/>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4"/>
  </w:num>
  <w:num w:numId="42" w16cid:durableId="98381033">
    <w:abstractNumId w:val="49"/>
  </w:num>
  <w:num w:numId="43" w16cid:durableId="549092">
    <w:abstractNumId w:val="12"/>
  </w:num>
  <w:num w:numId="44" w16cid:durableId="1470513304">
    <w:abstractNumId w:val="45"/>
  </w:num>
  <w:num w:numId="45" w16cid:durableId="20104047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08919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756975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68892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42487874">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228B0"/>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6549"/>
    <w:rsid w:val="00525E53"/>
    <w:rsid w:val="00531FBE"/>
    <w:rsid w:val="005574EF"/>
    <w:rsid w:val="00562D9B"/>
    <w:rsid w:val="0058358B"/>
    <w:rsid w:val="005A7F6B"/>
    <w:rsid w:val="005C5922"/>
    <w:rsid w:val="005D1456"/>
    <w:rsid w:val="005D3CA7"/>
    <w:rsid w:val="005E011F"/>
    <w:rsid w:val="005F1349"/>
    <w:rsid w:val="005F148C"/>
    <w:rsid w:val="005F1A32"/>
    <w:rsid w:val="00617F3E"/>
    <w:rsid w:val="00647AEE"/>
    <w:rsid w:val="00651449"/>
    <w:rsid w:val="00654115"/>
    <w:rsid w:val="00660432"/>
    <w:rsid w:val="00670CA7"/>
    <w:rsid w:val="0069382D"/>
    <w:rsid w:val="006A0CDE"/>
    <w:rsid w:val="006A1077"/>
    <w:rsid w:val="006D33B8"/>
    <w:rsid w:val="006F2C46"/>
    <w:rsid w:val="00712630"/>
    <w:rsid w:val="007224F7"/>
    <w:rsid w:val="007267ED"/>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D353F"/>
    <w:rsid w:val="00804DE5"/>
    <w:rsid w:val="00807D21"/>
    <w:rsid w:val="00816E7B"/>
    <w:rsid w:val="00824CAC"/>
    <w:rsid w:val="008322DC"/>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3EA28"/>
    <w:rsid w:val="00C5205B"/>
    <w:rsid w:val="00C5362B"/>
    <w:rsid w:val="00C55A2D"/>
    <w:rsid w:val="00C638F2"/>
    <w:rsid w:val="00C65205"/>
    <w:rsid w:val="00C77057"/>
    <w:rsid w:val="00C85630"/>
    <w:rsid w:val="00CA3CC6"/>
    <w:rsid w:val="00CA4FD6"/>
    <w:rsid w:val="00CA6E20"/>
    <w:rsid w:val="00CA72E7"/>
    <w:rsid w:val="00CB3025"/>
    <w:rsid w:val="00CB451A"/>
    <w:rsid w:val="00CB75B2"/>
    <w:rsid w:val="00CB7C37"/>
    <w:rsid w:val="00CD167D"/>
    <w:rsid w:val="00CF2475"/>
    <w:rsid w:val="00CF3742"/>
    <w:rsid w:val="00D01DEB"/>
    <w:rsid w:val="00D128FF"/>
    <w:rsid w:val="00D15C1E"/>
    <w:rsid w:val="00D2799E"/>
    <w:rsid w:val="00D301E0"/>
    <w:rsid w:val="00D43CAB"/>
    <w:rsid w:val="00D54969"/>
    <w:rsid w:val="00D55695"/>
    <w:rsid w:val="00D56839"/>
    <w:rsid w:val="00D765F1"/>
    <w:rsid w:val="00D77EF8"/>
    <w:rsid w:val="00D86E87"/>
    <w:rsid w:val="00D9006E"/>
    <w:rsid w:val="00DA7CB9"/>
    <w:rsid w:val="00DB3366"/>
    <w:rsid w:val="00DC3623"/>
    <w:rsid w:val="00DD7EBB"/>
    <w:rsid w:val="00DE1284"/>
    <w:rsid w:val="00DF2BA4"/>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21DB632"/>
    <w:rsid w:val="0F70149C"/>
    <w:rsid w:val="13FD3AEE"/>
    <w:rsid w:val="4752652B"/>
    <w:rsid w:val="5C5EBD49"/>
    <w:rsid w:val="5CFF2A7B"/>
    <w:rsid w:val="63660F54"/>
    <w:rsid w:val="6903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04AB0DF-2F72-45B9-A724-80CE171D2D3C}"/>
</file>

<file path=customXml/itemProps3.xml><?xml version="1.0" encoding="utf-8"?>
<ds:datastoreItem xmlns:ds="http://schemas.openxmlformats.org/officeDocument/2006/customXml" ds:itemID="{0BBB9F15-E5E3-4365-B72B-72F0723D3745}"/>
</file>

<file path=customXml/itemProps4.xml><?xml version="1.0" encoding="utf-8"?>
<ds:datastoreItem xmlns:ds="http://schemas.openxmlformats.org/officeDocument/2006/customXml" ds:itemID="{9B301ECE-193A-418D-A5C6-081C6AC328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184</cp:revision>
  <cp:lastPrinted>2024-04-15T20:06:00Z</cp:lastPrinted>
  <dcterms:created xsi:type="dcterms:W3CDTF">2020-12-18T20:09:00Z</dcterms:created>
  <dcterms:modified xsi:type="dcterms:W3CDTF">2025-08-18T16:12:44Z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