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475A8" w:rsidR="00C24572" w:rsidP="00C76074" w:rsidRDefault="00F15FBA" w14:paraId="7D91BD92" w14:textId="49BB4377">
      <w:pPr>
        <w:pStyle w:val="Title"/>
        <w:outlineLvl w:val="0"/>
        <w:rPr>
          <w:lang w:val="es-PE"/>
        </w:rPr>
      </w:pPr>
      <w:r w:rsidRPr="003475A8">
        <w:rPr>
          <w:lang w:val="es-PE"/>
        </w:rPr>
        <w:t xml:space="preserve">RESOLUCIÓN </w:t>
      </w:r>
      <w:proofErr w:type="spellStart"/>
      <w:r w:rsidRPr="003475A8">
        <w:rPr>
          <w:lang w:val="es-PE"/>
        </w:rPr>
        <w:t>N</w:t>
      </w:r>
      <w:r w:rsidRPr="003475A8" w:rsidR="001631D6">
        <w:rPr>
          <w:lang w:val="es-PE"/>
        </w:rPr>
        <w:t>°</w:t>
      </w:r>
      <w:proofErr w:type="spellEnd"/>
      <w:r w:rsidRPr="003475A8" w:rsidR="001631D6">
        <w:rPr>
          <w:lang w:val="es-PE"/>
        </w:rPr>
        <w:t xml:space="preserve"> </w:t>
      </w:r>
      <w:r w:rsidRPr="003475A8" w:rsidR="001B36B7">
        <w:rPr>
          <w:lang w:val="es-PE"/>
        </w:rPr>
        <w:t>1</w:t>
      </w:r>
      <w:r w:rsidRPr="003475A8" w:rsidR="007E64E3">
        <w:rPr>
          <w:lang w:val="es-PE"/>
        </w:rPr>
        <w:t>7</w:t>
      </w:r>
      <w:r w:rsidR="00A1752D">
        <w:rPr>
          <w:lang w:val="es-PE"/>
        </w:rPr>
        <w:t>7</w:t>
      </w:r>
      <w:r w:rsidRPr="003475A8" w:rsidR="00501607">
        <w:rPr>
          <w:lang w:val="es-PE"/>
        </w:rPr>
        <w:t>/</w:t>
      </w:r>
      <w:r w:rsidRPr="003475A8" w:rsidR="001631D6">
        <w:rPr>
          <w:lang w:val="es-PE"/>
        </w:rPr>
        <w:t>2</w:t>
      </w:r>
      <w:r w:rsidRPr="003475A8" w:rsidR="002B50D6">
        <w:rPr>
          <w:lang w:val="es-PE"/>
        </w:rPr>
        <w:t>4</w:t>
      </w:r>
    </w:p>
    <w:p w:rsidRPr="003475A8" w:rsidR="00B5328B" w:rsidP="00C76074" w:rsidRDefault="00B5328B" w14:paraId="5B735CE1" w14:textId="77777777">
      <w:pPr>
        <w:pStyle w:val="Title"/>
        <w:jc w:val="both"/>
        <w:outlineLvl w:val="0"/>
        <w:rPr>
          <w:lang w:val="es-PE"/>
        </w:rPr>
      </w:pPr>
    </w:p>
    <w:p w:rsidR="00B602B0" w:rsidP="00B602B0" w:rsidRDefault="00B602B0" w14:paraId="117ACAA1" w14:textId="77777777">
      <w:pPr>
        <w:jc w:val="both"/>
        <w:rPr>
          <w:b/>
          <w:lang w:val="es-PE"/>
        </w:rPr>
      </w:pPr>
      <w:r w:rsidRPr="00B602B0">
        <w:rPr>
          <w:b/>
          <w:lang w:val="es-PE"/>
        </w:rPr>
        <w:t>VISTOS:</w:t>
      </w:r>
    </w:p>
    <w:p w:rsidRPr="00B602B0" w:rsidR="00B602B0" w:rsidP="00B602B0" w:rsidRDefault="00B602B0" w14:paraId="623704E4" w14:textId="77777777">
      <w:pPr>
        <w:jc w:val="both"/>
        <w:rPr>
          <w:b/>
          <w:lang w:val="es-PE"/>
        </w:rPr>
      </w:pPr>
    </w:p>
    <w:p w:rsidR="00B602B0" w:rsidP="00B602B0" w:rsidRDefault="00B602B0" w14:paraId="2EBC4B2C" w14:noSpellErr="1" w14:textId="2AEBF256">
      <w:pPr>
        <w:jc w:val="both"/>
        <w:rPr>
          <w:lang w:val="es-PE"/>
        </w:rPr>
      </w:pPr>
      <w:r w:rsidRPr="7F981579" w:rsidR="00B602B0">
        <w:rPr>
          <w:lang w:val="es-PE"/>
        </w:rPr>
        <w:t xml:space="preserve">La reclamación presentada ante esta Defensoría del Asegurado (DEFASEG) por </w:t>
      </w:r>
      <w:bookmarkStart w:name="_Hlk107662905" w:id="0"/>
      <w:r w:rsidRPr="7F981579" w:rsidR="7D685F5F">
        <w:rPr>
          <w:b w:val="1"/>
          <w:bCs w:val="1"/>
          <w:lang w:val="es-MX"/>
        </w:rPr>
        <w:t>....................................................................................</w:t>
      </w:r>
      <w:r w:rsidRPr="7F981579" w:rsidR="00B602B0">
        <w:rPr>
          <w:b w:val="1"/>
          <w:bCs w:val="1"/>
          <w:lang w:val="es-MX"/>
        </w:rPr>
        <w:t xml:space="preserve">. </w:t>
      </w:r>
      <w:bookmarkEnd w:id="0"/>
      <w:r w:rsidRPr="7F981579" w:rsidR="00B602B0">
        <w:rPr>
          <w:lang w:val="es-PE"/>
        </w:rPr>
        <w:t xml:space="preserve">contra </w:t>
      </w:r>
      <w:r w:rsidRPr="7F981579" w:rsidR="383177B2">
        <w:rPr>
          <w:b w:val="1"/>
          <w:bCs w:val="1"/>
          <w:lang w:val="es-MX"/>
        </w:rPr>
        <w:t>............................</w:t>
      </w:r>
      <w:r w:rsidRPr="7F981579" w:rsidR="00B602B0">
        <w:rPr>
          <w:b w:val="1"/>
          <w:bCs w:val="1"/>
          <w:lang w:val="es-MX"/>
        </w:rPr>
        <w:t xml:space="preserve"> </w:t>
      </w:r>
      <w:r w:rsidRPr="7F981579" w:rsidR="00B602B0">
        <w:rPr>
          <w:lang w:val="es-PE"/>
        </w:rPr>
        <w:t xml:space="preserve">en la que solicita se le reembolsen los gastos de instalación de un cerco perimétrico prefabricado ascendentes a S/ 16.059.01, conforme al </w:t>
      </w:r>
      <w:r w:rsidRPr="7F981579" w:rsidR="00B602B0">
        <w:rPr>
          <w:b w:val="1"/>
          <w:bCs w:val="1"/>
          <w:lang w:val="es-MX"/>
        </w:rPr>
        <w:t>SEGURO INCENDIO MULTIRIESGO – PÓLIZA No</w:t>
      </w:r>
      <w:r w:rsidRPr="7F981579" w:rsidR="00B602B0">
        <w:rPr>
          <w:b w:val="1"/>
          <w:bCs w:val="1"/>
          <w:lang w:val="es-MX"/>
        </w:rPr>
        <w:t xml:space="preserve"> </w:t>
      </w:r>
      <w:r w:rsidRPr="7F981579" w:rsidR="4FA92EB4">
        <w:rPr>
          <w:b w:val="1"/>
          <w:bCs w:val="1"/>
          <w:lang w:val="es-PE"/>
        </w:rPr>
        <w:t>................................</w:t>
      </w:r>
      <w:r w:rsidRPr="7F981579" w:rsidR="00B602B0">
        <w:rPr>
          <w:lang w:val="es-PE"/>
        </w:rPr>
        <w:t>;</w:t>
      </w:r>
    </w:p>
    <w:p w:rsidRPr="00B602B0" w:rsidR="00B602B0" w:rsidP="00B602B0" w:rsidRDefault="00B602B0" w14:paraId="2E9CB6EA" w14:textId="77777777">
      <w:pPr>
        <w:jc w:val="both"/>
        <w:rPr>
          <w:lang w:val="es-PE"/>
        </w:rPr>
      </w:pPr>
    </w:p>
    <w:p w:rsidRPr="00B602B0" w:rsidR="00B602B0" w:rsidP="00B602B0" w:rsidRDefault="00B602B0" w14:paraId="089C91CF" w14:textId="77777777">
      <w:pPr>
        <w:jc w:val="both"/>
        <w:rPr>
          <w:lang w:val="es-PE"/>
        </w:rPr>
      </w:pPr>
      <w:r w:rsidRPr="00B602B0">
        <w:rPr>
          <w:lang w:val="es-PE"/>
        </w:rPr>
        <w:t>Que, la señalada reclamación cumple con los requisitos de materia, cuantía y oportunidad establecidos en el Reglamento de la DEFASEG (http://www.defaseg.com.pe/reglamento);</w:t>
      </w:r>
    </w:p>
    <w:p w:rsidR="00B602B0" w:rsidP="00B602B0" w:rsidRDefault="00B602B0" w14:paraId="799255DD" w14:noSpellErr="1" w14:textId="41CA2E98">
      <w:pPr>
        <w:jc w:val="both"/>
        <w:rPr>
          <w:lang w:val="es-PE"/>
        </w:rPr>
      </w:pPr>
      <w:r w:rsidRPr="547F1E58" w:rsidR="00B602B0">
        <w:rPr>
          <w:lang w:val="es-PE"/>
        </w:rPr>
        <w:t xml:space="preserve">Que, habiéndosele corrido traslado de la respectiva reclamación, </w:t>
      </w:r>
      <w:r w:rsidRPr="547F1E58" w:rsidR="7C7A2C6C">
        <w:rPr>
          <w:lang w:val="es-PE"/>
        </w:rPr>
        <w:t>..................</w:t>
      </w:r>
      <w:r w:rsidRPr="547F1E58" w:rsidR="00B602B0">
        <w:rPr>
          <w:lang w:val="es-PE"/>
        </w:rPr>
        <w:t xml:space="preserve"> cumplió con presentar sus respectivos descargos y la documentación solicitada;</w:t>
      </w:r>
    </w:p>
    <w:p w:rsidRPr="00B602B0" w:rsidR="00B602B0" w:rsidP="00B602B0" w:rsidRDefault="00B602B0" w14:paraId="29BAEC8C" w14:textId="77777777">
      <w:pPr>
        <w:jc w:val="both"/>
        <w:rPr>
          <w:lang w:val="es-PE"/>
        </w:rPr>
      </w:pPr>
    </w:p>
    <w:p w:rsidR="00B602B0" w:rsidP="00B602B0" w:rsidRDefault="00B602B0" w14:paraId="7DF4EACE" w14:textId="77777777">
      <w:pPr>
        <w:jc w:val="both"/>
        <w:rPr>
          <w:lang w:val="es-PE"/>
        </w:rPr>
      </w:pPr>
      <w:r w:rsidRPr="00B602B0">
        <w:rPr>
          <w:lang w:val="es-PE"/>
        </w:rPr>
        <w:t>Que, el 13 de mayo de 2024 se realizó la audiencia de vista con la participación en video conferencia de ambas partes, quienes tuvieron oportunidad de exponer sus respectivas posiciones tratándose de la materia reclamada, absolviendo las diversas preguntas que les fueron formuladas;</w:t>
      </w:r>
    </w:p>
    <w:p w:rsidRPr="00B602B0" w:rsidR="00B602B0" w:rsidP="00B602B0" w:rsidRDefault="00B602B0" w14:paraId="4F7C67A7" w14:textId="77777777">
      <w:pPr>
        <w:jc w:val="both"/>
        <w:rPr>
          <w:lang w:val="es-PE"/>
        </w:rPr>
      </w:pPr>
    </w:p>
    <w:p w:rsidR="00B602B0" w:rsidP="00B602B0" w:rsidRDefault="00B602B0" w14:paraId="37E0D3DA" w14:textId="72CA480C">
      <w:pPr>
        <w:jc w:val="both"/>
        <w:rPr>
          <w:lang w:val="es-PE"/>
        </w:rPr>
      </w:pPr>
      <w:r w:rsidRPr="547F1E58" w:rsidR="00B602B0">
        <w:rPr>
          <w:lang w:val="es-PE"/>
        </w:rPr>
        <w:t>Que, la reclamante expresa su disconformidad con el rechazo de cobertura, solicitando que la DEFASEG se sirva atender su caso, considerando los antecedentes y fundamentos enunciados resumidamente a continuación: (1)</w:t>
      </w:r>
      <w:r w:rsidRPr="547F1E58" w:rsidR="00B602B0">
        <w:rPr>
          <w:lang w:val="es-MX"/>
        </w:rPr>
        <w:t xml:space="preserve"> </w:t>
      </w:r>
      <w:r w:rsidRPr="547F1E58" w:rsidR="00B602B0">
        <w:rPr>
          <w:lang w:val="es-PE"/>
        </w:rPr>
        <w:t xml:space="preserve">la empresa ajustadora </w:t>
      </w:r>
      <w:r w:rsidRPr="547F1E58" w:rsidR="11D23031">
        <w:rPr>
          <w:lang w:val="es-PE"/>
        </w:rPr>
        <w:t>............................</w:t>
      </w:r>
      <w:r w:rsidRPr="547F1E58" w:rsidR="00B602B0">
        <w:rPr>
          <w:lang w:val="es-PE"/>
        </w:rPr>
        <w:t xml:space="preserve"> emitió un informe ajeno a la verdad; (2) el 24 de enero del 2023 se produjo un siniestro producto de las revueltas en la ciudad de ICA (Barrio Chino), donde uno de los epicentros fue frente al fundo de la asegurada ubicado en el km 291 de la Panamericana Sur; (3) en dicho evento, dentro de los enfrentamientos de la policía con los manifestantes frente al indicado fundo, cayeron innumerables bombas molotov dentro del predio, que felizmente sólo dos incendiaron el muro perimetral (Cerco Vivo) de 20 años de vida; (4) se contactó a su bróker AMERICA BROKER, el cual le derivó con dos personas: el Sr </w:t>
      </w:r>
      <w:r w:rsidRPr="547F1E58" w:rsidR="23617CDC">
        <w:rPr>
          <w:lang w:val="es-PE"/>
        </w:rPr>
        <w:t>..................</w:t>
      </w:r>
      <w:r w:rsidRPr="547F1E58" w:rsidR="00B602B0">
        <w:rPr>
          <w:lang w:val="es-PE"/>
        </w:rPr>
        <w:t xml:space="preserve"> y el Sr </w:t>
      </w:r>
      <w:r w:rsidRPr="547F1E58" w:rsidR="78A1D20D">
        <w:rPr>
          <w:lang w:val="es-PE"/>
        </w:rPr>
        <w:t>..................</w:t>
      </w:r>
      <w:r w:rsidRPr="547F1E58" w:rsidR="00B602B0">
        <w:rPr>
          <w:lang w:val="es-PE"/>
        </w:rPr>
        <w:t xml:space="preserve">, que se presentaron como de la compañía de seguros. Con estas personas, desde ICA, y ellos desde Lima, se coordinó para proteger el fundo, ya sin cerco perimétrico y totalmente expuestos a que la turba incendie la Bodega (está al pie del cerco) que albergaba aproximadamente 350,000 dólares en activos entre los stocks de Pisco (Cerca de 30,000 litros) e insumos como botellas, cajas, todos, altamente inflamables; (5) en ese momento se pidió apoyo a la comisaria de Guadalupe (a dos cuadras del fundo) exponiéndole el grave riesgo para la comunidad y policía que los manifestantes incendien toda la bodega, lo cual la policía no estaba en condiciones de proteger el predio porque no tenían capacidad logística ni siquiera para defenderse de los manifestantes, que los superaba largamente en número; (6) es en este escenario, que se conversó telefónicamente con los representantes de la aseguradora para realizar los mayores esfuerzos con el fin de proteger estos activos (350,000 dólares) instalando de manera urgente un cerco perimétrico prefabricado que evite que los manifestantes ingresen al fundo a vandalizarlo, como intentaron hacer en dos oportunidades, pero fueron repelidos por personal del fundo. Empero, finalmente el personal tuvo lesiones físicas y sus bienes personales y de la bodega fueron robados; (7) se estaba ante una inminente pérdida total si no se actuaba de inmediato y se protegía el fundo. Por ello, se pidió autorización vía telefónica con los representantes del seguro para cercar de inmediato los 80 metros (aproximadamente) que fueron quemados por el siniestro; (8) dicha actuación fue aceptada de inmediato por los representantes de la aseguradora en aras de salvaguardar todos los activos y teniendo en cuenta que instalar un cerco vivo demoraría en proteger por lo menos 6 meses; (9) el perito nunca hizo una inspección de campo porque no quiso viajar a Ica; (10) se contactó a la empresa </w:t>
      </w:r>
      <w:r w:rsidRPr="547F1E58" w:rsidR="0BD9A6F6">
        <w:rPr>
          <w:lang w:val="es-PE"/>
        </w:rPr>
        <w:t>.................................</w:t>
      </w:r>
      <w:r w:rsidRPr="547F1E58" w:rsidR="00B602B0">
        <w:rPr>
          <w:lang w:val="es-PE"/>
        </w:rPr>
        <w:t xml:space="preserve"> para que instale el cerco de inmediato, en algún momento en que bajaran las fuerzas de los manifestantes que seguían frente al fundo con su piquete. Es así como, con la policía vestida de obrero y en una ventana de tiempo de 12 horas, se logra instalar el cerco, lo cual protegió los activos en los hechos posteriores que aún se mantenían diariamente; (11) los pagos realizados luego se iban a reembolsar una vez que se presenten las facturas. Esto se realizó en los días posteriores a través del </w:t>
      </w:r>
      <w:r w:rsidRPr="547F1E58" w:rsidR="00B602B0">
        <w:rPr>
          <w:lang w:val="es-PE"/>
        </w:rPr>
        <w:t>Broker</w:t>
      </w:r>
      <w:r w:rsidRPr="547F1E58" w:rsidR="00B602B0">
        <w:rPr>
          <w:lang w:val="es-PE"/>
        </w:rPr>
        <w:t xml:space="preserve">, pero la aseguradora no aprobó ese gasto, aduciendo que en la póliza de incendio no se contemplaba el cerco vivo; (12) se hizo la reclamación de inmediato, ya que se acordó realizar ese gasto para salvaguardar la integridad de los activos totales de la Bodega valorizado según póliza en 350,000 dólares, en coordinación con los representantes de la compañía de seguros; (13) el informe de la empresa </w:t>
      </w:r>
      <w:r w:rsidRPr="547F1E58" w:rsidR="11D23031">
        <w:rPr>
          <w:lang w:val="es-PE"/>
        </w:rPr>
        <w:t>............................</w:t>
      </w:r>
      <w:r w:rsidRPr="547F1E58" w:rsidR="00B602B0">
        <w:rPr>
          <w:lang w:val="es-PE"/>
        </w:rPr>
        <w:t xml:space="preserve">, era inexacto toda vez que las dos personas que lo firman no tuvieron ningún contacto la empresa y ni siquiera realizaron una inspección de campo, lo cual genera que el informe sea poco confiable; (14) en la póliza se faculta al asegurado a realizar los medios que disponga para impedir el progreso del siniestro, para salvar y conservar los bienes asegurados siendo de cargo de la compañía los gastos debidamente acreditados, cosa que se realizó en coordinación inclusive con los representantes de la compañía de seguros, aún si esto último no fuera necesario; (15) en los cuatro años de vigencia de la póliza con </w:t>
      </w:r>
      <w:r w:rsidRPr="547F1E58" w:rsidR="7C7A2C6C">
        <w:rPr>
          <w:lang w:val="es-PE"/>
        </w:rPr>
        <w:t>..................</w:t>
      </w:r>
      <w:r w:rsidRPr="547F1E58" w:rsidR="00B602B0">
        <w:rPr>
          <w:lang w:val="es-PE"/>
        </w:rPr>
        <w:t xml:space="preserve"> han sido objetos de inspecciones de campo, realizadas por la compañía de seguros generándose observaciones a la póliza y en ningún momento se menciona la problemática del cerco vivo como perímetro del predio; (16) solicita el reembolso de los gastos </w:t>
      </w:r>
      <w:bookmarkStart w:name="_Hlk171326414" w:id="1"/>
      <w:r w:rsidRPr="547F1E58" w:rsidR="00B602B0">
        <w:rPr>
          <w:lang w:val="es-PE"/>
        </w:rPr>
        <w:t>de reposición del Cerco Vivo ascendentes a S/ 16.059.01</w:t>
      </w:r>
      <w:bookmarkEnd w:id="1"/>
      <w:r w:rsidRPr="547F1E58" w:rsidR="0054164C">
        <w:rPr>
          <w:lang w:val="es-PE"/>
        </w:rPr>
        <w:t>.</w:t>
      </w:r>
    </w:p>
    <w:p w:rsidRPr="00B602B0" w:rsidR="0054164C" w:rsidP="00B602B0" w:rsidRDefault="0054164C" w14:paraId="5E499B84" w14:textId="77777777">
      <w:pPr>
        <w:jc w:val="both"/>
        <w:rPr>
          <w:lang w:val="es-PE"/>
        </w:rPr>
      </w:pPr>
    </w:p>
    <w:p w:rsidR="00B602B0" w:rsidP="00B602B0" w:rsidRDefault="00B602B0" w14:paraId="472C2524" w14:noSpellErr="1" w14:textId="2DA8BA90">
      <w:pPr>
        <w:jc w:val="both"/>
        <w:rPr>
          <w:lang w:val="es-PE"/>
        </w:rPr>
      </w:pPr>
      <w:r w:rsidRPr="547F1E58" w:rsidR="00B602B0">
        <w:rPr>
          <w:lang w:val="es-PE"/>
        </w:rPr>
        <w:t xml:space="preserve">Que, por su parte, </w:t>
      </w:r>
      <w:r w:rsidRPr="547F1E58" w:rsidR="7C7A2C6C">
        <w:rPr>
          <w:lang w:val="es-PE"/>
        </w:rPr>
        <w:t>..................</w:t>
      </w:r>
      <w:r w:rsidRPr="547F1E58" w:rsidR="00B602B0">
        <w:rPr>
          <w:lang w:val="es-PE"/>
        </w:rPr>
        <w:t xml:space="preserve"> solicita que la reclamación sea declarada infundada, atendiendo resumidamente a lo siguiente: (1) concuerda con el Informe Final del Ajustador </w:t>
      </w:r>
      <w:r w:rsidRPr="547F1E58" w:rsidR="11D23031">
        <w:rPr>
          <w:lang w:val="es-PE"/>
        </w:rPr>
        <w:t>............................</w:t>
      </w:r>
      <w:r w:rsidRPr="547F1E58" w:rsidR="00B602B0">
        <w:rPr>
          <w:lang w:val="es-PE"/>
        </w:rPr>
        <w:t>-CHARLES TAYLOR, en el que</w:t>
      </w:r>
      <w:r w:rsidRPr="547F1E58" w:rsidR="00B602B0">
        <w:rPr>
          <w:lang w:val="es-PE"/>
        </w:rPr>
        <w:t xml:space="preserve"> se constata que se evaluó los precios de acorde con los costos promedio del mercado, así como solo se está autorizado los daños amparados en la póliza en reclamo, por lo que el monto a indemnizar es por el importe de USD 2,200.66; (2) el monto aprobado se encuentra absorbido por el deducible de la cobertura de Cobertura de Huelga, Motín, Conmoción Civil, Daño Malicioso, Vandalismo y Terrorismo, que corresponde al importe de 15% del monto indemnizable, mínimo USD 2,500.00; (3) de acuerdo con lo establecido en las Cláusulas Generales de Contratación de la Póliza, es de responsabilidad del asegurado el pago de deducible; (4) el 24 de enero de 2023, cerca del local asegurado hubo una trifulca entre unos manifestantes y la Policial Nacional del Perú (PNP) quienes, al intentar desalojar a los manifestantes, éstos comenzaron a lanzar piedras y bombas artesanales llamadas “molotov”, lo cual generó que se incendiara el cerco perimétrico (cerco vivo conformado por plantaciones) del local comercial. Posterior a ello, algunos manifestantes ingresaron al interior del local asegurado, causando daños materiales. </w:t>
      </w:r>
      <w:r w:rsidRPr="547F1E58" w:rsidR="00B602B0">
        <w:rPr>
          <w:lang w:val="es-PE"/>
        </w:rPr>
        <w:t>Posteriormente, el personal del Asegurado extinguió el fuego con agua a través de mangueras del mismo local asegurado.</w:t>
      </w:r>
      <w:r w:rsidRPr="547F1E58" w:rsidR="00B602B0">
        <w:rPr>
          <w:lang w:val="es-PE"/>
        </w:rPr>
        <w:t xml:space="preserve"> Asimismo, se pudo verificar que los manifestantes que entraron al local asegurado se llevaron varios equipos y herramientas que tenían a la mano, tales como: 3 lampas, 1 rastrillo, 1 bomba estacionaria, 3 mochilas portátiles de fumigación, entre otros. Dichos manifestantes también ingresaron al dormitorio del administrador del local asegurado y se llevaron un televisor de 49”, entre otros bienes para posteriormente quemarlos frente a la policía; (5) la evaluación de dicho siniestro fue encargada a la empresa </w:t>
      </w:r>
      <w:r w:rsidRPr="547F1E58" w:rsidR="11D23031">
        <w:rPr>
          <w:lang w:val="es-PE"/>
        </w:rPr>
        <w:t>............................</w:t>
      </w:r>
      <w:r w:rsidRPr="547F1E58" w:rsidR="00B602B0">
        <w:rPr>
          <w:lang w:val="es-PE"/>
        </w:rPr>
        <w:t xml:space="preserve"> – Charles Taylor, quienes mediante su Informe Final de fecha 13 de septiembre de 2023, señalaron que, si bien AGRO INDRUSTRIAL presentó un reclamo total por US$7,349.65, luego de ser revisado y ajustado dicho importe, se determinó una pérdida total reconocida de US$2,200.66; Sin embargo, como éste último monto se encuentra absorbido por el deducible pactado en la póliza (US$2,500), no corresponde pagar indemnización alguna; (6) dicho Informe del ajustador fue remitido por vía electrónica al corredor de seguros del asegurado, con lo cual, éste último tuvo conocimiento de la conclusión de las investigaciones realizadas, manifestando su disconformidad respecto de la opinión del ajustador; (7)  la Póliza entre sus exclusiones contempla que no se cubre daños a parrones, plantaciones, cultivos, árboles, bosques, terrenos y/o tierras y/o suelos; (8) en los términos contractuales aceptados por la asegurada, uno de ellos es el deducible, equivalente al 10% del monto indemnizable o mínimo US$2,500.00, así como también las exclusiones contempladas en el condicionado general, tales como plantaciones, arboles, entre otros; (9) algunos eventos si están considerados como riesgos cubiertos y otros no, y respecto a éstos últimos, por no estar asegurados estos no se tuvieron en cuenta en la liquidación del ajustador.</w:t>
      </w:r>
    </w:p>
    <w:p w:rsidRPr="00B602B0" w:rsidR="0054164C" w:rsidP="00B602B0" w:rsidRDefault="0054164C" w14:paraId="539DFC7A" w14:textId="77777777">
      <w:pPr>
        <w:jc w:val="both"/>
        <w:rPr>
          <w:lang w:val="es-PE"/>
        </w:rPr>
      </w:pPr>
    </w:p>
    <w:p w:rsidRPr="00B602B0" w:rsidR="00B602B0" w:rsidP="00B602B0" w:rsidRDefault="00B602B0" w14:paraId="0399B2D8" w14:noSpellErr="1" w14:textId="6DA4B8E5">
      <w:pPr>
        <w:jc w:val="both"/>
        <w:rPr>
          <w:lang w:val="es-PE"/>
        </w:rPr>
      </w:pPr>
      <w:r w:rsidRPr="547F1E58" w:rsidR="00B602B0">
        <w:rPr>
          <w:lang w:val="es-PE"/>
        </w:rPr>
        <w:t xml:space="preserve">Que, con ocasión de la audiencia de vista, se requirió a la aseguradora que se pronuncien respecto: - de alcance de la cláusula de salvamento; - del vínculo con la persona identificada como personal de </w:t>
      </w:r>
      <w:r w:rsidRPr="547F1E58" w:rsidR="7C7A2C6C">
        <w:rPr>
          <w:lang w:val="es-PE"/>
        </w:rPr>
        <w:t>..................</w:t>
      </w:r>
      <w:r w:rsidRPr="547F1E58" w:rsidR="00B602B0">
        <w:rPr>
          <w:lang w:val="es-PE"/>
        </w:rPr>
        <w:t xml:space="preserve">; - del alcance de las comunicaciones mantenidas por WhatsApp; y, - si los gastos incurridos es un medio de protección para evitar la agravación del riesgo. </w:t>
      </w:r>
    </w:p>
    <w:p w:rsidR="00B602B0" w:rsidP="00B602B0" w:rsidRDefault="00B602B0" w14:paraId="3A6EB700" w14:textId="3787B736">
      <w:pPr>
        <w:jc w:val="both"/>
        <w:rPr>
          <w:lang w:val="es-PE"/>
        </w:rPr>
      </w:pPr>
      <w:r w:rsidRPr="547F1E58" w:rsidR="00B602B0">
        <w:rPr>
          <w:lang w:val="es-PE"/>
        </w:rPr>
        <w:t>Que, mediante escrito del 28 de mayo de 2024, la aseguradora se pronunció manifestando en síntesis lo siguiente: (i) en el artículo 13 de las Cláusulas Generales de Contratación se desarrolla la subrogación y salvamento, y ahí cuando se menciona “salvamento”, se hace referencia a que la asegurada debe otorgar los bienes siniestrados a la compañía de seguros en caso dichos bienes o restos existan; (</w:t>
      </w:r>
      <w:r w:rsidRPr="547F1E58" w:rsidR="00B602B0">
        <w:rPr>
          <w:lang w:val="es-PE"/>
        </w:rPr>
        <w:t>ii</w:t>
      </w:r>
      <w:r w:rsidRPr="547F1E58" w:rsidR="00B602B0">
        <w:rPr>
          <w:lang w:val="es-PE"/>
        </w:rPr>
        <w:t>) el cerco prefabricado no puede ser objeto de salvamiento, pues no fue parte del siniestro reportado por el asegurado; (</w:t>
      </w:r>
      <w:r w:rsidRPr="547F1E58" w:rsidR="00B602B0">
        <w:rPr>
          <w:lang w:val="es-PE"/>
        </w:rPr>
        <w:t>iii</w:t>
      </w:r>
      <w:r w:rsidRPr="547F1E58" w:rsidR="00B602B0">
        <w:rPr>
          <w:lang w:val="es-PE"/>
        </w:rPr>
        <w:t>) cuando ocurrió el siniestro, lo único que delimitaba al local comercial asegurado era un cerco vivo, lo cual está expresamente excluido de la cobertura de “daño malicioso y/o vandalismo y/o terrorismo” pactado en la póliza contratada con el reclamante; (</w:t>
      </w:r>
      <w:r w:rsidRPr="547F1E58" w:rsidR="00B602B0">
        <w:rPr>
          <w:lang w:val="es-PE"/>
        </w:rPr>
        <w:t>iv</w:t>
      </w:r>
      <w:r w:rsidRPr="547F1E58" w:rsidR="00B602B0">
        <w:rPr>
          <w:lang w:val="es-PE"/>
        </w:rPr>
        <w:t xml:space="preserve">) la persona sobre la cual se requiere información se trata del señor </w:t>
      </w:r>
      <w:r w:rsidRPr="547F1E58" w:rsidR="6F830CD0">
        <w:rPr>
          <w:lang w:val="es-PE"/>
        </w:rPr>
        <w:t>.......................................................</w:t>
      </w:r>
      <w:r w:rsidRPr="547F1E58" w:rsidR="00B602B0">
        <w:rPr>
          <w:lang w:val="es-PE"/>
        </w:rPr>
        <w:t xml:space="preserve">, quien es un Evaluador de Siniestros de la firma </w:t>
      </w:r>
      <w:r w:rsidRPr="547F1E58" w:rsidR="718708EF">
        <w:rPr>
          <w:lang w:val="es-PE"/>
        </w:rPr>
        <w:t>..................................................................................</w:t>
      </w:r>
      <w:r w:rsidRPr="547F1E58" w:rsidR="00B602B0">
        <w:rPr>
          <w:lang w:val="es-PE"/>
        </w:rPr>
        <w:t xml:space="preserve"> DE SEGUROS S.A.; (v) el señor </w:t>
      </w:r>
      <w:r w:rsidRPr="547F1E58" w:rsidR="23617CDC">
        <w:rPr>
          <w:lang w:val="es-PE"/>
        </w:rPr>
        <w:t>..................</w:t>
      </w:r>
      <w:r w:rsidRPr="547F1E58" w:rsidR="00B602B0">
        <w:rPr>
          <w:lang w:val="es-PE"/>
        </w:rPr>
        <w:t xml:space="preserve"> realizó sus funciones como evaluador del siniestro materia del presente reclamo, conforme a las disposiciones de la Ley del Contrato de Seguro y del Reglamento para la Gestión y Pago de Siniestros, aprobado mediante Resolución SBS </w:t>
      </w:r>
      <w:r w:rsidRPr="547F1E58" w:rsidR="00B602B0">
        <w:rPr>
          <w:lang w:val="es-PE"/>
        </w:rPr>
        <w:t>N°</w:t>
      </w:r>
      <w:r w:rsidRPr="547F1E58" w:rsidR="00B602B0">
        <w:rPr>
          <w:lang w:val="es-PE"/>
        </w:rPr>
        <w:t xml:space="preserve"> 3202-2013; (vi) la aseguradora no cuenta con los mensajes de WhatsApp entre el perito de la compañía ajustadora y el asegurado; (</w:t>
      </w:r>
      <w:r w:rsidRPr="547F1E58" w:rsidR="00B602B0">
        <w:rPr>
          <w:lang w:val="es-PE"/>
        </w:rPr>
        <w:t>vii</w:t>
      </w:r>
      <w:r w:rsidRPr="547F1E58" w:rsidR="00B602B0">
        <w:rPr>
          <w:lang w:val="es-PE"/>
        </w:rPr>
        <w:t>) el cerco perimétrico prefabricado fue instalado con posterioridad al siniestro reportado, cumpliendo con la carga contractual establecida en la póliza de seguro; (</w:t>
      </w:r>
      <w:r w:rsidRPr="547F1E58" w:rsidR="00B602B0">
        <w:rPr>
          <w:lang w:val="es-PE"/>
        </w:rPr>
        <w:t>viii</w:t>
      </w:r>
      <w:r w:rsidRPr="547F1E58" w:rsidR="00B602B0">
        <w:rPr>
          <w:lang w:val="es-PE"/>
        </w:rPr>
        <w:t>) la aseguradora no puede reembolsar ni realizar algún pago ajeno a los términos y condiciones pactados con el asegurado; (</w:t>
      </w:r>
      <w:r w:rsidRPr="547F1E58" w:rsidR="00B602B0">
        <w:rPr>
          <w:lang w:val="es-PE"/>
        </w:rPr>
        <w:t>ix</w:t>
      </w:r>
      <w:r w:rsidRPr="547F1E58" w:rsidR="00B602B0">
        <w:rPr>
          <w:lang w:val="es-PE"/>
        </w:rPr>
        <w:t xml:space="preserve">) la compañía Ajustadora Charles Taylor realizó directamente el procedimiento de verificación del siniestro, emitiendo la liquidación de ajuste </w:t>
      </w:r>
      <w:r w:rsidRPr="547F1E58" w:rsidR="00B602B0">
        <w:rPr>
          <w:lang w:val="es-PE"/>
        </w:rPr>
        <w:t>N°</w:t>
      </w:r>
      <w:r w:rsidRPr="547F1E58" w:rsidR="00B602B0">
        <w:rPr>
          <w:lang w:val="es-PE"/>
        </w:rPr>
        <w:t xml:space="preserve"> 306781 y siendo debidamente informado al bróker del asegurado con fecha 13 de febrero de 2023; (x) constituye carga del asegurado proteger sus bienes y evitar la agravación del riesgo, así como evitar o disminuir las pérdidas, conforme a los numerales 7.2 y 7.5 la cláusula 7° de las Cláusulas Generales de Contratación; (xi) los gastos en los cuales haya incurrido la asegurada para proteger sus bienes o evitar o reducir el riesgo, constituyen una carga asumida por ésta; ergo, ello no puede significar que </w:t>
      </w:r>
      <w:r w:rsidRPr="547F1E58" w:rsidR="7C7A2C6C">
        <w:rPr>
          <w:lang w:val="es-PE"/>
        </w:rPr>
        <w:t>..................</w:t>
      </w:r>
      <w:r w:rsidRPr="547F1E58" w:rsidR="00B602B0">
        <w:rPr>
          <w:lang w:val="es-PE"/>
        </w:rPr>
        <w:t xml:space="preserve"> deba “reembolsar o cubrir” tales gastos, máxime cuando ello no ha sido pactado en la póliza de seguro contratada; (</w:t>
      </w:r>
      <w:r w:rsidRPr="547F1E58" w:rsidR="00B602B0">
        <w:rPr>
          <w:lang w:val="es-PE"/>
        </w:rPr>
        <w:t>xii</w:t>
      </w:r>
      <w:r w:rsidRPr="547F1E58" w:rsidR="00B602B0">
        <w:rPr>
          <w:lang w:val="es-PE"/>
        </w:rPr>
        <w:t>) en el supuesto negado de que alguna persona, perito ajustador o tercero hubiese recomendado a la asegurada realizar acciones para proteger sus bienes, como por ejemplo la fabricación de un cerco o similares, ello no significa de modo alguno que los costos involucrados para tales fines deban ser asumidos por la compañía de seguros; (</w:t>
      </w:r>
      <w:r w:rsidRPr="547F1E58" w:rsidR="00B602B0">
        <w:rPr>
          <w:lang w:val="es-PE"/>
        </w:rPr>
        <w:t>xiii</w:t>
      </w:r>
      <w:r w:rsidRPr="547F1E58" w:rsidR="00B602B0">
        <w:rPr>
          <w:lang w:val="es-PE"/>
        </w:rPr>
        <w:t>) la decisión unilateral del asegurado de poner un cerco perimétrico prefabricado es un acto común que realiza cualquier propietario o poseedor de un predio y, por ende, no puede considerarse como acto inmediato de protección o legítima defensa ante una determinada amenaza. Por ello, dicho accionar del reclamante no está subsumido en ninguna de las excepciones a la agravación del riesgo contenidas en el artículo 64º de la Ley de Contrato de Seguro.</w:t>
      </w:r>
    </w:p>
    <w:p w:rsidRPr="00B602B0" w:rsidR="0054164C" w:rsidP="00B602B0" w:rsidRDefault="0054164C" w14:paraId="62099220" w14:textId="77777777">
      <w:pPr>
        <w:jc w:val="both"/>
        <w:rPr>
          <w:b/>
          <w:lang w:val="es-PE"/>
        </w:rPr>
      </w:pPr>
    </w:p>
    <w:p w:rsidR="00B602B0" w:rsidP="00B602B0" w:rsidRDefault="00B602B0" w14:paraId="446F4D1F" w14:textId="069BD1E9">
      <w:pPr>
        <w:jc w:val="both"/>
        <w:rPr>
          <w:lang w:val="es-PE"/>
        </w:rPr>
      </w:pPr>
      <w:r w:rsidRPr="547F1E58" w:rsidR="00B602B0">
        <w:rPr>
          <w:lang w:val="es-PE"/>
        </w:rPr>
        <w:t>Que, mediante escrito del 10 de junio de 2024, la reclamante absuelve el traslado, indicando en resumen lo siguiente: (i) el cerco tipo Prefabricado fue instalado a la luz de la cláusula de Salvamento; (</w:t>
      </w:r>
      <w:r w:rsidRPr="547F1E58" w:rsidR="00B602B0">
        <w:rPr>
          <w:lang w:val="es-PE"/>
        </w:rPr>
        <w:t>ii</w:t>
      </w:r>
      <w:r w:rsidRPr="547F1E58" w:rsidR="00B602B0">
        <w:rPr>
          <w:lang w:val="es-PE"/>
        </w:rPr>
        <w:t xml:space="preserve">) el cerco Vivo que poseía el predio en un área de 80 metros lineales </w:t>
      </w:r>
      <w:r w:rsidRPr="547F1E58" w:rsidR="00B602B0">
        <w:rPr>
          <w:lang w:val="es-PE"/>
        </w:rPr>
        <w:t>np</w:t>
      </w:r>
      <w:r w:rsidRPr="547F1E58" w:rsidR="00B602B0">
        <w:rPr>
          <w:lang w:val="es-PE"/>
        </w:rPr>
        <w:t xml:space="preserve"> estaba asegurado según la póliza, pero tampoco observado en ninguna de las visitas de inspección que realizó </w:t>
      </w:r>
      <w:r w:rsidRPr="547F1E58" w:rsidR="7C7A2C6C">
        <w:rPr>
          <w:lang w:val="es-PE"/>
        </w:rPr>
        <w:t>..................</w:t>
      </w:r>
      <w:r w:rsidRPr="547F1E58" w:rsidR="00B602B0">
        <w:rPr>
          <w:lang w:val="es-PE"/>
        </w:rPr>
        <w:t xml:space="preserve"> al inicio de la póliza anual por espacio de 4 años; (</w:t>
      </w:r>
      <w:r w:rsidRPr="547F1E58" w:rsidR="00B602B0">
        <w:rPr>
          <w:lang w:val="es-PE"/>
        </w:rPr>
        <w:t>iii</w:t>
      </w:r>
      <w:r w:rsidRPr="547F1E58" w:rsidR="00B602B0">
        <w:rPr>
          <w:lang w:val="es-PE"/>
        </w:rPr>
        <w:t>) el siniestro no fue un solo día sino tuvo un periodo de tiempo de aprox. 20 días, ocurriendo el incendio en el cerco los primeros días de las revueltas, dejando totalmente expuesta la Bodega del Fundo, que contenía 350,000 dólares en activos que si estaban asegurados; (</w:t>
      </w:r>
      <w:r w:rsidRPr="547F1E58" w:rsidR="00B602B0">
        <w:rPr>
          <w:lang w:val="es-PE"/>
        </w:rPr>
        <w:t>iv</w:t>
      </w:r>
      <w:r w:rsidRPr="547F1E58" w:rsidR="00B602B0">
        <w:rPr>
          <w:lang w:val="es-PE"/>
        </w:rPr>
        <w:t xml:space="preserve">) en coordinación con el perito que se presentó como parte de la compañía de seguros, conforme a los WhatsApp, se procedió a proteger esos bienes ante el inminente peligro de perderlos en su totalidad en la siguiente revuelta con un nuevo siniestro de proporciones más grandes. Por ello, se aceptó instalar una protección inmediata a la Bodega, que ante la imposibilidad de reponerlo con un elemento similar al siniestrado, es que luego de la cotización enviada al perito se decide por la instalación del cerco prefabricado, como único elemento inmediato para proteger los bienes con una mínima inversión con relación al valor asegurado; (v) el cerco sí fue parte del siniestro reportado, figura en el primer ítem de la relación de bienes que se perdieron, pero </w:t>
      </w:r>
      <w:r w:rsidRPr="547F1E58" w:rsidR="7C7A2C6C">
        <w:rPr>
          <w:lang w:val="es-PE"/>
        </w:rPr>
        <w:t>..................</w:t>
      </w:r>
      <w:r w:rsidRPr="547F1E58" w:rsidR="00B602B0">
        <w:rPr>
          <w:lang w:val="es-PE"/>
        </w:rPr>
        <w:t xml:space="preserve"> confunde al colegiado pretendiendo que se mencione cerco Prefabricado, cuando sabe muy bien que ese tipo de cerco no fue parte del siniestro sino por el contrario fue la solución para proteger los bienes, en evidente riesgo de perderlos al 100%; (vi) quizá por un error involuntario debió mencionarse o reclamarse en un acápite aparte dentro del concepto de salvamento, pero el no haberlo hecho así no desconoce el derecho de pedir el reembolso de ese dinero invertido en coordinación con el perito de la aseguradora; (</w:t>
      </w:r>
      <w:r w:rsidRPr="547F1E58" w:rsidR="00B602B0">
        <w:rPr>
          <w:lang w:val="es-PE"/>
        </w:rPr>
        <w:t>vii</w:t>
      </w:r>
      <w:r w:rsidRPr="547F1E58" w:rsidR="00B602B0">
        <w:rPr>
          <w:lang w:val="es-PE"/>
        </w:rPr>
        <w:t xml:space="preserve">) </w:t>
      </w:r>
      <w:r w:rsidRPr="547F1E58" w:rsidR="7C7A2C6C">
        <w:rPr>
          <w:lang w:val="es-PE"/>
        </w:rPr>
        <w:t>..................</w:t>
      </w:r>
      <w:r w:rsidRPr="547F1E58" w:rsidR="00B602B0">
        <w:rPr>
          <w:lang w:val="es-PE"/>
        </w:rPr>
        <w:t xml:space="preserve"> acepta que el Sr. </w:t>
      </w:r>
      <w:r w:rsidRPr="547F1E58" w:rsidR="4F2F460F">
        <w:rPr>
          <w:lang w:val="es-PE"/>
        </w:rPr>
        <w:t>.......................................................</w:t>
      </w:r>
      <w:r w:rsidRPr="547F1E58" w:rsidR="00B602B0">
        <w:rPr>
          <w:lang w:val="es-PE"/>
        </w:rPr>
        <w:t xml:space="preserve"> trabaja como ajustador, pero en el siniestro se presentó como “</w:t>
      </w:r>
      <w:r w:rsidRPr="547F1E58" w:rsidR="7A38013E">
        <w:rPr>
          <w:lang w:val="es-PE"/>
        </w:rPr>
        <w:t>..................</w:t>
      </w:r>
      <w:r w:rsidRPr="547F1E58" w:rsidR="00B602B0">
        <w:rPr>
          <w:lang w:val="es-PE"/>
        </w:rPr>
        <w:t xml:space="preserve"> del seguro” como se muestra en la conversación vía chat del 26 de enero de 2023; (</w:t>
      </w:r>
      <w:r w:rsidRPr="547F1E58" w:rsidR="00B602B0">
        <w:rPr>
          <w:lang w:val="es-PE"/>
        </w:rPr>
        <w:t>viii</w:t>
      </w:r>
      <w:r w:rsidRPr="547F1E58" w:rsidR="00B602B0">
        <w:rPr>
          <w:lang w:val="es-PE"/>
        </w:rPr>
        <w:t xml:space="preserve">) dentro de esa conversación se habla de reponer el cerco vivo con un cerco prefabricado que permita proteger los bienes asegurados, lo cual se aceptó claramente en el chat, tanto la cotización como </w:t>
      </w:r>
      <w:r w:rsidRPr="547F1E58" w:rsidR="00B602B0">
        <w:rPr>
          <w:lang w:val="es-PE"/>
        </w:rPr>
        <w:t>el</w:t>
      </w:r>
      <w:r w:rsidRPr="547F1E58" w:rsidR="00B602B0">
        <w:rPr>
          <w:lang w:val="es-PE"/>
        </w:rPr>
        <w:t xml:space="preserve"> envió de la factura de ese gasto para reembolso; (</w:t>
      </w:r>
      <w:r w:rsidRPr="547F1E58" w:rsidR="00B602B0">
        <w:rPr>
          <w:lang w:val="es-PE"/>
        </w:rPr>
        <w:t>ix</w:t>
      </w:r>
      <w:r w:rsidRPr="547F1E58" w:rsidR="00B602B0">
        <w:rPr>
          <w:lang w:val="es-PE"/>
        </w:rPr>
        <w:t xml:space="preserve">) el perito nunca fue a realizar la visita de inspección al mismo fundo, a pesar de que se le ofreció a llevarlo de Lima y regresarlo el mismo día, pero por un facilismo y mala práctica decidió no ir presencialmente; (x) la compañía Charles Taylor envía su informe y cambia el nombre del perito con el cual se coordinó todo </w:t>
      </w:r>
      <w:r w:rsidRPr="547F1E58" w:rsidR="7A38013E">
        <w:rPr>
          <w:lang w:val="es-PE"/>
        </w:rPr>
        <w:t>..................</w:t>
      </w:r>
      <w:r w:rsidRPr="547F1E58" w:rsidR="00B602B0">
        <w:rPr>
          <w:lang w:val="es-PE"/>
        </w:rPr>
        <w:t xml:space="preserve"> </w:t>
      </w:r>
      <w:r w:rsidRPr="547F1E58" w:rsidR="23617CDC">
        <w:rPr>
          <w:lang w:val="es-PE"/>
        </w:rPr>
        <w:t>..................</w:t>
      </w:r>
      <w:r w:rsidRPr="547F1E58" w:rsidR="00B602B0">
        <w:rPr>
          <w:lang w:val="es-PE"/>
        </w:rPr>
        <w:t xml:space="preserve"> con otro perito llamado Boris Quiñones, con el que no se tuvo ningún contacto con él; (xi) </w:t>
      </w:r>
      <w:r w:rsidRPr="547F1E58" w:rsidR="7C7A2C6C">
        <w:rPr>
          <w:lang w:val="es-PE"/>
        </w:rPr>
        <w:t>..................</w:t>
      </w:r>
      <w:r w:rsidRPr="547F1E58" w:rsidR="00B602B0">
        <w:rPr>
          <w:lang w:val="es-PE"/>
        </w:rPr>
        <w:t xml:space="preserve"> desconoce los mensajes de WhatsApp, lo cual es totalmente falso puesto que con carta dirigida al Sr. </w:t>
      </w:r>
      <w:r w:rsidRPr="547F1E58" w:rsidR="6B6DFF74">
        <w:rPr>
          <w:lang w:val="es-PE"/>
        </w:rPr>
        <w:t>..................................</w:t>
      </w:r>
      <w:r w:rsidRPr="547F1E58" w:rsidR="00B602B0">
        <w:rPr>
          <w:lang w:val="es-PE"/>
        </w:rPr>
        <w:t xml:space="preserve">, director de seguros generales, del 20 de diciembre del 2023 se volvió a presentar el caso donde se incluyó copia de los mensajes de WhatsApp con el Sr. </w:t>
      </w:r>
      <w:r w:rsidRPr="547F1E58" w:rsidR="7A38013E">
        <w:rPr>
          <w:lang w:val="es-PE"/>
        </w:rPr>
        <w:t>..................</w:t>
      </w:r>
      <w:r w:rsidRPr="547F1E58" w:rsidR="00B602B0">
        <w:rPr>
          <w:lang w:val="es-PE"/>
        </w:rPr>
        <w:t xml:space="preserve"> </w:t>
      </w:r>
      <w:r w:rsidRPr="547F1E58" w:rsidR="23617CDC">
        <w:rPr>
          <w:lang w:val="es-PE"/>
        </w:rPr>
        <w:t>..................</w:t>
      </w:r>
      <w:r w:rsidRPr="547F1E58" w:rsidR="00B602B0">
        <w:rPr>
          <w:lang w:val="es-PE"/>
        </w:rPr>
        <w:t>; (</w:t>
      </w:r>
      <w:r w:rsidRPr="547F1E58" w:rsidR="00B602B0">
        <w:rPr>
          <w:lang w:val="es-PE"/>
        </w:rPr>
        <w:t>xii</w:t>
      </w:r>
      <w:r w:rsidRPr="547F1E58" w:rsidR="00B602B0">
        <w:rPr>
          <w:lang w:val="es-PE"/>
        </w:rPr>
        <w:t xml:space="preserve">) el Bróker le confirmaba a </w:t>
      </w:r>
      <w:r w:rsidRPr="547F1E58" w:rsidR="7C7A2C6C">
        <w:rPr>
          <w:lang w:val="es-PE"/>
        </w:rPr>
        <w:t>..................</w:t>
      </w:r>
      <w:r w:rsidRPr="547F1E58" w:rsidR="00B602B0">
        <w:rPr>
          <w:lang w:val="es-PE"/>
        </w:rPr>
        <w:t xml:space="preserve"> que el gasto prefabricado instalado se hizo bajo el concepto de Salvataje, por consiguiente, no forma parte de los bienes siniestrados sino forma parte de la solución para proteger los bienes asegurados ante la inminente pérdida total de no accionar esta solución; (</w:t>
      </w:r>
      <w:r w:rsidRPr="547F1E58" w:rsidR="00B602B0">
        <w:rPr>
          <w:lang w:val="es-PE"/>
        </w:rPr>
        <w:t>xiii</w:t>
      </w:r>
      <w:r w:rsidRPr="547F1E58" w:rsidR="00B602B0">
        <w:rPr>
          <w:lang w:val="es-PE"/>
        </w:rPr>
        <w:t xml:space="preserve">) en la conversación de WhatsApp, que obra en el expediente, claramente se habla de proteger los bienes con la instalación inmediata del cerco prefabricado, cuyas cotizaciones fueron enviadas al perito y aprobadas por él, siempre en el contexto que se presentó como parte de la compañía de seguros y no como parte de </w:t>
      </w:r>
      <w:r w:rsidRPr="547F1E58" w:rsidR="2DE59D7D">
        <w:rPr>
          <w:lang w:val="es-PE"/>
        </w:rPr>
        <w:t>..............................................</w:t>
      </w:r>
      <w:r w:rsidRPr="547F1E58" w:rsidR="00B602B0">
        <w:rPr>
          <w:lang w:val="es-PE"/>
        </w:rPr>
        <w:t>, el ajustador; (</w:t>
      </w:r>
      <w:r w:rsidRPr="547F1E58" w:rsidR="00B602B0">
        <w:rPr>
          <w:lang w:val="es-PE"/>
        </w:rPr>
        <w:t>xiv</w:t>
      </w:r>
      <w:r w:rsidRPr="547F1E58" w:rsidR="00B602B0">
        <w:rPr>
          <w:lang w:val="es-PE"/>
        </w:rPr>
        <w:t>) se entiende que el riesgo de siniestro fue una ventana de tiempo de 20 días aproximadamente en la cual los revoltosos formaron su piquete y cierre de la carretera a 10 metros del fundo; (</w:t>
      </w:r>
      <w:r w:rsidRPr="547F1E58" w:rsidR="00B602B0">
        <w:rPr>
          <w:lang w:val="es-PE"/>
        </w:rPr>
        <w:t>xv</w:t>
      </w:r>
      <w:r w:rsidRPr="547F1E58" w:rsidR="00B602B0">
        <w:rPr>
          <w:lang w:val="es-PE"/>
        </w:rPr>
        <w:t>) el primer siniestro del incendio fue el 24 de enero del 2023 pero la convulsión que implicaba un potencial siguiente siniestro se extendió por 20 días más, tiempo en el cual se generaron dos eventos similares con trifulca entre los manifestantes  y la policía frente al fundo, pero gracias al cerco de protección, los bienes asegurados no sufrieron ningún perjuicio, situación distinta hubiese sido si no se instalaba la protección del cerco puesto que ahora estaríamos lamentando la pérdida total de los bienes asegurados; (</w:t>
      </w:r>
      <w:r w:rsidRPr="547F1E58" w:rsidR="00B602B0">
        <w:rPr>
          <w:lang w:val="es-PE"/>
        </w:rPr>
        <w:t>xvi</w:t>
      </w:r>
      <w:r w:rsidRPr="547F1E58" w:rsidR="00B602B0">
        <w:rPr>
          <w:lang w:val="es-PE"/>
        </w:rPr>
        <w:t xml:space="preserve">) </w:t>
      </w:r>
      <w:r w:rsidRPr="547F1E58" w:rsidR="7C7A2C6C">
        <w:rPr>
          <w:lang w:val="es-PE"/>
        </w:rPr>
        <w:t>..................</w:t>
      </w:r>
      <w:r w:rsidRPr="547F1E58" w:rsidR="00B602B0">
        <w:rPr>
          <w:lang w:val="es-PE"/>
        </w:rPr>
        <w:t xml:space="preserve"> mal interpreta dos cláusulas de la póliza de seguro que no tienen relación con el siniestro. En la primera “Mantener el estado del seguro”, esto habla del momento de solicitar el seguro y no de la ventana de tiempo del siniestro. En la segunda “Evitar o disminuir las pérdidas”, se refiere a las medidas necesarias para evitar la ocurrencia de un siniestro o para disminuir la gravedad e intensidad de sus consecuencias, actuando como si no estuviera asegurado; (</w:t>
      </w:r>
      <w:r w:rsidRPr="547F1E58" w:rsidR="00B602B0">
        <w:rPr>
          <w:lang w:val="es-PE"/>
        </w:rPr>
        <w:t>xvii</w:t>
      </w:r>
      <w:r w:rsidRPr="547F1E58" w:rsidR="00B602B0">
        <w:rPr>
          <w:lang w:val="es-PE"/>
        </w:rPr>
        <w:t>)  la cláusula no quiere decir que al asegurado corresponde el derecho de solicitar la cláusula de “Salvamento” durante la ventana de tiempo del siniestro ocurrido en enero del 2023 para proteger los bienes asegurados; (</w:t>
      </w:r>
      <w:r w:rsidRPr="547F1E58" w:rsidR="00B602B0">
        <w:rPr>
          <w:lang w:val="es-PE"/>
        </w:rPr>
        <w:t>xviii</w:t>
      </w:r>
      <w:r w:rsidRPr="547F1E58" w:rsidR="00B602B0">
        <w:rPr>
          <w:lang w:val="es-PE"/>
        </w:rPr>
        <w:t xml:space="preserve">) el Sr. </w:t>
      </w:r>
      <w:r w:rsidRPr="547F1E58" w:rsidR="229834AB">
        <w:rPr>
          <w:lang w:val="es-PE"/>
        </w:rPr>
        <w:t>..............</w:t>
      </w:r>
      <w:r w:rsidRPr="547F1E58" w:rsidR="00B602B0">
        <w:rPr>
          <w:lang w:val="es-PE"/>
        </w:rPr>
        <w:t xml:space="preserve"> </w:t>
      </w:r>
      <w:r w:rsidRPr="547F1E58" w:rsidR="23617CDC">
        <w:rPr>
          <w:lang w:val="es-PE"/>
        </w:rPr>
        <w:t>..................</w:t>
      </w:r>
      <w:r w:rsidRPr="547F1E58" w:rsidR="00B602B0">
        <w:rPr>
          <w:lang w:val="es-PE"/>
        </w:rPr>
        <w:t xml:space="preserve"> se presentó como parte de la aseguradora no del ajustador y con él se coordinó la instalación del cerco protector de los bienes asegurados, como muestra la conversación vía WhatsApp; (xi) no es cierto que esta fue una decisión unilateral, sino fue coordinada con la única persona con la cual tuvimos contacto en pleno siniestro, reiterando que el siniestro no fue un solo día sino tuvo una ventana de tiempo de 20 días; (</w:t>
      </w:r>
      <w:r w:rsidRPr="547F1E58" w:rsidR="00B602B0">
        <w:rPr>
          <w:lang w:val="es-PE"/>
        </w:rPr>
        <w:t>xii</w:t>
      </w:r>
      <w:r w:rsidRPr="547F1E58" w:rsidR="00B602B0">
        <w:rPr>
          <w:lang w:val="es-PE"/>
        </w:rPr>
        <w:t xml:space="preserve">) </w:t>
      </w:r>
      <w:r w:rsidRPr="547F1E58" w:rsidR="7C7A2C6C">
        <w:rPr>
          <w:lang w:val="es-PE"/>
        </w:rPr>
        <w:t>..................</w:t>
      </w:r>
      <w:r w:rsidRPr="547F1E58" w:rsidR="00B602B0">
        <w:rPr>
          <w:lang w:val="es-PE"/>
        </w:rPr>
        <w:t xml:space="preserve"> debe reembolsar el gasto incurrido bajo la cláusula de Salvataje, para proteger los bienes asegurados valorados en 350,000 dólares, como al final se consiguió luego de recibir en dos oportunidades siguientes los embates de la turba sin reportar nuevos daños a las instalaciones.</w:t>
      </w:r>
    </w:p>
    <w:p w:rsidRPr="00B602B0" w:rsidR="0054164C" w:rsidP="00B602B0" w:rsidRDefault="0054164C" w14:paraId="0AD4118E" w14:textId="77777777">
      <w:pPr>
        <w:jc w:val="both"/>
        <w:rPr>
          <w:lang w:val="es-PE"/>
        </w:rPr>
      </w:pPr>
    </w:p>
    <w:p w:rsidR="00B602B0" w:rsidP="00B602B0" w:rsidRDefault="00B602B0" w14:paraId="7CEE7B18" w14:textId="77777777">
      <w:pPr>
        <w:jc w:val="both"/>
        <w:rPr>
          <w:b/>
          <w:lang w:val="es-PE"/>
        </w:rPr>
      </w:pPr>
      <w:r w:rsidRPr="00B602B0">
        <w:rPr>
          <w:b/>
          <w:lang w:val="es-PE"/>
        </w:rPr>
        <w:t xml:space="preserve">CONSIDERANDO: </w:t>
      </w:r>
    </w:p>
    <w:p w:rsidRPr="00B602B0" w:rsidR="0054164C" w:rsidP="00B602B0" w:rsidRDefault="0054164C" w14:paraId="446F6030" w14:textId="77777777">
      <w:pPr>
        <w:jc w:val="both"/>
        <w:rPr>
          <w:b/>
          <w:lang w:val="es-PE"/>
        </w:rPr>
      </w:pPr>
    </w:p>
    <w:p w:rsidR="00B602B0" w:rsidP="00B602B0" w:rsidRDefault="00B602B0" w14:paraId="63F549F1" w14:textId="77777777">
      <w:pPr>
        <w:jc w:val="both"/>
        <w:rPr>
          <w:lang w:val="es-PE"/>
        </w:rPr>
      </w:pPr>
      <w:r w:rsidRPr="00B602B0">
        <w:rPr>
          <w:b/>
          <w:u w:val="single"/>
          <w:lang w:val="es-PE"/>
        </w:rPr>
        <w:t>PRIMERO</w:t>
      </w:r>
      <w:r w:rsidRPr="00B602B0">
        <w:rPr>
          <w:lang w:val="es-PE"/>
        </w:rPr>
        <w:t>: Conforme a su reglamento, la</w:t>
      </w:r>
      <w:r w:rsidRPr="00B602B0">
        <w:rPr>
          <w:b/>
          <w:bCs/>
          <w:lang w:val="es-PE"/>
        </w:rPr>
        <w:t xml:space="preserve"> </w:t>
      </w:r>
      <w:r w:rsidRPr="00B602B0">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B602B0" w:rsidR="0054164C" w:rsidP="00B602B0" w:rsidRDefault="0054164C" w14:paraId="004854FD" w14:textId="77777777">
      <w:pPr>
        <w:jc w:val="both"/>
        <w:rPr>
          <w:lang w:val="es-PE"/>
        </w:rPr>
      </w:pPr>
    </w:p>
    <w:p w:rsidRPr="00B602B0" w:rsidR="00B602B0" w:rsidP="00B602B0" w:rsidRDefault="00B602B0" w14:paraId="54229710" w14:textId="77777777">
      <w:pPr>
        <w:jc w:val="both"/>
        <w:rPr>
          <w:bCs/>
          <w:lang w:val="es-PE"/>
        </w:rPr>
      </w:pPr>
      <w:r w:rsidRPr="00B602B0">
        <w:rPr>
          <w:b/>
          <w:u w:val="single"/>
          <w:lang w:val="es-PE"/>
        </w:rPr>
        <w:t>SEGUNDO</w:t>
      </w:r>
      <w:r w:rsidRPr="00B602B0">
        <w:rPr>
          <w:lang w:val="es-PE"/>
        </w:rPr>
        <w:t xml:space="preserve">: Asimismo, de acuerdo a </w:t>
      </w:r>
      <w:r w:rsidRPr="00B602B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00B602B0" w:rsidP="00B602B0" w:rsidRDefault="00B602B0" w14:paraId="4E0A2BF6" w14:textId="77777777">
      <w:pPr>
        <w:jc w:val="both"/>
        <w:rPr>
          <w:lang w:val="es-PE"/>
        </w:rPr>
      </w:pPr>
      <w:r w:rsidRPr="00B602B0">
        <w:rPr>
          <w:b/>
          <w:bCs/>
          <w:u w:val="single"/>
          <w:lang w:val="es-PE"/>
        </w:rPr>
        <w:t>TERCERO</w:t>
      </w:r>
      <w:r w:rsidRPr="00B602B0">
        <w:rPr>
          <w:b/>
          <w:bCs/>
          <w:lang w:val="es-PE"/>
        </w:rPr>
        <w:t>:</w:t>
      </w:r>
      <w:r w:rsidRPr="00B602B0">
        <w:rPr>
          <w:lang w:val="es-PE"/>
        </w:rPr>
        <w:t xml:space="preserv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602B0" w:rsidR="0054164C" w:rsidP="00B602B0" w:rsidRDefault="0054164C" w14:paraId="4747CAEB" w14:textId="77777777">
      <w:pPr>
        <w:jc w:val="both"/>
        <w:rPr>
          <w:lang w:val="es-PE"/>
        </w:rPr>
      </w:pPr>
    </w:p>
    <w:p w:rsidRPr="00B602B0" w:rsidR="00B602B0" w:rsidP="00B602B0" w:rsidRDefault="00B602B0" w14:paraId="77454C76" w14:textId="77777777">
      <w:pPr>
        <w:jc w:val="both"/>
        <w:rPr>
          <w:lang w:val="es-PE"/>
        </w:rPr>
      </w:pPr>
      <w:r w:rsidRPr="00B602B0">
        <w:rPr>
          <w:b/>
          <w:u w:val="single"/>
          <w:lang w:val="es-PE"/>
        </w:rPr>
        <w:t>CUARTO</w:t>
      </w:r>
      <w:r w:rsidRPr="00B602B0">
        <w:rPr>
          <w:b/>
          <w:lang w:val="es-PE"/>
        </w:rPr>
        <w:t>:</w:t>
      </w:r>
      <w:r w:rsidRPr="00B602B0">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602B0" w:rsidR="00B602B0" w:rsidP="00B602B0" w:rsidRDefault="00B602B0" w14:paraId="389351BD" w14:textId="77777777">
      <w:pPr>
        <w:jc w:val="both"/>
        <w:rPr>
          <w:b/>
          <w:u w:val="single"/>
          <w:lang w:val="es-PE"/>
        </w:rPr>
      </w:pPr>
    </w:p>
    <w:p w:rsidR="00B602B0" w:rsidP="00B602B0" w:rsidRDefault="00B602B0" w14:paraId="06B397B4" w14:textId="77777777">
      <w:pPr>
        <w:jc w:val="both"/>
        <w:rPr>
          <w:lang w:val="es-PE"/>
        </w:rPr>
      </w:pPr>
      <w:r w:rsidRPr="00B602B0">
        <w:rPr>
          <w:b/>
          <w:bCs/>
          <w:u w:val="single"/>
          <w:lang w:val="es-PE"/>
        </w:rPr>
        <w:t>QUINTO</w:t>
      </w:r>
      <w:r w:rsidRPr="00B602B0">
        <w:rPr>
          <w:b/>
          <w:bCs/>
          <w:lang w:val="es-PE"/>
        </w:rPr>
        <w:t>:</w:t>
      </w:r>
      <w:r w:rsidRPr="00B602B0">
        <w:rPr>
          <w:bCs/>
          <w:lang w:val="es-PE"/>
        </w:rPr>
        <w:t xml:space="preserve"> De acuerdo con el ar</w:t>
      </w:r>
      <w:r w:rsidRPr="00B602B0">
        <w:rPr>
          <w:lang w:val="es-PE"/>
        </w:rPr>
        <w:t>tículo 196 del Código Procesal Civil, la carga de la prueba corresponde a quien afirma hechos que configuran su pretensión, o a quien los contradice alegando nuevos hechos, salvo disposición legal diferente.</w:t>
      </w:r>
    </w:p>
    <w:p w:rsidRPr="00B602B0" w:rsidR="0054164C" w:rsidP="00B602B0" w:rsidRDefault="0054164C" w14:paraId="4C7C65AF" w14:textId="77777777">
      <w:pPr>
        <w:jc w:val="both"/>
        <w:rPr>
          <w:lang w:val="es-PE"/>
        </w:rPr>
      </w:pPr>
    </w:p>
    <w:p w:rsidR="00B602B0" w:rsidP="00B602B0" w:rsidRDefault="00B602B0" w14:paraId="32CF9847" w14:textId="77777777">
      <w:pPr>
        <w:jc w:val="both"/>
        <w:rPr>
          <w:lang w:val="es-PE"/>
        </w:rPr>
      </w:pPr>
      <w:r w:rsidRPr="00B602B0">
        <w:rPr>
          <w:b/>
          <w:u w:val="single"/>
          <w:lang w:val="es-PE"/>
        </w:rPr>
        <w:t>SEXTO</w:t>
      </w:r>
      <w:r w:rsidRPr="00B602B0">
        <w:rPr>
          <w:b/>
          <w:lang w:val="es-PE"/>
        </w:rPr>
        <w:t xml:space="preserve">: </w:t>
      </w:r>
      <w:r w:rsidRPr="00B602B0">
        <w:rPr>
          <w:bCs/>
          <w:lang w:val="es-PE"/>
        </w:rPr>
        <w:t>C</w:t>
      </w:r>
      <w:r w:rsidRPr="00B602B0">
        <w:rPr>
          <w:lang w:val="es-PE"/>
        </w:rPr>
        <w:t>onforme a lo identificado en la audiencia de vista, y sobre la base de los términos contenidos en la reclamación, la cuestión controvertida radica en determinar si corresponde o no que la aseguradora reembolse los gastos por la instalación de manera urgente de un cerco perimétrico prefabricado en el Fundo Agroindustrial Viejo Tonel en el marco de cumplimiento de la carga de salvamento de la asegurada.</w:t>
      </w:r>
    </w:p>
    <w:p w:rsidRPr="00B602B0" w:rsidR="000C6916" w:rsidP="00B602B0" w:rsidRDefault="000C6916" w14:paraId="4E328C26" w14:textId="77777777">
      <w:pPr>
        <w:jc w:val="both"/>
        <w:rPr>
          <w:lang w:val="es-PE"/>
        </w:rPr>
      </w:pPr>
    </w:p>
    <w:p w:rsidR="00B602B0" w:rsidP="00B602B0" w:rsidRDefault="00B602B0" w14:paraId="6111A4FF" w14:textId="77777777">
      <w:pPr>
        <w:jc w:val="both"/>
        <w:rPr>
          <w:bCs/>
          <w:lang w:val="es-PE"/>
        </w:rPr>
      </w:pPr>
      <w:r w:rsidRPr="00B602B0">
        <w:rPr>
          <w:b/>
          <w:u w:val="single"/>
          <w:lang w:val="es-PE"/>
        </w:rPr>
        <w:t>SÉPTIMO</w:t>
      </w:r>
      <w:r w:rsidRPr="00B602B0">
        <w:rPr>
          <w:b/>
          <w:lang w:val="es-PE"/>
        </w:rPr>
        <w:t xml:space="preserve">: </w:t>
      </w:r>
      <w:r w:rsidRPr="00B602B0">
        <w:rPr>
          <w:bCs/>
          <w:lang w:val="es-PE"/>
        </w:rPr>
        <w:t>Según lo establecido en el artículo 92 de la Ley 29946 - Ley del Contrato de Seguro-, la asegurada tiene una carga de salvamento en los siguientes términos:</w:t>
      </w:r>
    </w:p>
    <w:p w:rsidRPr="00B602B0" w:rsidR="000C6916" w:rsidP="00B602B0" w:rsidRDefault="000C6916" w14:paraId="5B006897" w14:textId="77777777">
      <w:pPr>
        <w:jc w:val="both"/>
        <w:rPr>
          <w:bCs/>
          <w:lang w:val="es-PE"/>
        </w:rPr>
      </w:pPr>
    </w:p>
    <w:p w:rsidR="00B602B0" w:rsidP="00DD5417" w:rsidRDefault="00B602B0" w14:paraId="7CF3B63B" w14:textId="77777777">
      <w:pPr>
        <w:ind w:left="1440"/>
        <w:jc w:val="both"/>
        <w:rPr>
          <w:b/>
          <w:i/>
          <w:iCs/>
          <w:lang w:val="es-PE"/>
        </w:rPr>
      </w:pPr>
      <w:r w:rsidRPr="00B602B0">
        <w:rPr>
          <w:b/>
          <w:i/>
          <w:iCs/>
          <w:lang w:val="es-PE"/>
        </w:rPr>
        <w:t xml:space="preserve">“Artículo 92. Carga de salvamento </w:t>
      </w:r>
    </w:p>
    <w:p w:rsidRPr="00B602B0" w:rsidR="00DD5417" w:rsidP="00DD5417" w:rsidRDefault="00DD5417" w14:paraId="14C86C67" w14:textId="77777777">
      <w:pPr>
        <w:ind w:left="1440"/>
        <w:jc w:val="both"/>
        <w:rPr>
          <w:b/>
          <w:i/>
          <w:iCs/>
          <w:lang w:val="es-PE"/>
        </w:rPr>
      </w:pPr>
    </w:p>
    <w:p w:rsidR="00B602B0" w:rsidP="00DD5417" w:rsidRDefault="00B602B0" w14:paraId="2CA2EF58" w14:textId="5F6FE30F">
      <w:pPr>
        <w:ind w:left="1440"/>
        <w:jc w:val="both"/>
        <w:rPr>
          <w:b/>
          <w:i/>
          <w:iCs/>
          <w:lang w:val="es-PE"/>
        </w:rPr>
      </w:pPr>
      <w:r w:rsidRPr="00B602B0">
        <w:rPr>
          <w:b/>
          <w:i/>
          <w:iCs/>
          <w:lang w:val="es-PE"/>
        </w:rPr>
        <w:t>El contratante o, en su caso, el asegurado tienen el deber de proveer lo necesario, en la medida de sus posibilidades, para evitar o disminuir el daño, y cumplir las instrucciones del asegurador. Si existe más de un asegurador y median instrucciones contradictorias, actuarán según las instrucciones que parezcan más razonables en las circunstancias del caso</w:t>
      </w:r>
      <w:r w:rsidR="00DD5417">
        <w:rPr>
          <w:b/>
          <w:i/>
          <w:iCs/>
          <w:lang w:val="es-PE"/>
        </w:rPr>
        <w:t>”.</w:t>
      </w:r>
    </w:p>
    <w:p w:rsidRPr="00B602B0" w:rsidR="00CD7BCA" w:rsidP="00B602B0" w:rsidRDefault="00CD7BCA" w14:paraId="737348A5" w14:textId="77777777">
      <w:pPr>
        <w:jc w:val="both"/>
        <w:rPr>
          <w:b/>
          <w:i/>
          <w:iCs/>
          <w:lang w:val="es-PE"/>
        </w:rPr>
      </w:pPr>
    </w:p>
    <w:p w:rsidR="00B602B0" w:rsidP="00B602B0" w:rsidRDefault="00B602B0" w14:paraId="01C4CAD4" w14:textId="77777777">
      <w:pPr>
        <w:jc w:val="both"/>
        <w:rPr>
          <w:bCs/>
          <w:lang w:val="es-PE"/>
        </w:rPr>
      </w:pPr>
      <w:r w:rsidRPr="00B602B0">
        <w:rPr>
          <w:bCs/>
          <w:lang w:val="es-PE"/>
        </w:rPr>
        <w:t>Como contrapartida a ese deber, la indicada ley impone la obligación de la aseguradora de reembolsar los gastos razonables que conlleve el salvamento:</w:t>
      </w:r>
    </w:p>
    <w:p w:rsidRPr="00B602B0" w:rsidR="00DD5417" w:rsidP="00B602B0" w:rsidRDefault="00DD5417" w14:paraId="7DEB501A" w14:textId="77777777">
      <w:pPr>
        <w:jc w:val="both"/>
        <w:rPr>
          <w:bCs/>
          <w:lang w:val="es-PE"/>
        </w:rPr>
      </w:pPr>
    </w:p>
    <w:p w:rsidRPr="00B602B0" w:rsidR="00B602B0" w:rsidP="00DD5417" w:rsidRDefault="00B602B0" w14:paraId="75A5E1E8" w14:textId="77777777">
      <w:pPr>
        <w:ind w:left="1440"/>
        <w:jc w:val="both"/>
        <w:rPr>
          <w:b/>
          <w:i/>
          <w:iCs/>
          <w:lang w:val="es-PE"/>
        </w:rPr>
      </w:pPr>
      <w:r w:rsidRPr="00B602B0">
        <w:rPr>
          <w:b/>
          <w:i/>
          <w:iCs/>
          <w:lang w:val="es-PE"/>
        </w:rPr>
        <w:t>Artículo 93. Reembolso de gastos</w:t>
      </w:r>
    </w:p>
    <w:p w:rsidR="00B602B0" w:rsidP="00DD5417" w:rsidRDefault="00B602B0" w14:paraId="77D878A4" w14:textId="77777777">
      <w:pPr>
        <w:ind w:left="1440"/>
        <w:jc w:val="both"/>
        <w:rPr>
          <w:b/>
          <w:i/>
          <w:iCs/>
          <w:lang w:val="es-PE"/>
        </w:rPr>
      </w:pPr>
      <w:r w:rsidRPr="00B602B0">
        <w:rPr>
          <w:b/>
          <w:i/>
          <w:iCs/>
          <w:lang w:val="es-PE"/>
        </w:rPr>
        <w:t xml:space="preserve"> El asegurador debe reembolsar al contratante y/o asegurado los gastos razonables realizados en cumplimiento de lo dispuesto por el artículo 92, aun cuando hayan resultado infructuosos.</w:t>
      </w:r>
    </w:p>
    <w:p w:rsidRPr="00B602B0" w:rsidR="00DD5417" w:rsidP="00B602B0" w:rsidRDefault="00DD5417" w14:paraId="3A1E72CB" w14:textId="77777777">
      <w:pPr>
        <w:jc w:val="both"/>
        <w:rPr>
          <w:b/>
          <w:i/>
          <w:iCs/>
          <w:lang w:val="es-PE"/>
        </w:rPr>
      </w:pPr>
    </w:p>
    <w:p w:rsidRPr="00B602B0" w:rsidR="00B602B0" w:rsidP="00B602B0" w:rsidRDefault="00B602B0" w14:paraId="469929FB" w14:noSpellErr="1" w14:textId="341B5EE0">
      <w:pPr>
        <w:jc w:val="both"/>
        <w:rPr>
          <w:lang w:val="es-MX"/>
        </w:rPr>
      </w:pPr>
      <w:r w:rsidRPr="547F1E58" w:rsidR="00B602B0">
        <w:rPr>
          <w:lang w:val="es-MX"/>
        </w:rPr>
        <w:t xml:space="preserve">En igual sentido, las cláusulas generales de contratación del Seguro de Daños Patrimoniales de </w:t>
      </w:r>
      <w:r w:rsidRPr="547F1E58" w:rsidR="7C7A2C6C">
        <w:rPr>
          <w:lang w:val="es-MX"/>
        </w:rPr>
        <w:t>..................</w:t>
      </w:r>
      <w:r w:rsidRPr="547F1E58" w:rsidR="00B602B0">
        <w:rPr>
          <w:lang w:val="es-MX"/>
        </w:rPr>
        <w:t xml:space="preserve"> establecen expresamente para la asegurada la carga de evitar o disminuir las pérdidas:</w:t>
      </w:r>
    </w:p>
    <w:p w:rsidRPr="00B602B0" w:rsidR="00B602B0" w:rsidP="00B602B0" w:rsidRDefault="00B602B0" w14:paraId="7CEC6C81" w14:textId="0C61AB34">
      <w:pPr>
        <w:jc w:val="both"/>
        <w:rPr>
          <w:lang w:val="es-MX"/>
        </w:rPr>
      </w:pPr>
      <w:r w:rsidRPr="00B602B0">
        <w:rPr>
          <w:noProof/>
          <w:lang w:val="es-MX"/>
        </w:rPr>
        <w:drawing>
          <wp:inline distT="0" distB="0" distL="0" distR="0" wp14:anchorId="63F6E34C" wp14:editId="1E145084">
            <wp:extent cx="5580380" cy="1638935"/>
            <wp:effectExtent l="0" t="0" r="1270" b="0"/>
            <wp:docPr id="32951346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638935"/>
                    </a:xfrm>
                    <a:prstGeom prst="rect">
                      <a:avLst/>
                    </a:prstGeom>
                    <a:noFill/>
                    <a:ln>
                      <a:noFill/>
                    </a:ln>
                  </pic:spPr>
                </pic:pic>
              </a:graphicData>
            </a:graphic>
          </wp:inline>
        </w:drawing>
      </w:r>
    </w:p>
    <w:p w:rsidRPr="00B602B0" w:rsidR="00B602B0" w:rsidP="00B602B0" w:rsidRDefault="00B602B0" w14:paraId="150B8767" w14:textId="77777777">
      <w:pPr>
        <w:jc w:val="both"/>
        <w:rPr>
          <w:lang w:val="es-MX"/>
        </w:rPr>
      </w:pPr>
      <w:r w:rsidRPr="00B602B0">
        <w:rPr>
          <w:lang w:val="es-MX"/>
        </w:rPr>
        <w:t>De acuerdo con lo anterior, es indudable que ante la existencia de un siniestro corresponde a la asegurada adoptar las medidas necesarias para evitar y disminuir el daño.</w:t>
      </w:r>
    </w:p>
    <w:p w:rsidR="00B602B0" w:rsidP="00B602B0" w:rsidRDefault="00B602B0" w14:paraId="76563BAD" w14:textId="77777777">
      <w:pPr>
        <w:jc w:val="both"/>
        <w:rPr>
          <w:lang w:val="es-MX"/>
        </w:rPr>
      </w:pPr>
      <w:r w:rsidRPr="00B602B0">
        <w:rPr>
          <w:lang w:val="es-MX"/>
        </w:rPr>
        <w:t>Ante ese supuesto, la aseguradora debe reembolsar los gastos razonables realizados en cumplimiento de la carga de salvamento.</w:t>
      </w:r>
    </w:p>
    <w:p w:rsidRPr="00B602B0" w:rsidR="00DD5417" w:rsidP="00B602B0" w:rsidRDefault="00DD5417" w14:paraId="0FE8C224" w14:textId="77777777">
      <w:pPr>
        <w:jc w:val="both"/>
        <w:rPr>
          <w:lang w:val="es-MX"/>
        </w:rPr>
      </w:pPr>
    </w:p>
    <w:p w:rsidR="00B602B0" w:rsidP="00B602B0" w:rsidRDefault="00B602B0" w14:paraId="653C6411" w14:textId="77777777">
      <w:pPr>
        <w:jc w:val="both"/>
        <w:rPr>
          <w:lang w:val="es-PE"/>
        </w:rPr>
      </w:pPr>
      <w:r w:rsidRPr="00B602B0">
        <w:rPr>
          <w:lang w:val="es-MX"/>
        </w:rPr>
        <w:t xml:space="preserve">En el presente caso, el colegiado aprecia que, ante los actos de vandalismo sucedidos </w:t>
      </w:r>
      <w:r w:rsidRPr="00B602B0">
        <w:rPr>
          <w:lang w:val="es-PE"/>
        </w:rPr>
        <w:t xml:space="preserve">en la ciudad de Ica (Barrio Chino) frente al Fundo Agroindustrial Viejo Tonel, resultaba necesario y razonable reponer el cerco perimétrico quemado con la finalidad de evitar que tales actos vandálicos se extendieran a la Bodega del referido fundo. </w:t>
      </w:r>
    </w:p>
    <w:p w:rsidRPr="00B602B0" w:rsidR="00DD5417" w:rsidP="00B602B0" w:rsidRDefault="00DD5417" w14:paraId="35E2A4DE" w14:textId="77777777">
      <w:pPr>
        <w:jc w:val="both"/>
        <w:rPr>
          <w:lang w:val="es-PE"/>
        </w:rPr>
      </w:pPr>
    </w:p>
    <w:p w:rsidR="00B602B0" w:rsidP="00B602B0" w:rsidRDefault="00B602B0" w14:paraId="58D7C2B5" w14:textId="77777777">
      <w:pPr>
        <w:jc w:val="both"/>
        <w:rPr>
          <w:lang w:val="es-PE"/>
        </w:rPr>
      </w:pPr>
      <w:r w:rsidRPr="00B602B0">
        <w:rPr>
          <w:lang w:val="es-PE"/>
        </w:rPr>
        <w:t>Dada la urgencia de proveer una seguridad inmediata, se encuentra razonable que, para la protección de los activos de la Bodega, la asegurada haya adoptado como medida de salvamento la instalación de un cerco perimétrico prefabricado, cuyo propósito fue evitar que los manifestantes ingresen al Fundo Agroindustrial Viejo Tonel.</w:t>
      </w:r>
    </w:p>
    <w:p w:rsidRPr="00B602B0" w:rsidR="00DD5417" w:rsidP="00B602B0" w:rsidRDefault="00DD5417" w14:paraId="4FE587E5" w14:textId="77777777">
      <w:pPr>
        <w:jc w:val="both"/>
        <w:rPr>
          <w:lang w:val="es-PE"/>
        </w:rPr>
      </w:pPr>
    </w:p>
    <w:p w:rsidR="00B602B0" w:rsidP="00B602B0" w:rsidRDefault="00B602B0" w14:paraId="68556E1F" w14:textId="77777777">
      <w:pPr>
        <w:jc w:val="both"/>
        <w:rPr>
          <w:lang w:val="es-MX"/>
        </w:rPr>
      </w:pPr>
      <w:r w:rsidRPr="00B602B0">
        <w:rPr>
          <w:lang w:val="es-PE"/>
        </w:rPr>
        <w:t xml:space="preserve">En ese sentido, para esta Defensoría la instalación del cerco perimétrico prefabricado califica como una medida necesaria para evitar o disminuir daños en los bienes asegurados, por lo que fue adoptada de urgencia por la asegurada en el cumplimiento de su carga de evitar o disminuir pérdidas (artículo 7.5 de las </w:t>
      </w:r>
      <w:r w:rsidRPr="00B602B0">
        <w:rPr>
          <w:lang w:val="es-MX"/>
        </w:rPr>
        <w:t>cláusulas generales de contratación del Seguro de Daños Patrimoniales), así como de la carga de salvamento establecida en el artículo 92 de la Ley del Contrato de Seguro.</w:t>
      </w:r>
    </w:p>
    <w:p w:rsidRPr="00B602B0" w:rsidR="00DD5417" w:rsidP="00B602B0" w:rsidRDefault="00DD5417" w14:paraId="642FA5AE" w14:textId="77777777">
      <w:pPr>
        <w:jc w:val="both"/>
        <w:rPr>
          <w:lang w:val="es-MX"/>
        </w:rPr>
      </w:pPr>
    </w:p>
    <w:p w:rsidR="00B602B0" w:rsidP="00B602B0" w:rsidRDefault="00B602B0" w14:paraId="306E8955" w14:noSpellErr="1" w14:textId="2952031E">
      <w:pPr>
        <w:jc w:val="both"/>
        <w:rPr>
          <w:lang w:val="es-PE"/>
        </w:rPr>
      </w:pPr>
      <w:r w:rsidRPr="547F1E58" w:rsidR="00B602B0">
        <w:rPr>
          <w:lang w:val="es-MX"/>
        </w:rPr>
        <w:t xml:space="preserve">Consecuentemente, de acuerdo con lo dispuesto por el artículo 93 de la Ley del Contrato de Seguro, </w:t>
      </w:r>
      <w:r w:rsidRPr="547F1E58" w:rsidR="7C7A2C6C">
        <w:rPr>
          <w:lang w:val="es-MX"/>
        </w:rPr>
        <w:t>..................</w:t>
      </w:r>
      <w:r w:rsidRPr="547F1E58" w:rsidR="00B602B0">
        <w:rPr>
          <w:lang w:val="es-MX"/>
        </w:rPr>
        <w:t xml:space="preserve"> tiene la obligación de reembolsar a la reclamante los gastos realizados en cumplimiento de la carga de salvamento, esto es, el costo incurrido en la instalación del </w:t>
      </w:r>
      <w:r w:rsidRPr="547F1E58" w:rsidR="00B602B0">
        <w:rPr>
          <w:lang w:val="es-PE"/>
        </w:rPr>
        <w:t>cerco perimétrico prefabricado.</w:t>
      </w:r>
    </w:p>
    <w:p w:rsidRPr="00B602B0" w:rsidR="00DD5417" w:rsidP="00B602B0" w:rsidRDefault="00DD5417" w14:paraId="33DC04E4" w14:textId="77777777">
      <w:pPr>
        <w:jc w:val="both"/>
        <w:rPr>
          <w:lang w:val="es-PE"/>
        </w:rPr>
      </w:pPr>
    </w:p>
    <w:p w:rsidR="00B602B0" w:rsidP="00B602B0" w:rsidRDefault="00B602B0" w14:paraId="1B975534" w14:noSpellErr="1" w14:textId="723C0132">
      <w:pPr>
        <w:jc w:val="both"/>
        <w:rPr>
          <w:lang w:val="es-PE"/>
        </w:rPr>
      </w:pPr>
      <w:r w:rsidRPr="547F1E58" w:rsidR="00B602B0">
        <w:rPr>
          <w:lang w:val="es-PE"/>
        </w:rPr>
        <w:t xml:space="preserve">A este efecto, cabe hacer notar finalmente que la reclamante presentó durante el ajuste las facturas correspondientes a dichos gastos de salvamento ascendente a un total de S/ 16.059.01. A su vez, </w:t>
      </w:r>
      <w:r w:rsidRPr="547F1E58" w:rsidR="7C7A2C6C">
        <w:rPr>
          <w:lang w:val="es-PE"/>
        </w:rPr>
        <w:t>..................</w:t>
      </w:r>
      <w:r w:rsidRPr="547F1E58" w:rsidR="00B602B0">
        <w:rPr>
          <w:lang w:val="es-PE"/>
        </w:rPr>
        <w:t xml:space="preserve"> no ha objetado que dicho monto corresponda al gasto efectivamente incurrido, ya que se ha limitado a sostener que no tiene la obligación de reembolso bajo reclamación.</w:t>
      </w:r>
    </w:p>
    <w:p w:rsidRPr="00B602B0" w:rsidR="00DD5417" w:rsidP="00B602B0" w:rsidRDefault="00DD5417" w14:paraId="179494A9" w14:textId="77777777">
      <w:pPr>
        <w:jc w:val="both"/>
        <w:rPr>
          <w:lang w:val="es-PE"/>
        </w:rPr>
      </w:pPr>
    </w:p>
    <w:p w:rsidR="00B602B0" w:rsidP="00B602B0" w:rsidRDefault="00B602B0" w14:paraId="17AC5EC5" w14:textId="77777777">
      <w:pPr>
        <w:jc w:val="both"/>
        <w:rPr>
          <w:lang w:val="es-PE"/>
        </w:rPr>
      </w:pPr>
      <w:r w:rsidRPr="00B602B0">
        <w:rPr>
          <w:b/>
          <w:u w:val="single"/>
          <w:lang w:val="es-PE"/>
        </w:rPr>
        <w:t>OCTAVO</w:t>
      </w:r>
      <w:r w:rsidRPr="00B602B0">
        <w:rPr>
          <w:b/>
          <w:lang w:val="es-PE"/>
        </w:rPr>
        <w:t>:</w:t>
      </w:r>
      <w:r w:rsidRPr="00B602B0">
        <w:rPr>
          <w:lang w:val="es-MX"/>
        </w:rPr>
        <w:t xml:space="preserve"> E</w:t>
      </w:r>
      <w:r w:rsidRPr="00B602B0">
        <w:rPr>
          <w:lang w:val="es-PE"/>
        </w:rPr>
        <w:t>n esa medida, este colegiado concluye su apreciación razonada y conjunta al amparo de lo establecido en su Reglamento estimando que existen razones fundadas para calificar que el rechazo de reembolso solicitado al cual se contrae la presente reclamación es infundado y no se ajusta a derecho, por lo que;</w:t>
      </w:r>
    </w:p>
    <w:p w:rsidRPr="00B602B0" w:rsidR="00DD5417" w:rsidP="00B602B0" w:rsidRDefault="00DD5417" w14:paraId="3DDFDDE8" w14:textId="77777777">
      <w:pPr>
        <w:jc w:val="both"/>
        <w:rPr>
          <w:lang w:val="es-PE"/>
        </w:rPr>
      </w:pPr>
    </w:p>
    <w:p w:rsidR="00B602B0" w:rsidP="00B602B0" w:rsidRDefault="00B602B0" w14:paraId="4ABC6BDB" w14:textId="77777777">
      <w:pPr>
        <w:jc w:val="both"/>
        <w:rPr>
          <w:b/>
          <w:lang w:val="es-PE"/>
        </w:rPr>
      </w:pPr>
      <w:r w:rsidRPr="00B602B0">
        <w:rPr>
          <w:b/>
          <w:lang w:val="es-PE"/>
        </w:rPr>
        <w:t>RESUELVE:</w:t>
      </w:r>
    </w:p>
    <w:p w:rsidRPr="00B602B0" w:rsidR="00DD5417" w:rsidP="00B602B0" w:rsidRDefault="00DD5417" w14:paraId="4CB94B2C" w14:textId="77777777">
      <w:pPr>
        <w:jc w:val="both"/>
        <w:rPr>
          <w:b/>
          <w:lang w:val="es-PE"/>
        </w:rPr>
      </w:pPr>
    </w:p>
    <w:p w:rsidRPr="00B602B0" w:rsidR="00B602B0" w:rsidP="00B602B0" w:rsidRDefault="00B602B0" w14:paraId="3982848E" w14:noSpellErr="1" w14:textId="608E06FA">
      <w:pPr>
        <w:jc w:val="both"/>
        <w:rPr>
          <w:lang w:val="es-PE"/>
        </w:rPr>
      </w:pPr>
      <w:r w:rsidRPr="7F981579" w:rsidR="00B602B0">
        <w:rPr>
          <w:lang w:val="es-PE"/>
        </w:rPr>
        <w:t xml:space="preserve">Declarar </w:t>
      </w:r>
      <w:r w:rsidRPr="7F981579" w:rsidR="00B602B0">
        <w:rPr>
          <w:b w:val="1"/>
          <w:bCs w:val="1"/>
          <w:lang w:val="es-PE"/>
        </w:rPr>
        <w:t>FUNDADA</w:t>
      </w:r>
      <w:r w:rsidRPr="7F981579" w:rsidR="00B602B0">
        <w:rPr>
          <w:lang w:val="es-PE"/>
        </w:rPr>
        <w:t xml:space="preserve"> la reclamación interpuesta por </w:t>
      </w:r>
      <w:r w:rsidRPr="7F981579" w:rsidR="7D685F5F">
        <w:rPr>
          <w:b w:val="1"/>
          <w:bCs w:val="1"/>
          <w:lang w:val="es-MX"/>
        </w:rPr>
        <w:t>....................................................................................</w:t>
      </w:r>
      <w:r w:rsidRPr="7F981579" w:rsidR="00B602B0">
        <w:rPr>
          <w:b w:val="1"/>
          <w:bCs w:val="1"/>
          <w:lang w:val="es-MX"/>
        </w:rPr>
        <w:t xml:space="preserve">. </w:t>
      </w:r>
      <w:r w:rsidRPr="7F981579" w:rsidR="00B602B0">
        <w:rPr>
          <w:lang w:val="es-PE"/>
        </w:rPr>
        <w:t xml:space="preserve">contra </w:t>
      </w:r>
      <w:r w:rsidRPr="7F981579" w:rsidR="383177B2">
        <w:rPr>
          <w:b w:val="1"/>
          <w:bCs w:val="1"/>
          <w:lang w:val="es-MX"/>
        </w:rPr>
        <w:t>............................</w:t>
      </w:r>
      <w:r w:rsidRPr="7F981579" w:rsidR="00B602B0">
        <w:rPr>
          <w:lang w:val="es-PE"/>
        </w:rPr>
        <w:t>, debiendo dicha aseguradora cumplir con reembolsar a la asegurada los gastos de instalación de un cerco perimétrico prefabricado ascendentes a S/ 16.059.01, realizados en cumplimiento de lo dispuesto por el artículo 93 de la Ley del Contrato de Seguro.</w:t>
      </w:r>
    </w:p>
    <w:p w:rsidRPr="002B54FE" w:rsidR="0002683E" w:rsidP="00FB72A7" w:rsidRDefault="0002683E" w14:paraId="61BAF2A8" w14:textId="77777777">
      <w:pPr>
        <w:jc w:val="both"/>
      </w:pPr>
    </w:p>
    <w:p w:rsidRPr="00C76074" w:rsidR="00C76074" w:rsidP="00C76074" w:rsidRDefault="00C76074" w14:paraId="64AE5291" w14:textId="77777777">
      <w:pPr>
        <w:jc w:val="right"/>
        <w:outlineLvl w:val="0"/>
        <w:rPr>
          <w:lang w:val="es-PE"/>
        </w:rPr>
      </w:pPr>
    </w:p>
    <w:p w:rsidRPr="003475A8" w:rsidR="001631D6" w:rsidP="00F202DC" w:rsidRDefault="00F15FBA" w14:paraId="48C7895B" w14:textId="3CA435DE">
      <w:pPr>
        <w:jc w:val="right"/>
        <w:outlineLvl w:val="0"/>
        <w:rPr>
          <w:lang w:val="es-PE"/>
        </w:rPr>
      </w:pPr>
      <w:r w:rsidRPr="003475A8">
        <w:rPr>
          <w:lang w:val="es-PE"/>
        </w:rPr>
        <w:t>Lima,</w:t>
      </w:r>
      <w:r w:rsidRPr="003475A8" w:rsidR="00B12885">
        <w:rPr>
          <w:lang w:val="es-PE"/>
        </w:rPr>
        <w:t xml:space="preserve"> </w:t>
      </w:r>
      <w:r w:rsidR="0002683E">
        <w:rPr>
          <w:lang w:val="es-PE"/>
        </w:rPr>
        <w:t>23</w:t>
      </w:r>
      <w:r w:rsidRPr="003475A8" w:rsidR="00655FB4">
        <w:rPr>
          <w:lang w:val="es-PE"/>
        </w:rPr>
        <w:t xml:space="preserve"> </w:t>
      </w:r>
      <w:r w:rsidRPr="003475A8">
        <w:rPr>
          <w:lang w:val="es-PE"/>
        </w:rPr>
        <w:t>de</w:t>
      </w:r>
      <w:r w:rsidRPr="003475A8" w:rsidR="001631D6">
        <w:rPr>
          <w:lang w:val="es-PE"/>
        </w:rPr>
        <w:t xml:space="preserve"> </w:t>
      </w:r>
      <w:r w:rsidRPr="003475A8" w:rsidR="00DD0CD5">
        <w:rPr>
          <w:lang w:val="es-PE"/>
        </w:rPr>
        <w:t>septiembre</w:t>
      </w:r>
      <w:r w:rsidRPr="003475A8" w:rsidR="001631D6">
        <w:rPr>
          <w:lang w:val="es-PE"/>
        </w:rPr>
        <w:t xml:space="preserve"> </w:t>
      </w:r>
      <w:r w:rsidRPr="003475A8">
        <w:rPr>
          <w:lang w:val="es-PE"/>
        </w:rPr>
        <w:t>de 20</w:t>
      </w:r>
      <w:r w:rsidRPr="003475A8" w:rsidR="001631D6">
        <w:rPr>
          <w:lang w:val="es-PE"/>
        </w:rPr>
        <w:t>2</w:t>
      </w:r>
      <w:r w:rsidRPr="003475A8" w:rsidR="00E82564">
        <w:rPr>
          <w:lang w:val="es-PE"/>
        </w:rPr>
        <w:t>4</w:t>
      </w:r>
    </w:p>
    <w:p w:rsidRPr="003475A8" w:rsidR="00F202DC" w:rsidP="001631D6" w:rsidRDefault="00F202DC" w14:paraId="55EA6443" w14:textId="77777777">
      <w:pPr>
        <w:jc w:val="both"/>
      </w:pPr>
    </w:p>
    <w:p w:rsidRPr="003475A8" w:rsidR="001631D6" w:rsidP="00FB72A7" w:rsidRDefault="001631D6" w14:paraId="54F717D9" w14:textId="77777777">
      <w:pPr>
        <w:jc w:val="center"/>
        <w:rPr>
          <w:b/>
          <w:bCs/>
          <w:i/>
          <w:iCs/>
          <w:lang w:val="es-ES_tradnl"/>
        </w:rPr>
      </w:pPr>
      <w:r w:rsidRPr="003475A8">
        <w:rPr>
          <w:b/>
          <w:bCs/>
          <w:i/>
          <w:iCs/>
          <w:lang w:val="es-ES_tradnl"/>
        </w:rPr>
        <w:t>La Secretaría Técnica certifica que la presente resolución cuenta con el voto de los vocales cuyos nombres figuran en el presente documento.</w:t>
      </w:r>
    </w:p>
    <w:p w:rsidRPr="003475A8" w:rsidR="001631D6" w:rsidP="001631D6" w:rsidRDefault="001631D6" w14:paraId="265ABE8B" w14:textId="77777777">
      <w:pPr>
        <w:jc w:val="both"/>
        <w:rPr>
          <w:b/>
          <w:bCs/>
          <w:i/>
          <w:iCs/>
          <w:lang w:val="es-ES_tradnl"/>
        </w:rPr>
      </w:pPr>
    </w:p>
    <w:p w:rsidRPr="003475A8" w:rsidR="00643058" w:rsidP="001631D6" w:rsidRDefault="00643058" w14:paraId="7055C058" w14:textId="77777777">
      <w:pPr>
        <w:jc w:val="both"/>
        <w:rPr>
          <w:b/>
          <w:bCs/>
          <w:i/>
          <w:iCs/>
          <w:lang w:val="es-ES_tradnl"/>
        </w:rPr>
      </w:pPr>
    </w:p>
    <w:p w:rsidRPr="003475A8" w:rsidR="00643058" w:rsidP="00643058" w:rsidRDefault="00643058" w14:paraId="16D6703D" w14:textId="109D7707">
      <w:pPr>
        <w:spacing w:line="360" w:lineRule="auto"/>
        <w:jc w:val="center"/>
        <w:rPr>
          <w:b/>
          <w:bCs/>
        </w:rPr>
      </w:pPr>
      <w:r w:rsidRPr="003475A8">
        <w:rPr>
          <w:b/>
          <w:bCs/>
        </w:rPr>
        <w:t xml:space="preserve">Rolando Eyzaguirre </w:t>
      </w:r>
      <w:proofErr w:type="spellStart"/>
      <w:r w:rsidRPr="003475A8">
        <w:rPr>
          <w:b/>
          <w:bCs/>
        </w:rPr>
        <w:t>Maccan</w:t>
      </w:r>
      <w:proofErr w:type="spellEnd"/>
      <w:r w:rsidRPr="003475A8">
        <w:rPr>
          <w:b/>
          <w:bCs/>
        </w:rPr>
        <w:t xml:space="preserve"> – </w:t>
      </w:r>
      <w:r w:rsidRPr="003475A8" w:rsidR="00DD0CD5">
        <w:rPr>
          <w:b/>
          <w:bCs/>
        </w:rPr>
        <w:t>Presidente</w:t>
      </w:r>
    </w:p>
    <w:p w:rsidRPr="003475A8" w:rsidR="001631D6" w:rsidP="00356B1A" w:rsidRDefault="00356B1A" w14:paraId="024CA4C1" w14:textId="4EE7C29E">
      <w:pPr>
        <w:spacing w:line="360" w:lineRule="auto"/>
        <w:jc w:val="center"/>
        <w:rPr>
          <w:b/>
          <w:bCs/>
        </w:rPr>
      </w:pPr>
      <w:r w:rsidRPr="003475A8">
        <w:rPr>
          <w:b/>
          <w:bCs/>
        </w:rPr>
        <w:t xml:space="preserve">María Eugenia Valdez Fernández Baca – </w:t>
      </w:r>
      <w:r w:rsidRPr="003475A8" w:rsidR="00B809EF">
        <w:rPr>
          <w:b/>
          <w:bCs/>
        </w:rPr>
        <w:t>Vocal</w:t>
      </w:r>
    </w:p>
    <w:p w:rsidRPr="003475A8" w:rsidR="00643058" w:rsidP="00643058" w:rsidRDefault="00643058" w14:paraId="4A447E07" w14:textId="1FDBA135">
      <w:pPr>
        <w:spacing w:line="360" w:lineRule="auto"/>
        <w:jc w:val="center"/>
        <w:rPr>
          <w:b/>
          <w:bCs/>
        </w:rPr>
      </w:pPr>
      <w:r w:rsidRPr="003475A8">
        <w:rPr>
          <w:b/>
          <w:bCs/>
        </w:rPr>
        <w:t xml:space="preserve">Omar Alfaro Villanueva – </w:t>
      </w:r>
      <w:r w:rsidRPr="003475A8" w:rsidR="00DD0CD5">
        <w:rPr>
          <w:b/>
          <w:bCs/>
        </w:rPr>
        <w:t>Vocal</w:t>
      </w:r>
    </w:p>
    <w:p w:rsidRPr="003475A8" w:rsidR="00F15FBA" w:rsidP="00E03444" w:rsidRDefault="001631D6" w14:paraId="22C77427" w14:textId="498B9F06">
      <w:pPr>
        <w:spacing w:line="360" w:lineRule="auto"/>
        <w:jc w:val="center"/>
        <w:rPr>
          <w:lang w:val="es-MX"/>
        </w:rPr>
      </w:pPr>
      <w:r w:rsidRPr="003475A8">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1EFC" w:rsidP="005F148C" w:rsidRDefault="00FE1EFC" w14:paraId="7082A7B3" w14:textId="77777777">
      <w:r>
        <w:separator/>
      </w:r>
    </w:p>
  </w:endnote>
  <w:endnote w:type="continuationSeparator" w:id="0">
    <w:p w:rsidR="00FE1EFC" w:rsidP="005F148C" w:rsidRDefault="00FE1EFC" w14:paraId="44D6C5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Footer"/>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1EFC" w:rsidP="005F148C" w:rsidRDefault="00FE1EFC" w14:paraId="6A92F311" w14:textId="77777777">
      <w:r>
        <w:separator/>
      </w:r>
    </w:p>
  </w:footnote>
  <w:footnote w:type="continuationSeparator" w:id="0">
    <w:p w:rsidR="00FE1EFC" w:rsidP="005F148C" w:rsidRDefault="00FE1EFC" w14:paraId="34B8D44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Header"/>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0"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4"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32"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3"/>
  </w:num>
  <w:num w:numId="2" w16cid:durableId="20619790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8"/>
  </w:num>
  <w:num w:numId="7" w16cid:durableId="66096098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3"/>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6"/>
  </w:num>
  <w:num w:numId="17" w16cid:durableId="408503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21"/>
  </w:num>
  <w:num w:numId="23" w16cid:durableId="5939753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26"/>
  </w:num>
  <w:num w:numId="28" w16cid:durableId="1772118660">
    <w:abstractNumId w:val="34"/>
  </w:num>
  <w:num w:numId="29" w16cid:durableId="1496651072">
    <w:abstractNumId w:val="32"/>
  </w:num>
  <w:num w:numId="30" w16cid:durableId="384451663">
    <w:abstractNumId w:val="3"/>
  </w:num>
  <w:num w:numId="31" w16cid:durableId="1998243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16"/>
  </w:num>
  <w:num w:numId="34" w16cid:durableId="20910037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730CD"/>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916"/>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685"/>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164C"/>
    <w:rsid w:val="00542452"/>
    <w:rsid w:val="00546351"/>
    <w:rsid w:val="00552490"/>
    <w:rsid w:val="00554C25"/>
    <w:rsid w:val="005574EF"/>
    <w:rsid w:val="00562D9B"/>
    <w:rsid w:val="0056400F"/>
    <w:rsid w:val="005758A9"/>
    <w:rsid w:val="0058358B"/>
    <w:rsid w:val="00593B9C"/>
    <w:rsid w:val="0059477D"/>
    <w:rsid w:val="00594ECD"/>
    <w:rsid w:val="00595BC7"/>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33ED"/>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37"/>
    <w:rsid w:val="008930FB"/>
    <w:rsid w:val="00895FF5"/>
    <w:rsid w:val="0089670C"/>
    <w:rsid w:val="008A059D"/>
    <w:rsid w:val="008A0A97"/>
    <w:rsid w:val="008A1DAB"/>
    <w:rsid w:val="008A67AB"/>
    <w:rsid w:val="008B2CAE"/>
    <w:rsid w:val="008B2E0D"/>
    <w:rsid w:val="008B3C1C"/>
    <w:rsid w:val="008B5CA7"/>
    <w:rsid w:val="008B6495"/>
    <w:rsid w:val="008B650C"/>
    <w:rsid w:val="008B79EC"/>
    <w:rsid w:val="008B7A78"/>
    <w:rsid w:val="008C2D6B"/>
    <w:rsid w:val="008C36E6"/>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048F"/>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9F229C"/>
    <w:rsid w:val="00A00F9E"/>
    <w:rsid w:val="00A0109E"/>
    <w:rsid w:val="00A0283B"/>
    <w:rsid w:val="00A063D2"/>
    <w:rsid w:val="00A125B8"/>
    <w:rsid w:val="00A14315"/>
    <w:rsid w:val="00A15489"/>
    <w:rsid w:val="00A1752D"/>
    <w:rsid w:val="00A21D01"/>
    <w:rsid w:val="00A223FC"/>
    <w:rsid w:val="00A2296E"/>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2B0"/>
    <w:rsid w:val="00B60E25"/>
    <w:rsid w:val="00B62DEF"/>
    <w:rsid w:val="00B702A5"/>
    <w:rsid w:val="00B71394"/>
    <w:rsid w:val="00B773DA"/>
    <w:rsid w:val="00B8005F"/>
    <w:rsid w:val="00B809EF"/>
    <w:rsid w:val="00B816FC"/>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D7BCA"/>
    <w:rsid w:val="00CF0261"/>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5417"/>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62EC"/>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1EFC"/>
    <w:rsid w:val="00FE3404"/>
    <w:rsid w:val="00FE34A4"/>
    <w:rsid w:val="00FE396D"/>
    <w:rsid w:val="00FF078D"/>
    <w:rsid w:val="00FF4848"/>
    <w:rsid w:val="00FF7323"/>
    <w:rsid w:val="0BD9A6F6"/>
    <w:rsid w:val="11D23031"/>
    <w:rsid w:val="13C46DEE"/>
    <w:rsid w:val="1897EA13"/>
    <w:rsid w:val="1FB94EF4"/>
    <w:rsid w:val="229834AB"/>
    <w:rsid w:val="23556949"/>
    <w:rsid w:val="23617CDC"/>
    <w:rsid w:val="2DE59D7D"/>
    <w:rsid w:val="3274E98A"/>
    <w:rsid w:val="383177B2"/>
    <w:rsid w:val="43C7BC8C"/>
    <w:rsid w:val="4F2F460F"/>
    <w:rsid w:val="4FA92EB4"/>
    <w:rsid w:val="51FD1B2B"/>
    <w:rsid w:val="547F1E58"/>
    <w:rsid w:val="553E90C3"/>
    <w:rsid w:val="65ECA8DB"/>
    <w:rsid w:val="6B6DFF74"/>
    <w:rsid w:val="6F830CD0"/>
    <w:rsid w:val="70EACFC2"/>
    <w:rsid w:val="718708EF"/>
    <w:rsid w:val="78A1D20D"/>
    <w:rsid w:val="7A38013E"/>
    <w:rsid w:val="7C7A2C6C"/>
    <w:rsid w:val="7D685F5F"/>
    <w:rsid w:val="7F9815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793A5960-F27A-46D4-A87A-7EACDB18A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Heading1">
    <w:name w:val="heading 1"/>
    <w:basedOn w:val="Normal"/>
    <w:next w:val="Normal"/>
    <w:link w:val="Heading1Char"/>
    <w:qFormat/>
    <w:rsid w:val="00807D21"/>
    <w:pPr>
      <w:keepNext/>
      <w:jc w:val="both"/>
      <w:outlineLvl w:val="0"/>
    </w:pPr>
    <w:rPr>
      <w:b/>
      <w:bCs/>
      <w:lang w:val="es-MX"/>
    </w:rPr>
  </w:style>
  <w:style w:type="paragraph" w:styleId="Heading2">
    <w:name w:val="heading 2"/>
    <w:basedOn w:val="Normal"/>
    <w:next w:val="Normal"/>
    <w:link w:val="Heading2Ch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qFormat/>
    <w:rsid w:val="00F15FBA"/>
    <w:pPr>
      <w:jc w:val="center"/>
    </w:pPr>
    <w:rPr>
      <w:b/>
      <w:bCs/>
      <w:lang w:val="es-MX"/>
    </w:rPr>
  </w:style>
  <w:style w:type="character" w:styleId="TitleChar" w:customStyle="1">
    <w:name w:val="Title Char"/>
    <w:basedOn w:val="DefaultParagraphFont"/>
    <w:link w:val="Title"/>
    <w:rsid w:val="00F15FBA"/>
    <w:rPr>
      <w:rFonts w:ascii="Times New Roman" w:hAnsi="Times New Roman" w:eastAsia="Times New Roman" w:cs="Times New Roman"/>
      <w:b/>
      <w:bCs/>
      <w:sz w:val="24"/>
      <w:szCs w:val="24"/>
      <w:lang w:val="es-MX" w:eastAsia="es-ES"/>
    </w:rPr>
  </w:style>
  <w:style w:type="character" w:styleId="Strong">
    <w:name w:val="Strong"/>
    <w:qFormat/>
    <w:rsid w:val="00F15FBA"/>
    <w:rPr>
      <w:b/>
      <w:bCs/>
    </w:rPr>
  </w:style>
  <w:style w:type="paragraph" w:styleId="ListParagraph">
    <w:name w:val="List Paragraph"/>
    <w:aliases w:val="Titulo de Fígura,TITULO A,Viñeta normal,Titulo parrafo,Punto,Number List 1,Lista 123,ct parrafo,Párrafo de lista3"/>
    <w:basedOn w:val="Normal"/>
    <w:link w:val="ListParagraphCh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EndnoteText">
    <w:name w:val="endnote text"/>
    <w:basedOn w:val="Normal"/>
    <w:link w:val="EndnoteTextChar"/>
    <w:uiPriority w:val="99"/>
    <w:semiHidden/>
    <w:unhideWhenUsed/>
    <w:rsid w:val="005F148C"/>
    <w:rPr>
      <w:sz w:val="20"/>
      <w:szCs w:val="20"/>
    </w:rPr>
  </w:style>
  <w:style w:type="character" w:styleId="EndnoteTextChar" w:customStyle="1">
    <w:name w:val="Endnote Text Char"/>
    <w:basedOn w:val="DefaultParagraphFont"/>
    <w:link w:val="EndnoteText"/>
    <w:uiPriority w:val="99"/>
    <w:semiHidden/>
    <w:rsid w:val="005F148C"/>
    <w:rPr>
      <w:rFonts w:ascii="Times New Roman" w:hAnsi="Times New Roman" w:eastAsia="Times New Roman" w:cs="Times New Roman"/>
      <w:sz w:val="20"/>
      <w:szCs w:val="20"/>
      <w:lang w:val="es-ES" w:eastAsia="es-ES"/>
    </w:rPr>
  </w:style>
  <w:style w:type="character" w:styleId="EndnoteReference">
    <w:name w:val="endnote reference"/>
    <w:basedOn w:val="DefaultParagraphFont"/>
    <w:uiPriority w:val="99"/>
    <w:semiHidden/>
    <w:unhideWhenUsed/>
    <w:rsid w:val="005F148C"/>
    <w:rPr>
      <w:vertAlign w:val="superscript"/>
    </w:rPr>
  </w:style>
  <w:style w:type="paragraph" w:styleId="FootnoteText">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FootnoteTextChar"/>
    <w:uiPriority w:val="99"/>
    <w:unhideWhenUsed/>
    <w:qFormat/>
    <w:rsid w:val="005F148C"/>
    <w:rPr>
      <w:sz w:val="20"/>
      <w:szCs w:val="20"/>
    </w:rPr>
  </w:style>
  <w:style w:type="character" w:styleId="FootnoteTextChar" w:customStyle="1">
    <w:name w:val="Footnote Text Char"/>
    <w:aliases w:val="FOOTNOTES Char,Footnote Text Char Char Char Char Char Char,Footnote Text Char Char Char Char Char1,Footnote Char,Car Car6 Char,Car Car Car Char,Car Car Char,FOOTNOTES Car Car Char,footnote text Char, Car Car Car Car Char,Ca Char"/>
    <w:basedOn w:val="DefaultParagraphFont"/>
    <w:link w:val="FootnoteText"/>
    <w:uiPriority w:val="99"/>
    <w:semiHidden/>
    <w:rsid w:val="005F148C"/>
    <w:rPr>
      <w:rFonts w:ascii="Times New Roman" w:hAnsi="Times New Roman" w:eastAsia="Times New Roman" w:cs="Times New Roman"/>
      <w:sz w:val="20"/>
      <w:szCs w:val="20"/>
      <w:lang w:val="es-ES" w:eastAsia="es-ES"/>
    </w:rPr>
  </w:style>
  <w:style w:type="character" w:styleId="FootnoteReference">
    <w:name w:val="footnote reference"/>
    <w:aliases w:val="ftref,16 Point,Superscript 6 Point,FC,Ref,de nota al pie,Appel note de bas de page,Footnotes refss,Footnote number,referencia nota al pie,BVI fnr,f,Footnote symbol,Footnote reference number,note TESI,Times 10 Point,Exposant 3 Point,o"/>
    <w:basedOn w:val="DefaultParagraphFont"/>
    <w:uiPriority w:val="99"/>
    <w:unhideWhenUsed/>
    <w:qFormat/>
    <w:rsid w:val="005F148C"/>
    <w:rPr>
      <w:vertAlign w:val="superscript"/>
    </w:rPr>
  </w:style>
  <w:style w:type="paragraph" w:styleId="Header">
    <w:name w:val="header"/>
    <w:basedOn w:val="Normal"/>
    <w:link w:val="HeaderChar"/>
    <w:uiPriority w:val="99"/>
    <w:unhideWhenUsed/>
    <w:rsid w:val="001631D6"/>
    <w:pPr>
      <w:tabs>
        <w:tab w:val="center" w:pos="4252"/>
        <w:tab w:val="right" w:pos="8504"/>
      </w:tabs>
    </w:pPr>
  </w:style>
  <w:style w:type="character" w:styleId="HeaderChar" w:customStyle="1">
    <w:name w:val="Header Char"/>
    <w:basedOn w:val="DefaultParagraphFont"/>
    <w:link w:val="Header"/>
    <w:uiPriority w:val="99"/>
    <w:rsid w:val="001631D6"/>
    <w:rPr>
      <w:rFonts w:ascii="Times New Roman" w:hAnsi="Times New Roman" w:eastAsia="Times New Roman" w:cs="Times New Roman"/>
      <w:sz w:val="24"/>
      <w:szCs w:val="24"/>
      <w:lang w:val="es-ES" w:eastAsia="es-ES"/>
    </w:rPr>
  </w:style>
  <w:style w:type="paragraph" w:styleId="Footer">
    <w:name w:val="footer"/>
    <w:basedOn w:val="Normal"/>
    <w:link w:val="FooterChar"/>
    <w:uiPriority w:val="99"/>
    <w:unhideWhenUsed/>
    <w:rsid w:val="001631D6"/>
    <w:pPr>
      <w:tabs>
        <w:tab w:val="center" w:pos="4252"/>
        <w:tab w:val="right" w:pos="8504"/>
      </w:tabs>
    </w:pPr>
  </w:style>
  <w:style w:type="character" w:styleId="FooterChar" w:customStyle="1">
    <w:name w:val="Footer Char"/>
    <w:basedOn w:val="DefaultParagraphFont"/>
    <w:link w:val="Footer"/>
    <w:uiPriority w:val="99"/>
    <w:rsid w:val="001631D6"/>
    <w:rPr>
      <w:rFonts w:ascii="Times New Roman" w:hAnsi="Times New Roman" w:eastAsia="Times New Roman" w:cs="Times New Roman"/>
      <w:sz w:val="24"/>
      <w:szCs w:val="24"/>
      <w:lang w:val="es-ES" w:eastAsia="es-ES"/>
    </w:rPr>
  </w:style>
  <w:style w:type="paragraph" w:styleId="NoSpacing">
    <w:name w:val="No Spacing"/>
    <w:uiPriority w:val="1"/>
    <w:qFormat/>
    <w:rsid w:val="003E6BA6"/>
    <w:pPr>
      <w:spacing w:after="0" w:line="240" w:lineRule="auto"/>
    </w:pPr>
    <w:rPr>
      <w:lang w:val="es-PE"/>
    </w:rPr>
  </w:style>
  <w:style w:type="character" w:styleId="Heading1Char" w:customStyle="1">
    <w:name w:val="Heading 1 Char"/>
    <w:basedOn w:val="DefaultParagraphFont"/>
    <w:link w:val="Heading1"/>
    <w:uiPriority w:val="9"/>
    <w:rsid w:val="00807D21"/>
    <w:rPr>
      <w:rFonts w:ascii="Times New Roman" w:hAnsi="Times New Roman" w:eastAsia="Times New Roman" w:cs="Times New Roman"/>
      <w:b/>
      <w:bCs/>
      <w:sz w:val="24"/>
      <w:szCs w:val="24"/>
      <w:lang w:val="es-MX" w:eastAsia="es-ES"/>
    </w:rPr>
  </w:style>
  <w:style w:type="paragraph" w:styleId="BodyText">
    <w:name w:val="Body Text"/>
    <w:basedOn w:val="Normal"/>
    <w:link w:val="BodyTextChar"/>
    <w:unhideWhenUsed/>
    <w:rsid w:val="00807D21"/>
    <w:pPr>
      <w:jc w:val="both"/>
    </w:pPr>
    <w:rPr>
      <w:lang w:val="es-MX"/>
    </w:rPr>
  </w:style>
  <w:style w:type="character" w:styleId="BodyTextChar" w:customStyle="1">
    <w:name w:val="Body Text Char"/>
    <w:basedOn w:val="DefaultParagraphFont"/>
    <w:link w:val="BodyText"/>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eGrid">
    <w:name w:val="Table Grid"/>
    <w:basedOn w:val="Table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4536D"/>
    <w:rPr>
      <w:color w:val="0563C1" w:themeColor="hyperlink"/>
      <w:u w:val="single"/>
    </w:rPr>
  </w:style>
  <w:style w:type="character" w:styleId="UnresolvedMention">
    <w:name w:val="Unresolved Mention"/>
    <w:basedOn w:val="DefaultParagraphFont"/>
    <w:uiPriority w:val="99"/>
    <w:semiHidden/>
    <w:unhideWhenUsed/>
    <w:rsid w:val="0094536D"/>
    <w:rPr>
      <w:color w:val="605E5C"/>
      <w:shd w:val="clear" w:color="auto" w:fill="E1DFDD"/>
    </w:rPr>
  </w:style>
  <w:style w:type="character" w:styleId="ListParagraphChar" w:customStyle="1">
    <w:name w:val="List Paragraph Char"/>
    <w:aliases w:val="Titulo de Fígura Char,TITULO A Char,Viñeta normal Char,Titulo parrafo Char,Punto Char,Number List 1 Char,Lista 123 Char,ct parrafo Char,Párrafo de lista3 Char"/>
    <w:link w:val="ListParagraph"/>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DefaultParagraphFont"/>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Heading2Char" w:customStyle="1">
    <w:name w:val="Heading 2 Char"/>
    <w:basedOn w:val="DefaultParagraphFont"/>
    <w:link w:val="Heading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BodyTextIndent3">
    <w:name w:val="Body Text Indent 3"/>
    <w:basedOn w:val="Normal"/>
    <w:link w:val="BodyTextIndent3Char"/>
    <w:semiHidden/>
    <w:unhideWhenUsed/>
    <w:rsid w:val="00C8205C"/>
    <w:pPr>
      <w:spacing w:after="120"/>
      <w:ind w:left="283"/>
    </w:pPr>
    <w:rPr>
      <w:sz w:val="16"/>
      <w:szCs w:val="16"/>
    </w:rPr>
  </w:style>
  <w:style w:type="character" w:styleId="BodyTextIndent3Char" w:customStyle="1">
    <w:name w:val="Body Text Indent 3 Char"/>
    <w:basedOn w:val="DefaultParagraphFont"/>
    <w:link w:val="BodyTextIndent3"/>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61903096">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38259700">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8EDBAE2-E68A-4F71-B8E8-ACAE6BB53F6D}"/>
</file>

<file path=customXml/itemProps3.xml><?xml version="1.0" encoding="utf-8"?>
<ds:datastoreItem xmlns:ds="http://schemas.openxmlformats.org/officeDocument/2006/customXml" ds:itemID="{EF5EC051-98BA-4FD6-8FDC-32E4E46A1D28}"/>
</file>

<file path=customXml/itemProps4.xml><?xml version="1.0" encoding="utf-8"?>
<ds:datastoreItem xmlns:ds="http://schemas.openxmlformats.org/officeDocument/2006/customXml" ds:itemID="{B1E4CA28-D71C-4C00-B53C-ABD4191F87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587</cp:revision>
  <cp:lastPrinted>2024-09-25T15:51:00Z</cp:lastPrinted>
  <dcterms:created xsi:type="dcterms:W3CDTF">2020-12-18T20:09:00Z</dcterms:created>
  <dcterms:modified xsi:type="dcterms:W3CDTF">2025-10-13T20:36:34Z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