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53FF9" w:rsidR="000341A4" w:rsidP="00AB6141" w:rsidRDefault="000341A4" w14:paraId="6752CB7C" w14:textId="77777777">
      <w:pPr>
        <w:pStyle w:val="Puesto"/>
        <w:tabs>
          <w:tab w:val="left" w:pos="2730"/>
          <w:tab w:val="center" w:pos="4419"/>
        </w:tabs>
        <w:jc w:val="both"/>
        <w:outlineLvl w:val="0"/>
        <w:rPr>
          <w:rStyle w:val="Textoennegrita"/>
          <w:lang w:val="es-ES"/>
        </w:rPr>
      </w:pPr>
    </w:p>
    <w:p w:rsidRPr="00053FF9" w:rsidR="000341A4" w:rsidP="00AB6141" w:rsidRDefault="000341A4" w14:paraId="56329F19" w14:textId="77777777">
      <w:pPr>
        <w:pStyle w:val="Puesto"/>
        <w:tabs>
          <w:tab w:val="left" w:pos="2730"/>
          <w:tab w:val="center" w:pos="4419"/>
        </w:tabs>
        <w:outlineLvl w:val="0"/>
        <w:rPr>
          <w:rStyle w:val="Textoennegrita"/>
          <w:lang w:val="es-ES"/>
        </w:rPr>
      </w:pPr>
    </w:p>
    <w:p w:rsidRPr="00053FF9" w:rsidR="00F3482B" w:rsidP="00AB6141" w:rsidRDefault="00D00142" w14:paraId="69E29D1B" w14:textId="5D0CD4F7">
      <w:pPr>
        <w:pStyle w:val="Puesto"/>
        <w:tabs>
          <w:tab w:val="left" w:pos="2730"/>
          <w:tab w:val="center" w:pos="4419"/>
        </w:tabs>
        <w:outlineLvl w:val="0"/>
        <w:rPr>
          <w:rStyle w:val="Textoennegrita"/>
          <w:b/>
          <w:bCs/>
          <w:lang w:val="es-ES"/>
        </w:rPr>
      </w:pPr>
      <w:r w:rsidRPr="00053FF9">
        <w:rPr>
          <w:rStyle w:val="Textoennegrita"/>
          <w:b/>
          <w:bCs/>
          <w:lang w:val="es-ES"/>
        </w:rPr>
        <w:t xml:space="preserve">RESOLUCION </w:t>
      </w:r>
      <w:proofErr w:type="spellStart"/>
      <w:r w:rsidRPr="00053FF9">
        <w:rPr>
          <w:rStyle w:val="Textoennegrita"/>
          <w:b/>
          <w:bCs/>
          <w:lang w:val="es-ES"/>
        </w:rPr>
        <w:t>N°</w:t>
      </w:r>
      <w:proofErr w:type="spellEnd"/>
      <w:r w:rsidRPr="00053FF9" w:rsidR="000341A4">
        <w:rPr>
          <w:rStyle w:val="Textoennegrita"/>
          <w:b/>
          <w:bCs/>
          <w:lang w:val="es-ES"/>
        </w:rPr>
        <w:t xml:space="preserve"> </w:t>
      </w:r>
      <w:r w:rsidRPr="00053FF9" w:rsidR="00417E39">
        <w:rPr>
          <w:rStyle w:val="Textoennegrita"/>
          <w:b/>
          <w:bCs/>
          <w:lang w:val="es-ES"/>
        </w:rPr>
        <w:t>1</w:t>
      </w:r>
      <w:r w:rsidRPr="00053FF9" w:rsidR="008467F7">
        <w:rPr>
          <w:rStyle w:val="Textoennegrita"/>
          <w:b/>
          <w:bCs/>
          <w:lang w:val="es-ES"/>
        </w:rPr>
        <w:t>9</w:t>
      </w:r>
      <w:r w:rsidR="004202DC">
        <w:rPr>
          <w:rStyle w:val="Textoennegrita"/>
          <w:b/>
          <w:bCs/>
          <w:lang w:val="es-ES"/>
        </w:rPr>
        <w:t>9</w:t>
      </w:r>
      <w:r w:rsidRPr="00053FF9">
        <w:rPr>
          <w:rStyle w:val="Textoennegrita"/>
          <w:b/>
          <w:bCs/>
          <w:lang w:val="es-ES"/>
        </w:rPr>
        <w:t>/2</w:t>
      </w:r>
      <w:r w:rsidRPr="00053FF9" w:rsidR="004B168E">
        <w:rPr>
          <w:rStyle w:val="Textoennegrita"/>
          <w:b/>
          <w:bCs/>
          <w:lang w:val="es-ES"/>
        </w:rPr>
        <w:t>4</w:t>
      </w:r>
    </w:p>
    <w:p w:rsidR="005F28DE" w:rsidP="0006070E" w:rsidRDefault="005F28DE" w14:paraId="0DF738FB" w14:textId="77777777">
      <w:pPr>
        <w:jc w:val="both"/>
        <w:rPr>
          <w:rFonts w:ascii="Times New Roman" w:hAnsi="Times New Roman"/>
          <w:b/>
          <w:bCs/>
          <w:sz w:val="24"/>
          <w:szCs w:val="24"/>
        </w:rPr>
      </w:pPr>
    </w:p>
    <w:p w:rsidRPr="0006070E" w:rsidR="0006070E" w:rsidP="0006070E" w:rsidRDefault="0006070E" w14:paraId="156F0C9E" w14:textId="77777777">
      <w:pPr>
        <w:jc w:val="both"/>
        <w:rPr>
          <w:rFonts w:ascii="Times New Roman" w:hAnsi="Times New Roman"/>
          <w:b/>
          <w:bCs/>
          <w:sz w:val="24"/>
          <w:szCs w:val="24"/>
        </w:rPr>
      </w:pPr>
      <w:r w:rsidRPr="0006070E">
        <w:rPr>
          <w:rFonts w:ascii="Times New Roman" w:hAnsi="Times New Roman"/>
          <w:b/>
          <w:bCs/>
          <w:sz w:val="24"/>
          <w:szCs w:val="24"/>
        </w:rPr>
        <w:t>Vistos:</w:t>
      </w:r>
    </w:p>
    <w:p w:rsidRPr="0006070E" w:rsidR="0006070E" w:rsidP="0006070E" w:rsidRDefault="0006070E" w14:paraId="25F5FDE8" w14:textId="64C03D58">
      <w:pPr>
        <w:jc w:val="both"/>
        <w:rPr>
          <w:rFonts w:ascii="Times New Roman" w:hAnsi="Times New Roman"/>
          <w:sz w:val="24"/>
          <w:szCs w:val="24"/>
        </w:rPr>
      </w:pPr>
      <w:r w:rsidRPr="7ABCB70A" w:rsidR="3252A9FB">
        <w:rPr>
          <w:rFonts w:ascii="Times New Roman" w:hAnsi="Times New Roman"/>
          <w:sz w:val="24"/>
          <w:szCs w:val="24"/>
        </w:rPr>
        <w:t>Que, el 04 de julio de 202</w:t>
      </w:r>
      <w:r w:rsidRPr="7ABCB70A" w:rsidR="6CCFC668">
        <w:rPr>
          <w:rFonts w:ascii="Times New Roman" w:hAnsi="Times New Roman"/>
          <w:sz w:val="24"/>
          <w:szCs w:val="24"/>
        </w:rPr>
        <w:t>4</w:t>
      </w:r>
      <w:r w:rsidRPr="7ABCB70A" w:rsidR="3252A9FB">
        <w:rPr>
          <w:rFonts w:ascii="Times New Roman" w:hAnsi="Times New Roman"/>
          <w:sz w:val="24"/>
          <w:szCs w:val="24"/>
        </w:rPr>
        <w:t xml:space="preserve"> don</w:t>
      </w:r>
      <w:r w:rsidRPr="7ABCB70A" w:rsidR="7334BC64">
        <w:rPr>
          <w:rFonts w:ascii="Times New Roman" w:hAnsi="Times New Roman"/>
          <w:sz w:val="24"/>
          <w:szCs w:val="24"/>
        </w:rPr>
        <w:t>.....................................................................</w:t>
      </w:r>
      <w:r w:rsidRPr="7ABCB70A" w:rsidR="3252A9FB">
        <w:rPr>
          <w:rFonts w:ascii="Times New Roman" w:hAnsi="Times New Roman"/>
          <w:sz w:val="24"/>
          <w:szCs w:val="24"/>
        </w:rPr>
        <w:t xml:space="preserve">, representado por su hija </w:t>
      </w:r>
      <w:r w:rsidRPr="7ABCB70A" w:rsidR="3DFFED08">
        <w:rPr>
          <w:rFonts w:ascii="Times New Roman" w:hAnsi="Times New Roman"/>
          <w:sz w:val="24"/>
          <w:szCs w:val="24"/>
        </w:rPr>
        <w:t>..........................................................................</w:t>
      </w:r>
      <w:r w:rsidRPr="7ABCB70A" w:rsidR="3252A9FB">
        <w:rPr>
          <w:rFonts w:ascii="Times New Roman" w:hAnsi="Times New Roman"/>
          <w:sz w:val="24"/>
          <w:szCs w:val="24"/>
        </w:rPr>
        <w:t xml:space="preserve">, interpone reclamación ante esta Defensoría del Asegurado (DEFASEG), solicitando que </w:t>
      </w:r>
      <w:r w:rsidRPr="7ABCB70A" w:rsidR="7A86FD86">
        <w:rPr>
          <w:rFonts w:ascii="Times New Roman" w:hAnsi="Times New Roman"/>
          <w:sz w:val="24"/>
          <w:szCs w:val="24"/>
        </w:rPr>
        <w:t>.....................................................................................</w:t>
      </w:r>
      <w:r w:rsidRPr="7ABCB70A" w:rsidR="3252A9FB">
        <w:rPr>
          <w:rFonts w:ascii="Times New Roman" w:hAnsi="Times New Roman"/>
          <w:sz w:val="24"/>
          <w:szCs w:val="24"/>
        </w:rPr>
        <w:t>. (</w:t>
      </w:r>
      <w:r w:rsidRPr="7ABCB70A" w:rsidR="79FB9742">
        <w:rPr>
          <w:rFonts w:ascii="Times New Roman" w:hAnsi="Times New Roman"/>
          <w:sz w:val="24"/>
          <w:szCs w:val="24"/>
        </w:rPr>
        <w:t>..............................</w:t>
      </w:r>
      <w:r w:rsidRPr="7ABCB70A" w:rsidR="3252A9FB">
        <w:rPr>
          <w:rFonts w:ascii="Times New Roman" w:hAnsi="Times New Roman"/>
          <w:sz w:val="24"/>
          <w:szCs w:val="24"/>
        </w:rPr>
        <w:t xml:space="preserve">) otorgue cobertura de seguro de desgravamen por su situación de invalidez conforme a las pólizas de desgravamen correspondientes a los productos adquiridos con el Banco Interbank; </w:t>
      </w:r>
    </w:p>
    <w:p w:rsidRPr="0006070E" w:rsidR="0006070E" w:rsidP="0006070E" w:rsidRDefault="0006070E" w14:paraId="34F5F907" w14:textId="77777777">
      <w:pPr>
        <w:jc w:val="both"/>
        <w:rPr>
          <w:rFonts w:ascii="Times New Roman" w:hAnsi="Times New Roman"/>
          <w:sz w:val="24"/>
          <w:szCs w:val="24"/>
        </w:rPr>
      </w:pPr>
      <w:r w:rsidRPr="0006070E">
        <w:rPr>
          <w:rFonts w:ascii="Times New Roman" w:hAnsi="Times New Roman"/>
          <w:sz w:val="24"/>
          <w:szCs w:val="24"/>
        </w:rPr>
        <w:t>Que, la señalada reclamación cumple con los requisitos de materia, cuantía y oportunidad establecidos en el Reglamento de la DEFASEG (http://www.defaseg.com.pe/reglamento);</w:t>
      </w:r>
    </w:p>
    <w:p w:rsidR="0006070E" w:rsidP="0006070E" w:rsidRDefault="0006070E" w14:paraId="15C19836" w14:textId="77777777">
      <w:pPr>
        <w:jc w:val="both"/>
        <w:rPr>
          <w:rFonts w:ascii="Times New Roman" w:hAnsi="Times New Roman"/>
          <w:sz w:val="24"/>
          <w:szCs w:val="24"/>
        </w:rPr>
      </w:pPr>
      <w:r w:rsidRPr="0006070E">
        <w:rPr>
          <w:rFonts w:ascii="Times New Roman" w:hAnsi="Times New Roman"/>
          <w:sz w:val="24"/>
          <w:szCs w:val="24"/>
        </w:rPr>
        <w:t>Que, habiéndose corrido traslado de la respectiva reclamación, la aseguradora presentó sus descargos el 12 de setiembre de 2024, adjuntando la documentación correspondiente.</w:t>
      </w:r>
    </w:p>
    <w:p w:rsidRPr="0006070E" w:rsidR="0006070E" w:rsidP="0006070E" w:rsidRDefault="0006070E" w14:paraId="620C7AA2" w14:textId="1E509DC7">
      <w:pPr>
        <w:jc w:val="both"/>
        <w:rPr>
          <w:rFonts w:ascii="Times New Roman" w:hAnsi="Times New Roman"/>
          <w:sz w:val="24"/>
          <w:szCs w:val="24"/>
        </w:rPr>
      </w:pPr>
      <w:r w:rsidRPr="0006070E">
        <w:rPr>
          <w:rFonts w:ascii="Times New Roman" w:hAnsi="Times New Roman"/>
          <w:sz w:val="24"/>
          <w:szCs w:val="24"/>
        </w:rPr>
        <w:t xml:space="preserve">Que, el 21 de octubre de 2024 se realizó la correspondiente audiencia de vista con la participación de ambas partes, oportunidad en la cual las partes expusieron sus posiciones </w:t>
      </w:r>
      <w:proofErr w:type="gramStart"/>
      <w:r w:rsidRPr="0006070E">
        <w:rPr>
          <w:rFonts w:ascii="Times New Roman" w:hAnsi="Times New Roman"/>
          <w:sz w:val="24"/>
          <w:szCs w:val="24"/>
        </w:rPr>
        <w:t>y  absolvieron</w:t>
      </w:r>
      <w:proofErr w:type="gramEnd"/>
      <w:r w:rsidRPr="0006070E">
        <w:rPr>
          <w:rFonts w:ascii="Times New Roman" w:hAnsi="Times New Roman"/>
          <w:sz w:val="24"/>
          <w:szCs w:val="24"/>
        </w:rPr>
        <w:t xml:space="preserve"> las distintas preguntas formuladas, conforme consta de la correspondiente acta.</w:t>
      </w:r>
    </w:p>
    <w:p w:rsidRPr="0006070E" w:rsidR="0006070E" w:rsidP="0006070E" w:rsidRDefault="0006070E" w14:paraId="35835C78" w14:textId="77777777">
      <w:pPr>
        <w:jc w:val="both"/>
        <w:rPr>
          <w:rFonts w:ascii="Times New Roman" w:hAnsi="Times New Roman"/>
          <w:sz w:val="24"/>
          <w:szCs w:val="24"/>
        </w:rPr>
      </w:pPr>
      <w:r w:rsidRPr="0006070E">
        <w:rPr>
          <w:rFonts w:ascii="Times New Roman" w:hAnsi="Times New Roman"/>
          <w:sz w:val="24"/>
          <w:szCs w:val="24"/>
        </w:rPr>
        <w:t>Que, el reclamante sustenta su pedido resumidamente en lo siguiente: a) Su padre sufrió un infarto en noviembre de 2023, generándole una situación de invalidez y dependencia médica, razón por la cual solicitaron la cobertura de invalidez del seguro de desgravamen por los productos financieros adquiridos por su padre con el Banco Interbank; b) han rechazado su solicitud mencionando que los seguros tienen inicio de vigencia en las siguientes 3 fechas: 20/07/2018, 17/11/2021 y 20/07/2023; por cuanto consideran que tenía enfermedades preexistentes; c) solo existen dos fechas donde se da el detalle médico por el cual justifican la no cobertura del seguro: 24/02/2012 hemoglobina glicosilada; 24/02/2012  diabetes mellitus con coma; d) en cualquiera de los dos casos se trata de diabetes, pero el infarto ocurrido no solo se da por esa situación, es por ello que considera una falta de respeto el nivel de respuesta brindado, así como falta de empatía ante una situación delicada que no le parece válido; e) añada que es imposible que su padre asuma la deuda en la situación actual, por lo que solicita validar el seguro lo más pronto posible.</w:t>
      </w:r>
    </w:p>
    <w:p w:rsidRPr="0006070E" w:rsidR="0006070E" w:rsidP="0006070E" w:rsidRDefault="0006070E" w14:paraId="2B0C9BDC" w14:textId="429BBDB4">
      <w:pPr>
        <w:jc w:val="both"/>
        <w:rPr>
          <w:rFonts w:ascii="Times New Roman" w:hAnsi="Times New Roman"/>
          <w:sz w:val="24"/>
          <w:szCs w:val="24"/>
        </w:rPr>
      </w:pPr>
      <w:r w:rsidRPr="7ABCB70A" w:rsidR="3252A9FB">
        <w:rPr>
          <w:rFonts w:ascii="Times New Roman" w:hAnsi="Times New Roman"/>
          <w:sz w:val="24"/>
          <w:szCs w:val="24"/>
        </w:rPr>
        <w:t xml:space="preserve">Que, por su parte la aseguradora ratifica el rechazo de cobertura, sustentando su posición resumidamente en lo siguiente: a) en base a una liberalidad de </w:t>
      </w:r>
      <w:r w:rsidRPr="7ABCB70A" w:rsidR="79FB9742">
        <w:rPr>
          <w:rFonts w:ascii="Times New Roman" w:hAnsi="Times New Roman"/>
          <w:sz w:val="24"/>
          <w:szCs w:val="24"/>
        </w:rPr>
        <w:t>..............................</w:t>
      </w:r>
      <w:r w:rsidRPr="7ABCB70A" w:rsidR="3252A9FB">
        <w:rPr>
          <w:rFonts w:ascii="Times New Roman" w:hAnsi="Times New Roman"/>
          <w:sz w:val="24"/>
          <w:szCs w:val="24"/>
        </w:rPr>
        <w:t xml:space="preserve"> para con su cliente, se procederá a la activación de los Seguros de Desgravamen correspondientes a las Tarjetas de Crédito </w:t>
      </w:r>
      <w:r w:rsidRPr="7ABCB70A" w:rsidR="3252A9FB">
        <w:rPr>
          <w:rFonts w:ascii="Times New Roman" w:hAnsi="Times New Roman"/>
          <w:sz w:val="24"/>
          <w:szCs w:val="24"/>
        </w:rPr>
        <w:t>N°</w:t>
      </w:r>
      <w:r w:rsidRPr="7ABCB70A" w:rsidR="3252A9FB">
        <w:rPr>
          <w:rFonts w:ascii="Times New Roman" w:hAnsi="Times New Roman"/>
          <w:sz w:val="24"/>
          <w:szCs w:val="24"/>
        </w:rPr>
        <w:t xml:space="preserve"> </w:t>
      </w:r>
      <w:r w:rsidRPr="7ABCB70A" w:rsidR="3BCD9C25">
        <w:rPr>
          <w:rFonts w:ascii="Times New Roman" w:hAnsi="Times New Roman"/>
          <w:sz w:val="24"/>
          <w:szCs w:val="24"/>
        </w:rPr>
        <w:t>.......................</w:t>
      </w:r>
      <w:r w:rsidRPr="7ABCB70A" w:rsidR="3252A9FB">
        <w:rPr>
          <w:rFonts w:ascii="Times New Roman" w:hAnsi="Times New Roman"/>
          <w:sz w:val="24"/>
          <w:szCs w:val="24"/>
        </w:rPr>
        <w:t xml:space="preserve"> y </w:t>
      </w:r>
      <w:r w:rsidRPr="7ABCB70A" w:rsidR="3252A9FB">
        <w:rPr>
          <w:rFonts w:ascii="Times New Roman" w:hAnsi="Times New Roman"/>
          <w:sz w:val="24"/>
          <w:szCs w:val="24"/>
        </w:rPr>
        <w:t>N°</w:t>
      </w:r>
      <w:r w:rsidRPr="7ABCB70A" w:rsidR="3252A9FB">
        <w:rPr>
          <w:rFonts w:ascii="Times New Roman" w:hAnsi="Times New Roman"/>
          <w:sz w:val="24"/>
          <w:szCs w:val="24"/>
        </w:rPr>
        <w:t xml:space="preserve"> </w:t>
      </w:r>
      <w:r w:rsidRPr="7ABCB70A" w:rsidR="76A0815B">
        <w:rPr>
          <w:rFonts w:ascii="Times New Roman" w:hAnsi="Times New Roman"/>
          <w:sz w:val="24"/>
          <w:szCs w:val="24"/>
        </w:rPr>
        <w:t>.......................</w:t>
      </w:r>
      <w:r w:rsidRPr="7ABCB70A" w:rsidR="3252A9FB">
        <w:rPr>
          <w:rFonts w:ascii="Times New Roman" w:hAnsi="Times New Roman"/>
          <w:sz w:val="24"/>
          <w:szCs w:val="24"/>
        </w:rPr>
        <w:t xml:space="preserve">, siendo que posteriormente tomó nota que en el caso de la tarjeta </w:t>
      </w:r>
      <w:r w:rsidRPr="7ABCB70A" w:rsidR="37E1BCDE">
        <w:rPr>
          <w:rFonts w:ascii="Times New Roman" w:hAnsi="Times New Roman"/>
          <w:sz w:val="24"/>
          <w:szCs w:val="24"/>
        </w:rPr>
        <w:t>.......................</w:t>
      </w:r>
      <w:r w:rsidRPr="7ABCB70A" w:rsidR="3252A9FB">
        <w:rPr>
          <w:rFonts w:ascii="Times New Roman" w:hAnsi="Times New Roman"/>
          <w:sz w:val="24"/>
          <w:szCs w:val="24"/>
        </w:rPr>
        <w:t xml:space="preserve"> no se mantenía saldo deudor, mientras que en el caso de la Tarjeta </w:t>
      </w:r>
      <w:r w:rsidRPr="7ABCB70A" w:rsidR="0D8955B2">
        <w:rPr>
          <w:rFonts w:ascii="Times New Roman" w:hAnsi="Times New Roman"/>
          <w:sz w:val="24"/>
          <w:szCs w:val="24"/>
        </w:rPr>
        <w:t>.......................</w:t>
      </w:r>
      <w:r w:rsidRPr="7ABCB70A" w:rsidR="3252A9FB">
        <w:rPr>
          <w:rFonts w:ascii="Times New Roman" w:hAnsi="Times New Roman"/>
          <w:sz w:val="24"/>
          <w:szCs w:val="24"/>
        </w:rPr>
        <w:t xml:space="preserve">, el saldo deudor era de S/ 11,928.18, la que ya ha sido transferida a Interbank; b) con fecha 25 de julio de 2018 el señor </w:t>
      </w:r>
      <w:r w:rsidRPr="7ABCB70A" w:rsidR="359894A9">
        <w:rPr>
          <w:rFonts w:ascii="Times New Roman" w:hAnsi="Times New Roman"/>
          <w:sz w:val="24"/>
          <w:szCs w:val="24"/>
        </w:rPr>
        <w:t>..................</w:t>
      </w:r>
      <w:r w:rsidRPr="7ABCB70A" w:rsidR="3252A9FB">
        <w:rPr>
          <w:rFonts w:ascii="Times New Roman" w:hAnsi="Times New Roman"/>
          <w:sz w:val="24"/>
          <w:szCs w:val="24"/>
        </w:rPr>
        <w:t xml:space="preserve"> contrató con </w:t>
      </w:r>
      <w:r w:rsidRPr="7ABCB70A" w:rsidR="79FB9742">
        <w:rPr>
          <w:rFonts w:ascii="Times New Roman" w:hAnsi="Times New Roman"/>
          <w:sz w:val="24"/>
          <w:szCs w:val="24"/>
        </w:rPr>
        <w:t>..............................</w:t>
      </w:r>
      <w:r w:rsidRPr="7ABCB70A" w:rsidR="3252A9FB">
        <w:rPr>
          <w:rFonts w:ascii="Times New Roman" w:hAnsi="Times New Roman"/>
          <w:sz w:val="24"/>
          <w:szCs w:val="24"/>
        </w:rPr>
        <w:t xml:space="preserve"> un seguro de desgravamen referido a la tarjeta de crédito </w:t>
      </w:r>
      <w:r w:rsidRPr="7ABCB70A" w:rsidR="3252A9FB">
        <w:rPr>
          <w:rFonts w:ascii="Times New Roman" w:hAnsi="Times New Roman"/>
          <w:sz w:val="24"/>
          <w:szCs w:val="24"/>
        </w:rPr>
        <w:t>N°</w:t>
      </w:r>
      <w:r w:rsidRPr="7ABCB70A" w:rsidR="3252A9FB">
        <w:rPr>
          <w:rFonts w:ascii="Times New Roman" w:hAnsi="Times New Roman"/>
          <w:sz w:val="24"/>
          <w:szCs w:val="24"/>
        </w:rPr>
        <w:t xml:space="preserve"> </w:t>
      </w:r>
      <w:r w:rsidRPr="7ABCB70A" w:rsidR="16501F1A">
        <w:rPr>
          <w:rFonts w:ascii="Times New Roman" w:hAnsi="Times New Roman"/>
          <w:sz w:val="24"/>
          <w:szCs w:val="24"/>
        </w:rPr>
        <w:t>.......................</w:t>
      </w:r>
      <w:r w:rsidRPr="7ABCB70A" w:rsidR="3252A9FB">
        <w:rPr>
          <w:rFonts w:ascii="Times New Roman" w:hAnsi="Times New Roman"/>
          <w:sz w:val="24"/>
          <w:szCs w:val="24"/>
        </w:rPr>
        <w:t xml:space="preserve">; c) en razón a dicha póliza con fecha 26 de enero de 2024, el reclamante presentó una solicitud de cobertura trasladando </w:t>
      </w:r>
      <w:r w:rsidRPr="7ABCB70A" w:rsidR="3252A9FB">
        <w:rPr>
          <w:rFonts w:ascii="Times New Roman" w:hAnsi="Times New Roman"/>
          <w:sz w:val="24"/>
          <w:szCs w:val="24"/>
        </w:rPr>
        <w:t xml:space="preserve">parte de la historia clínica; en el caso de la indicada tarjeta de crédito, los saldos deudores informados ascienden a S/ 29,653.92 y USD 4,467.27; d) luego de la revisión del caso, se requirió la presentación de la historia clínica completa, y del dictamen completo de invalidez emitido por COMAFP, COMEC, </w:t>
      </w:r>
      <w:r w:rsidRPr="7ABCB70A" w:rsidR="3252A9FB">
        <w:rPr>
          <w:rFonts w:ascii="Times New Roman" w:hAnsi="Times New Roman"/>
          <w:sz w:val="24"/>
          <w:szCs w:val="24"/>
        </w:rPr>
        <w:t>Essalud</w:t>
      </w:r>
      <w:r w:rsidRPr="7ABCB70A" w:rsidR="3252A9FB">
        <w:rPr>
          <w:rFonts w:ascii="Times New Roman" w:hAnsi="Times New Roman"/>
          <w:sz w:val="24"/>
          <w:szCs w:val="24"/>
        </w:rPr>
        <w:t xml:space="preserve"> o MINSA donde indique el grado y naturaleza de la invalidez, al término del tratamiento médico y de rehabilitación; e) con fecha 27 de junio de 2024, se ingresó la historia clínica y un certificado médico -no un dictamen de invalidez-; f) pese a no haber sido presentado el dictamen, se identificó que el presunto motivo de invalidez alegado (cardiopatía coronaria) se encontraría relacionado a antecedentes de larga data, anteriores a la contratación del seguro, siendo que la póliza excluye la invalidez causada por enfermedades preexistentes; g) no es posible otorgar la cobertura solicitada por cuanto no se ha presentado un dictamen de invalidez con las características necesarias para el otorgamiento de cobertura; y, la causa de la invalidez se encuentra relacionada con preexistencias de larga data evidenciadas en la historia clínica del asegurado.</w:t>
      </w:r>
    </w:p>
    <w:p w:rsidRPr="0006070E" w:rsidR="0006070E" w:rsidP="0006070E" w:rsidRDefault="0006070E" w14:paraId="083AE9BD" w14:textId="77777777">
      <w:pPr>
        <w:jc w:val="both"/>
        <w:rPr>
          <w:rFonts w:ascii="Times New Roman" w:hAnsi="Times New Roman"/>
          <w:sz w:val="24"/>
          <w:szCs w:val="24"/>
        </w:rPr>
      </w:pPr>
      <w:r w:rsidRPr="0006070E">
        <w:rPr>
          <w:rFonts w:ascii="Times New Roman" w:hAnsi="Times New Roman"/>
          <w:b/>
          <w:bCs/>
          <w:sz w:val="24"/>
          <w:szCs w:val="24"/>
        </w:rPr>
        <w:t>Considerando:</w:t>
      </w:r>
    </w:p>
    <w:p w:rsidRPr="0006070E" w:rsidR="0006070E" w:rsidP="0006070E" w:rsidRDefault="0006070E" w14:paraId="5D1D18A0" w14:textId="77777777">
      <w:pPr>
        <w:jc w:val="both"/>
        <w:rPr>
          <w:rFonts w:ascii="Times New Roman" w:hAnsi="Times New Roman"/>
          <w:sz w:val="24"/>
          <w:szCs w:val="24"/>
        </w:rPr>
      </w:pPr>
      <w:r w:rsidRPr="0006070E">
        <w:rPr>
          <w:rFonts w:ascii="Times New Roman" w:hAnsi="Times New Roman"/>
          <w:b/>
          <w:sz w:val="24"/>
          <w:szCs w:val="24"/>
          <w:u w:val="single"/>
        </w:rPr>
        <w:t>Primero</w:t>
      </w:r>
      <w:r w:rsidRPr="0006070E">
        <w:rPr>
          <w:rFonts w:ascii="Times New Roman" w:hAnsi="Times New Roman"/>
          <w:b/>
          <w:sz w:val="24"/>
          <w:szCs w:val="24"/>
        </w:rPr>
        <w:t xml:space="preserve">: </w:t>
      </w:r>
      <w:r w:rsidRPr="0006070E">
        <w:rPr>
          <w:rFonts w:ascii="Times New Roman" w:hAnsi="Times New Roman"/>
          <w:sz w:val="24"/>
          <w:szCs w:val="24"/>
        </w:rPr>
        <w:t>Conforme a su Reglamento, la</w:t>
      </w:r>
      <w:r w:rsidRPr="0006070E">
        <w:rPr>
          <w:rFonts w:ascii="Times New Roman" w:hAnsi="Times New Roman"/>
          <w:b/>
          <w:bCs/>
          <w:sz w:val="24"/>
          <w:szCs w:val="24"/>
        </w:rPr>
        <w:t xml:space="preserve"> </w:t>
      </w:r>
      <w:r w:rsidRPr="0006070E">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6070E" w:rsidR="0006070E" w:rsidP="0006070E" w:rsidRDefault="0006070E" w14:paraId="6DED0EF8" w14:textId="77777777">
      <w:pPr>
        <w:jc w:val="both"/>
        <w:rPr>
          <w:rFonts w:ascii="Times New Roman" w:hAnsi="Times New Roman"/>
          <w:bCs/>
          <w:sz w:val="24"/>
          <w:szCs w:val="24"/>
        </w:rPr>
      </w:pPr>
      <w:r w:rsidRPr="0006070E">
        <w:rPr>
          <w:rFonts w:ascii="Times New Roman" w:hAnsi="Times New Roman"/>
          <w:b/>
          <w:bCs/>
          <w:sz w:val="24"/>
          <w:szCs w:val="24"/>
          <w:u w:val="single"/>
        </w:rPr>
        <w:t>Segundo</w:t>
      </w:r>
      <w:r w:rsidRPr="0006070E">
        <w:rPr>
          <w:rFonts w:ascii="Times New Roman" w:hAnsi="Times New Roman"/>
          <w:b/>
          <w:bCs/>
          <w:sz w:val="24"/>
          <w:szCs w:val="24"/>
        </w:rPr>
        <w:t>:</w:t>
      </w:r>
      <w:r w:rsidRPr="0006070E">
        <w:rPr>
          <w:rFonts w:ascii="Times New Roman" w:hAnsi="Times New Roman"/>
          <w:bCs/>
          <w:sz w:val="24"/>
          <w:szCs w:val="24"/>
        </w:rPr>
        <w:t xml:space="preserve"> </w:t>
      </w:r>
      <w:r w:rsidRPr="0006070E">
        <w:rPr>
          <w:rFonts w:ascii="Times New Roman" w:hAnsi="Times New Roman"/>
          <w:sz w:val="24"/>
          <w:szCs w:val="24"/>
        </w:rPr>
        <w:t xml:space="preserve">Asimismo, de acuerdo a </w:t>
      </w:r>
      <w:r w:rsidRPr="0006070E">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6070E" w:rsidR="0006070E" w:rsidP="0006070E" w:rsidRDefault="0006070E" w14:paraId="30011804" w14:textId="77777777">
      <w:pPr>
        <w:jc w:val="both"/>
        <w:rPr>
          <w:rFonts w:ascii="Times New Roman" w:hAnsi="Times New Roman"/>
          <w:sz w:val="24"/>
          <w:szCs w:val="24"/>
          <w:lang w:val="es-ES"/>
        </w:rPr>
      </w:pPr>
      <w:r w:rsidRPr="0006070E">
        <w:rPr>
          <w:rFonts w:ascii="Times New Roman" w:hAnsi="Times New Roman"/>
          <w:b/>
          <w:bCs/>
          <w:sz w:val="24"/>
          <w:szCs w:val="24"/>
          <w:u w:val="single"/>
        </w:rPr>
        <w:t>Tercero</w:t>
      </w:r>
      <w:r w:rsidRPr="0006070E">
        <w:rPr>
          <w:rFonts w:ascii="Times New Roman" w:hAnsi="Times New Roman"/>
          <w:b/>
          <w:bCs/>
          <w:sz w:val="24"/>
          <w:szCs w:val="24"/>
        </w:rPr>
        <w:t>:</w:t>
      </w:r>
      <w:r w:rsidRPr="0006070E">
        <w:rPr>
          <w:rFonts w:ascii="Times New Roman" w:hAnsi="Times New Roman"/>
          <w:sz w:val="24"/>
          <w:szCs w:val="24"/>
        </w:rPr>
        <w:t xml:space="preserve"> Que, de acuerdo a la Ley Nro. </w:t>
      </w:r>
      <w:r w:rsidRPr="0006070E">
        <w:rPr>
          <w:rFonts w:ascii="Times New Roman" w:hAnsi="Times New Roman"/>
          <w:sz w:val="24"/>
          <w:szCs w:val="24"/>
          <w:lang w:val="es-ES"/>
        </w:rPr>
        <w:t xml:space="preserve">29946 – Ley del Contrato de Seguro, norma legal vigente con ocasión de la celebración del contrato al cual se contrae el presente caso, </w:t>
      </w:r>
      <w:r w:rsidRPr="0006070E">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6070E" w:rsidR="0006070E" w:rsidP="0006070E" w:rsidRDefault="0006070E" w14:paraId="556450A2" w14:textId="77777777">
      <w:pPr>
        <w:jc w:val="both"/>
        <w:rPr>
          <w:rFonts w:ascii="Times New Roman" w:hAnsi="Times New Roman"/>
          <w:sz w:val="24"/>
          <w:szCs w:val="24"/>
        </w:rPr>
      </w:pPr>
      <w:r w:rsidRPr="0006070E">
        <w:rPr>
          <w:rFonts w:ascii="Times New Roman" w:hAnsi="Times New Roman"/>
          <w:b/>
          <w:sz w:val="24"/>
          <w:szCs w:val="24"/>
          <w:u w:val="single"/>
        </w:rPr>
        <w:t>Cuarto</w:t>
      </w:r>
      <w:r w:rsidRPr="0006070E">
        <w:rPr>
          <w:rFonts w:ascii="Times New Roman" w:hAnsi="Times New Roman"/>
          <w:b/>
          <w:sz w:val="24"/>
          <w:szCs w:val="24"/>
        </w:rPr>
        <w:t>:</w:t>
      </w:r>
      <w:r w:rsidRPr="0006070E">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6070E" w:rsidR="0006070E" w:rsidP="0006070E" w:rsidRDefault="0006070E" w14:paraId="469E17CF" w14:textId="77777777">
      <w:pPr>
        <w:jc w:val="both"/>
        <w:rPr>
          <w:rFonts w:ascii="Times New Roman" w:hAnsi="Times New Roman"/>
          <w:sz w:val="24"/>
          <w:szCs w:val="24"/>
          <w:lang w:val="es-ES"/>
        </w:rPr>
      </w:pPr>
      <w:r w:rsidRPr="0006070E">
        <w:rPr>
          <w:rFonts w:ascii="Times New Roman" w:hAnsi="Times New Roman"/>
          <w:b/>
          <w:bCs/>
          <w:sz w:val="24"/>
          <w:szCs w:val="24"/>
          <w:u w:val="single"/>
        </w:rPr>
        <w:t>Quinto</w:t>
      </w:r>
      <w:r w:rsidRPr="0006070E">
        <w:rPr>
          <w:rFonts w:ascii="Times New Roman" w:hAnsi="Times New Roman"/>
          <w:b/>
          <w:bCs/>
          <w:sz w:val="24"/>
          <w:szCs w:val="24"/>
        </w:rPr>
        <w:t xml:space="preserve">: </w:t>
      </w:r>
      <w:r w:rsidRPr="0006070E">
        <w:rPr>
          <w:rFonts w:ascii="Times New Roman" w:hAnsi="Times New Roman"/>
          <w:sz w:val="24"/>
          <w:szCs w:val="24"/>
        </w:rPr>
        <w:t>Que, conforme al</w:t>
      </w:r>
      <w:r w:rsidRPr="0006070E">
        <w:rPr>
          <w:rFonts w:ascii="Times New Roman" w:hAnsi="Times New Roman"/>
          <w:b/>
          <w:bCs/>
          <w:sz w:val="24"/>
          <w:szCs w:val="24"/>
        </w:rPr>
        <w:t xml:space="preserve"> </w:t>
      </w:r>
      <w:r w:rsidRPr="0006070E">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6070E" w:rsidR="0006070E" w:rsidP="0006070E" w:rsidRDefault="0006070E" w14:paraId="3A04292E" w14:textId="77777777">
      <w:pPr>
        <w:jc w:val="both"/>
        <w:rPr>
          <w:rFonts w:ascii="Times New Roman" w:hAnsi="Times New Roman"/>
          <w:sz w:val="24"/>
          <w:szCs w:val="24"/>
          <w:lang w:val="es-ES"/>
        </w:rPr>
      </w:pPr>
    </w:p>
    <w:p w:rsidRPr="0006070E" w:rsidR="0006070E" w:rsidP="0006070E" w:rsidRDefault="0006070E" w14:paraId="4CACA067" w14:textId="77777777">
      <w:pPr>
        <w:jc w:val="both"/>
        <w:rPr>
          <w:rFonts w:ascii="Times New Roman" w:hAnsi="Times New Roman"/>
          <w:sz w:val="24"/>
          <w:szCs w:val="24"/>
          <w:lang w:val="es-ES"/>
        </w:rPr>
      </w:pPr>
      <w:r w:rsidRPr="0006070E">
        <w:rPr>
          <w:rFonts w:ascii="Times New Roman" w:hAnsi="Times New Roman"/>
          <w:b/>
          <w:sz w:val="24"/>
          <w:szCs w:val="24"/>
          <w:u w:val="single"/>
          <w:lang w:val="es-ES"/>
        </w:rPr>
        <w:t>Sexto</w:t>
      </w:r>
      <w:r w:rsidRPr="0006070E">
        <w:rPr>
          <w:rFonts w:ascii="Times New Roman" w:hAnsi="Times New Roman"/>
          <w:b/>
          <w:sz w:val="24"/>
          <w:szCs w:val="24"/>
          <w:lang w:val="es-ES"/>
        </w:rPr>
        <w:t>:</w:t>
      </w:r>
      <w:r w:rsidRPr="0006070E">
        <w:rPr>
          <w:rFonts w:ascii="Times New Roman" w:hAnsi="Times New Roman"/>
          <w:b/>
          <w:sz w:val="24"/>
          <w:szCs w:val="24"/>
        </w:rPr>
        <w:t xml:space="preserve"> </w:t>
      </w:r>
      <w:r w:rsidRPr="0006070E">
        <w:rPr>
          <w:rFonts w:ascii="Times New Roman" w:hAnsi="Times New Roman"/>
          <w:sz w:val="24"/>
          <w:szCs w:val="24"/>
        </w:rPr>
        <w:t xml:space="preserve">Sobre la base de los </w:t>
      </w:r>
      <w:r w:rsidRPr="0006070E">
        <w:rPr>
          <w:rFonts w:ascii="Times New Roman" w:hAnsi="Times New Roman"/>
          <w:sz w:val="24"/>
          <w:szCs w:val="24"/>
          <w:lang w:val="es-ES"/>
        </w:rPr>
        <w:t xml:space="preserve">términos contenidos en el rechazo, la reclamación y en la respectiva absolución, así como a lo tratado en la audiencia de vista, la solución de la presente controversia consiste en determinar si el rechazo de </w:t>
      </w:r>
      <w:proofErr w:type="gramStart"/>
      <w:r w:rsidRPr="0006070E">
        <w:rPr>
          <w:rFonts w:ascii="Times New Roman" w:hAnsi="Times New Roman"/>
          <w:sz w:val="24"/>
          <w:szCs w:val="24"/>
          <w:lang w:val="es-ES"/>
        </w:rPr>
        <w:t>cobertura,</w:t>
      </w:r>
      <w:proofErr w:type="gramEnd"/>
      <w:r w:rsidRPr="0006070E">
        <w:rPr>
          <w:rFonts w:ascii="Times New Roman" w:hAnsi="Times New Roman"/>
          <w:sz w:val="24"/>
          <w:szCs w:val="24"/>
          <w:lang w:val="es-ES"/>
        </w:rPr>
        <w:t xml:space="preserve"> resulta o no legítimo.</w:t>
      </w:r>
    </w:p>
    <w:p w:rsidRPr="0006070E" w:rsidR="0006070E" w:rsidP="0006070E" w:rsidRDefault="0006070E" w14:paraId="2DC5B02D" w14:textId="77777777">
      <w:pPr>
        <w:jc w:val="both"/>
        <w:rPr>
          <w:rFonts w:ascii="Times New Roman" w:hAnsi="Times New Roman"/>
          <w:sz w:val="24"/>
          <w:szCs w:val="24"/>
          <w:lang w:val="es-ES"/>
        </w:rPr>
      </w:pPr>
      <w:r w:rsidRPr="0006070E">
        <w:rPr>
          <w:rFonts w:ascii="Times New Roman" w:hAnsi="Times New Roman"/>
          <w:sz w:val="24"/>
          <w:szCs w:val="24"/>
          <w:lang w:val="es-ES"/>
        </w:rPr>
        <w:t>En este caso se aprecia que en la carta de rechazo se señala que no procede la cobertura por enfermedad preexistente. Asimismo, en sus descargos, la aseguradora señala adicionalmente que no se ha presentado el Dictamen de Invalidez requerido, pero que pese a ello viendo que la invocada invalidez se produciría por una enfermedad preexistente, no procede otorgar la cobertura de seguro.</w:t>
      </w:r>
    </w:p>
    <w:p w:rsidRPr="0006070E" w:rsidR="0006070E" w:rsidP="0006070E" w:rsidRDefault="0006070E" w14:paraId="08D03A51" w14:textId="77777777">
      <w:pPr>
        <w:jc w:val="both"/>
        <w:rPr>
          <w:rFonts w:ascii="Times New Roman" w:hAnsi="Times New Roman"/>
          <w:sz w:val="24"/>
          <w:szCs w:val="24"/>
          <w:lang w:val="es-ES"/>
        </w:rPr>
      </w:pPr>
      <w:r w:rsidRPr="0006070E">
        <w:rPr>
          <w:rFonts w:ascii="Times New Roman" w:hAnsi="Times New Roman"/>
          <w:sz w:val="24"/>
          <w:szCs w:val="24"/>
          <w:lang w:val="es-ES"/>
        </w:rPr>
        <w:t xml:space="preserve">Teniendo en cuenta que para que proceda la cobertura de seguro, debe acreditarse que se ha producido el riesgo asegurado, es decir, la invalidez invocada, en primer </w:t>
      </w:r>
      <w:proofErr w:type="gramStart"/>
      <w:r w:rsidRPr="0006070E">
        <w:rPr>
          <w:rFonts w:ascii="Times New Roman" w:hAnsi="Times New Roman"/>
          <w:sz w:val="24"/>
          <w:szCs w:val="24"/>
          <w:lang w:val="es-ES"/>
        </w:rPr>
        <w:t>lugar</w:t>
      </w:r>
      <w:proofErr w:type="gramEnd"/>
      <w:r w:rsidRPr="0006070E">
        <w:rPr>
          <w:rFonts w:ascii="Times New Roman" w:hAnsi="Times New Roman"/>
          <w:sz w:val="24"/>
          <w:szCs w:val="24"/>
          <w:lang w:val="es-ES"/>
        </w:rPr>
        <w:t xml:space="preserve"> se analizará si la misma se encuentra acreditada; y de, estarlo, se analizara si la misma se deriva de una enfermedad preexistente.</w:t>
      </w:r>
    </w:p>
    <w:p w:rsidRPr="0006070E" w:rsidR="0006070E" w:rsidP="0006070E" w:rsidRDefault="0006070E" w14:paraId="757FBC33" w14:textId="0D327DFD">
      <w:pPr>
        <w:jc w:val="both"/>
        <w:rPr>
          <w:rFonts w:ascii="Times New Roman" w:hAnsi="Times New Roman"/>
          <w:sz w:val="24"/>
          <w:szCs w:val="24"/>
          <w:lang w:val="es-419"/>
        </w:rPr>
      </w:pPr>
      <w:r w:rsidRPr="0006070E">
        <w:rPr>
          <w:rFonts w:ascii="Times New Roman" w:hAnsi="Times New Roman"/>
          <w:b/>
          <w:bCs/>
          <w:sz w:val="24"/>
          <w:szCs w:val="24"/>
          <w:u w:val="single"/>
        </w:rPr>
        <w:t>Sétimo:</w:t>
      </w:r>
      <w:r w:rsidRPr="0006070E">
        <w:rPr>
          <w:rFonts w:ascii="Times New Roman" w:hAnsi="Times New Roman"/>
          <w:sz w:val="24"/>
          <w:szCs w:val="24"/>
        </w:rPr>
        <w:t xml:space="preserve"> </w:t>
      </w:r>
      <w:r w:rsidRPr="0006070E">
        <w:rPr>
          <w:rFonts w:ascii="Times New Roman" w:hAnsi="Times New Roman"/>
          <w:sz w:val="24"/>
          <w:szCs w:val="24"/>
          <w:lang w:val="es-419"/>
        </w:rPr>
        <w:t xml:space="preserve">En materia de seguros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identificados y configurados los supuestos de cobertura, se determina que se produce una situación que determina que no procede la cobertura del seguro. Por ejemplo, en el caso de un seguro vehicular: producido un accidente de tránsito (riesgo asegurado), se determina que el conductor estuvo en estado de ebriedad (circunstancia excluida del seguro), pero si no se ha producido accidente de tránsito alguno, no estamos ante un riesgo asegurado. En el caso de las exclusiones estas se deben aplicar literalmente, descansando su carga probatoria en la aseguradora. En el caso de la configuración del siniestro, conforme a ley, la carga de la prueba de acreditarlo corresponde al asegurado. Es por ello </w:t>
      </w:r>
      <w:proofErr w:type="gramStart"/>
      <w:r w:rsidRPr="0006070E">
        <w:rPr>
          <w:rFonts w:ascii="Times New Roman" w:hAnsi="Times New Roman"/>
          <w:sz w:val="24"/>
          <w:szCs w:val="24"/>
          <w:lang w:val="es-419"/>
        </w:rPr>
        <w:t>que</w:t>
      </w:r>
      <w:proofErr w:type="gramEnd"/>
      <w:r w:rsidRPr="0006070E">
        <w:rPr>
          <w:rFonts w:ascii="Times New Roman" w:hAnsi="Times New Roman"/>
          <w:sz w:val="24"/>
          <w:szCs w:val="24"/>
          <w:lang w:val="es-419"/>
        </w:rPr>
        <w:t xml:space="preserve"> el artículo 77 de la Ley 29946, Ley del Contrato de Seguro señala:</w:t>
      </w:r>
    </w:p>
    <w:p w:rsidRPr="0006070E" w:rsidR="0006070E" w:rsidP="00403A57" w:rsidRDefault="0006070E" w14:paraId="4063E497" w14:textId="77777777">
      <w:pPr>
        <w:ind w:left="1416"/>
        <w:jc w:val="both"/>
        <w:rPr>
          <w:rFonts w:ascii="Times New Roman" w:hAnsi="Times New Roman"/>
          <w:b/>
          <w:bCs/>
          <w:i/>
          <w:iCs/>
          <w:sz w:val="24"/>
          <w:szCs w:val="24"/>
          <w:lang w:val="es-ES"/>
        </w:rPr>
      </w:pPr>
      <w:r w:rsidRPr="0006070E">
        <w:rPr>
          <w:rFonts w:ascii="Times New Roman" w:hAnsi="Times New Roman"/>
          <w:b/>
          <w:bCs/>
          <w:i/>
          <w:iCs/>
          <w:sz w:val="24"/>
          <w:szCs w:val="24"/>
          <w:lang w:val="es-419"/>
        </w:rPr>
        <w:t>“</w:t>
      </w:r>
      <w:r w:rsidRPr="0006070E">
        <w:rPr>
          <w:rFonts w:ascii="Times New Roman" w:hAnsi="Times New Roman"/>
          <w:b/>
          <w:bCs/>
          <w:i/>
          <w:iCs/>
          <w:sz w:val="24"/>
          <w:szCs w:val="24"/>
          <w:lang w:val="es-ES"/>
        </w:rPr>
        <w:t>Artículo 77. Cargas de las partes</w:t>
      </w:r>
    </w:p>
    <w:p w:rsidRPr="0006070E" w:rsidR="0006070E" w:rsidP="00403A57" w:rsidRDefault="0006070E" w14:paraId="53455CA1" w14:textId="77777777">
      <w:pPr>
        <w:ind w:left="1416"/>
        <w:jc w:val="both"/>
        <w:rPr>
          <w:rFonts w:ascii="Times New Roman" w:hAnsi="Times New Roman"/>
          <w:b/>
          <w:bCs/>
          <w:i/>
          <w:iCs/>
          <w:sz w:val="24"/>
          <w:szCs w:val="24"/>
          <w:lang w:val="es-ES"/>
        </w:rPr>
      </w:pPr>
      <w:r w:rsidRPr="0006070E">
        <w:rPr>
          <w:rFonts w:ascii="Times New Roman" w:hAnsi="Times New Roman"/>
          <w:i/>
          <w:iCs/>
          <w:sz w:val="24"/>
          <w:szCs w:val="24"/>
          <w:lang w:val="es-ES"/>
        </w:rPr>
        <w:t>Corresponde al asegurado demostrar la ocurrencia del siniestro, así como la cuantía de la pérdida si fuera el caso, y al asegurador la carga de demostrar las causas que lo liberan de su prestación indemnizatoria.”</w:t>
      </w:r>
    </w:p>
    <w:p w:rsidRPr="0006070E" w:rsidR="0006070E" w:rsidP="0006070E" w:rsidRDefault="0006070E" w14:paraId="26FF7C48" w14:textId="77777777">
      <w:pPr>
        <w:jc w:val="both"/>
        <w:rPr>
          <w:rFonts w:ascii="Times New Roman" w:hAnsi="Times New Roman"/>
          <w:sz w:val="24"/>
          <w:szCs w:val="24"/>
        </w:rPr>
      </w:pPr>
    </w:p>
    <w:p w:rsidRPr="0006070E" w:rsidR="0006070E" w:rsidP="0006070E" w:rsidRDefault="0006070E" w14:paraId="362B1ACB" w14:textId="7FCC7A36">
      <w:pPr>
        <w:jc w:val="both"/>
        <w:rPr>
          <w:rFonts w:ascii="Times New Roman" w:hAnsi="Times New Roman"/>
          <w:sz w:val="24"/>
          <w:szCs w:val="24"/>
          <w:lang w:val="es-ES"/>
        </w:rPr>
      </w:pPr>
      <w:r w:rsidRPr="0006070E">
        <w:rPr>
          <w:rFonts w:ascii="Times New Roman" w:hAnsi="Times New Roman"/>
          <w:sz w:val="24"/>
          <w:szCs w:val="24"/>
          <w:lang w:val="es-ES"/>
        </w:rPr>
        <w:t>Asimismo, la séptima regla de interpretación del contrato de seguro, establecida en la Ley 29946, Ley del Contrato de Seguro, señala:</w:t>
      </w:r>
    </w:p>
    <w:p w:rsidRPr="0006070E" w:rsidR="0006070E" w:rsidP="00403A57" w:rsidRDefault="0006070E" w14:paraId="2EAFA6A7" w14:textId="77777777">
      <w:pPr>
        <w:ind w:left="1416"/>
        <w:jc w:val="both"/>
        <w:rPr>
          <w:rFonts w:ascii="Times New Roman" w:hAnsi="Times New Roman"/>
          <w:i/>
          <w:iCs/>
          <w:sz w:val="24"/>
          <w:szCs w:val="24"/>
          <w:lang w:val="es-ES"/>
        </w:rPr>
      </w:pPr>
      <w:r w:rsidRPr="0006070E">
        <w:rPr>
          <w:rFonts w:ascii="Times New Roman" w:hAnsi="Times New Roman"/>
          <w:b/>
          <w:bCs/>
          <w:i/>
          <w:iCs/>
          <w:sz w:val="24"/>
          <w:szCs w:val="24"/>
          <w:lang w:val="es-ES"/>
        </w:rPr>
        <w:t>“Séptima.</w:t>
      </w:r>
      <w:r w:rsidRPr="0006070E">
        <w:rPr>
          <w:rFonts w:ascii="Times New Roman" w:hAnsi="Times New Roman"/>
          <w:i/>
          <w:iCs/>
          <w:sz w:val="24"/>
          <w:szCs w:val="24"/>
          <w:lang w:val="es-ES"/>
        </w:rPr>
        <w:t xml:space="preserve"> La cobertura, exclusiones y, en general, la extensión del </w:t>
      </w:r>
      <w:proofErr w:type="gramStart"/>
      <w:r w:rsidRPr="0006070E">
        <w:rPr>
          <w:rFonts w:ascii="Times New Roman" w:hAnsi="Times New Roman"/>
          <w:i/>
          <w:iCs/>
          <w:sz w:val="24"/>
          <w:szCs w:val="24"/>
          <w:lang w:val="es-ES"/>
        </w:rPr>
        <w:t>riesgo</w:t>
      </w:r>
      <w:proofErr w:type="gramEnd"/>
      <w:r w:rsidRPr="0006070E">
        <w:rPr>
          <w:rFonts w:ascii="Times New Roman" w:hAnsi="Times New Roman"/>
          <w:i/>
          <w:iCs/>
          <w:sz w:val="24"/>
          <w:szCs w:val="24"/>
          <w:lang w:val="es-ES"/>
        </w:rPr>
        <w:t xml:space="preserve"> así como los derechos de los beneficiarios, previstos en el contrato de seguro, deben interpretarse literalmente”.</w:t>
      </w:r>
    </w:p>
    <w:p w:rsidRPr="0006070E" w:rsidR="0006070E" w:rsidP="0006070E" w:rsidRDefault="0006070E" w14:paraId="23992465" w14:textId="77777777">
      <w:pPr>
        <w:jc w:val="both"/>
        <w:rPr>
          <w:rFonts w:ascii="Times New Roman" w:hAnsi="Times New Roman"/>
          <w:sz w:val="24"/>
          <w:szCs w:val="24"/>
        </w:rPr>
      </w:pPr>
    </w:p>
    <w:p w:rsidRPr="0006070E" w:rsidR="0006070E" w:rsidP="0006070E" w:rsidRDefault="0006070E" w14:paraId="4515F45B" w14:textId="77777777">
      <w:pPr>
        <w:jc w:val="both"/>
        <w:rPr>
          <w:rFonts w:ascii="Times New Roman" w:hAnsi="Times New Roman"/>
          <w:sz w:val="24"/>
          <w:szCs w:val="24"/>
        </w:rPr>
      </w:pPr>
      <w:r w:rsidRPr="0006070E">
        <w:rPr>
          <w:rFonts w:ascii="Times New Roman" w:hAnsi="Times New Roman"/>
          <w:sz w:val="24"/>
          <w:szCs w:val="24"/>
        </w:rPr>
        <w:lastRenderedPageBreak/>
        <w:t>En este caso, la póliza señala que se considera que la invalidez es total y permanente cuando, el asegurado:</w:t>
      </w:r>
    </w:p>
    <w:p w:rsidRPr="0006070E" w:rsidR="0006070E" w:rsidP="0006070E" w:rsidRDefault="0006070E" w14:paraId="764C33B4" w14:textId="66DD6F09">
      <w:pPr>
        <w:numPr>
          <w:ilvl w:val="0"/>
          <w:numId w:val="42"/>
        </w:numPr>
        <w:jc w:val="both"/>
        <w:rPr>
          <w:rFonts w:ascii="Times New Roman" w:hAnsi="Times New Roman"/>
          <w:sz w:val="24"/>
          <w:szCs w:val="24"/>
        </w:rPr>
      </w:pPr>
      <w:r w:rsidRPr="0006070E">
        <w:rPr>
          <w:rFonts w:ascii="Times New Roman" w:hAnsi="Times New Roman"/>
          <w:sz w:val="24"/>
          <w:szCs w:val="24"/>
        </w:rPr>
        <w:t xml:space="preserve">Se </w:t>
      </w:r>
      <w:r w:rsidRPr="0006070E" w:rsidR="00403A57">
        <w:rPr>
          <w:rFonts w:ascii="Times New Roman" w:hAnsi="Times New Roman"/>
          <w:sz w:val="24"/>
          <w:szCs w:val="24"/>
        </w:rPr>
        <w:t>encontrará</w:t>
      </w:r>
      <w:r w:rsidRPr="0006070E">
        <w:rPr>
          <w:rFonts w:ascii="Times New Roman" w:hAnsi="Times New Roman"/>
          <w:sz w:val="24"/>
          <w:szCs w:val="24"/>
        </w:rPr>
        <w:t xml:space="preserve"> total y permanentemente incapacitado o impedido de desempeñar cualquier ocupación o trabajo; o</w:t>
      </w:r>
    </w:p>
    <w:p w:rsidRPr="0006070E" w:rsidR="0006070E" w:rsidP="0006070E" w:rsidRDefault="00403A57" w14:paraId="646868C4" w14:textId="1B94C698">
      <w:pPr>
        <w:numPr>
          <w:ilvl w:val="0"/>
          <w:numId w:val="42"/>
        </w:numPr>
        <w:jc w:val="both"/>
        <w:rPr>
          <w:rFonts w:ascii="Times New Roman" w:hAnsi="Times New Roman"/>
          <w:sz w:val="24"/>
          <w:szCs w:val="24"/>
        </w:rPr>
      </w:pPr>
      <w:r w:rsidRPr="0006070E">
        <w:rPr>
          <w:rFonts w:ascii="Times New Roman" w:hAnsi="Times New Roman"/>
          <w:sz w:val="24"/>
          <w:szCs w:val="24"/>
        </w:rPr>
        <w:t>Presentará</w:t>
      </w:r>
      <w:r w:rsidRPr="0006070E" w:rsidR="0006070E">
        <w:rPr>
          <w:rFonts w:ascii="Times New Roman" w:hAnsi="Times New Roman"/>
          <w:sz w:val="24"/>
          <w:szCs w:val="24"/>
        </w:rPr>
        <w:t xml:space="preserve"> la pérdida total o debilitamiento irreversible de sus fuerzas físicas y/o intelectuales de a lo menos las 2/3 partes de su capacidad de trabajo, siempre que sea determinado conforme al procedimiento descrito en el artículo 3 de </w:t>
      </w:r>
      <w:proofErr w:type="gramStart"/>
      <w:r w:rsidRPr="0006070E" w:rsidR="0006070E">
        <w:rPr>
          <w:rFonts w:ascii="Times New Roman" w:hAnsi="Times New Roman"/>
          <w:sz w:val="24"/>
          <w:szCs w:val="24"/>
        </w:rPr>
        <w:t>la condiciones generales</w:t>
      </w:r>
      <w:proofErr w:type="gramEnd"/>
      <w:r w:rsidRPr="0006070E" w:rsidR="0006070E">
        <w:rPr>
          <w:rFonts w:ascii="Times New Roman" w:hAnsi="Times New Roman"/>
          <w:sz w:val="24"/>
          <w:szCs w:val="24"/>
        </w:rPr>
        <w:t>; o</w:t>
      </w:r>
    </w:p>
    <w:p w:rsidRPr="0006070E" w:rsidR="0006070E" w:rsidP="0006070E" w:rsidRDefault="0006070E" w14:paraId="14880218" w14:textId="77777777">
      <w:pPr>
        <w:numPr>
          <w:ilvl w:val="0"/>
          <w:numId w:val="42"/>
        </w:numPr>
        <w:jc w:val="both"/>
        <w:rPr>
          <w:rFonts w:ascii="Times New Roman" w:hAnsi="Times New Roman"/>
          <w:sz w:val="24"/>
          <w:szCs w:val="24"/>
        </w:rPr>
      </w:pPr>
      <w:r w:rsidRPr="0006070E">
        <w:rPr>
          <w:rFonts w:ascii="Times New Roman" w:hAnsi="Times New Roman"/>
          <w:sz w:val="24"/>
          <w:szCs w:val="24"/>
        </w:rPr>
        <w:t>Haya perdido la vista de ambos ojos, o ambas manos, o ambos pies, o de una mano y de un pie, o una mano y la pérdida de la vista de un ojo, o un pie y la pérdida de la vista de un ojo; o</w:t>
      </w:r>
    </w:p>
    <w:p w:rsidRPr="0006070E" w:rsidR="0006070E" w:rsidP="0006070E" w:rsidRDefault="0006070E" w14:paraId="40C512DC" w14:textId="77777777">
      <w:pPr>
        <w:numPr>
          <w:ilvl w:val="0"/>
          <w:numId w:val="42"/>
        </w:numPr>
        <w:jc w:val="both"/>
        <w:rPr>
          <w:rFonts w:ascii="Times New Roman" w:hAnsi="Times New Roman"/>
          <w:sz w:val="24"/>
          <w:szCs w:val="24"/>
        </w:rPr>
      </w:pPr>
      <w:r w:rsidRPr="0006070E">
        <w:rPr>
          <w:rFonts w:ascii="Times New Roman" w:hAnsi="Times New Roman"/>
          <w:sz w:val="24"/>
          <w:szCs w:val="24"/>
        </w:rPr>
        <w:t>Presente enajenación mental incurable.</w:t>
      </w:r>
    </w:p>
    <w:p w:rsidRPr="0006070E" w:rsidR="0006070E" w:rsidP="0006070E" w:rsidRDefault="0006070E" w14:paraId="0BE33BA8" w14:textId="0A2940AA">
      <w:pPr>
        <w:jc w:val="both"/>
        <w:rPr>
          <w:rFonts w:ascii="Times New Roman" w:hAnsi="Times New Roman"/>
          <w:sz w:val="24"/>
          <w:szCs w:val="24"/>
        </w:rPr>
      </w:pPr>
      <w:r w:rsidRPr="0006070E">
        <w:rPr>
          <w:rFonts w:ascii="Times New Roman" w:hAnsi="Times New Roman"/>
          <w:sz w:val="24"/>
          <w:szCs w:val="24"/>
        </w:rPr>
        <w:t xml:space="preserve">Asimismo, se añade </w:t>
      </w:r>
      <w:proofErr w:type="gramStart"/>
      <w:r w:rsidRPr="0006070E">
        <w:rPr>
          <w:rFonts w:ascii="Times New Roman" w:hAnsi="Times New Roman"/>
          <w:sz w:val="24"/>
          <w:szCs w:val="24"/>
        </w:rPr>
        <w:t>que</w:t>
      </w:r>
      <w:proofErr w:type="gramEnd"/>
      <w:r w:rsidRPr="0006070E">
        <w:rPr>
          <w:rFonts w:ascii="Times New Roman" w:hAnsi="Times New Roman"/>
          <w:sz w:val="24"/>
          <w:szCs w:val="24"/>
        </w:rPr>
        <w:t xml:space="preserve"> para determinar el grado de invalidez y su naturaleza permanente, se deberá contar con información médica que sustente a condición de invalidez conforme a las normas del Sistema Privado de Pensiones. </w:t>
      </w:r>
    </w:p>
    <w:p w:rsidRPr="0006070E" w:rsidR="0006070E" w:rsidP="0006070E" w:rsidRDefault="0006070E" w14:paraId="361AA8E1" w14:textId="7AAB69F1">
      <w:pPr>
        <w:jc w:val="both"/>
        <w:rPr>
          <w:rFonts w:ascii="Times New Roman" w:hAnsi="Times New Roman"/>
          <w:sz w:val="24"/>
          <w:szCs w:val="24"/>
        </w:rPr>
      </w:pPr>
      <w:r w:rsidRPr="0006070E">
        <w:rPr>
          <w:rFonts w:ascii="Times New Roman" w:hAnsi="Times New Roman"/>
          <w:sz w:val="24"/>
          <w:szCs w:val="24"/>
        </w:rPr>
        <w:t>A continuación, se presenta parte pertinente de lo expresado en el Certificado de Seguro que obra en el expediente:</w:t>
      </w:r>
    </w:p>
    <w:p w:rsidRPr="0006070E" w:rsidR="0006070E" w:rsidP="0006070E" w:rsidRDefault="0006070E" w14:paraId="1F5C4584" w14:textId="109A739F">
      <w:pPr>
        <w:jc w:val="both"/>
        <w:rPr>
          <w:rFonts w:ascii="Times New Roman" w:hAnsi="Times New Roman"/>
          <w:sz w:val="24"/>
          <w:szCs w:val="24"/>
        </w:rPr>
      </w:pPr>
      <w:r w:rsidRPr="0006070E">
        <w:rPr>
          <w:rFonts w:ascii="Times New Roman" w:hAnsi="Times New Roman"/>
          <w:sz w:val="24"/>
          <w:szCs w:val="24"/>
        </w:rPr>
        <w:drawing>
          <wp:inline distT="0" distB="0" distL="0" distR="0" wp14:anchorId="76ACB0CA" wp14:editId="432AD00E">
            <wp:extent cx="5753100" cy="2028797"/>
            <wp:effectExtent l="0" t="0" r="0" b="0"/>
            <wp:docPr id="11306960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6280" cy="2036971"/>
                    </a:xfrm>
                    <a:prstGeom prst="rect">
                      <a:avLst/>
                    </a:prstGeom>
                    <a:noFill/>
                    <a:ln>
                      <a:noFill/>
                    </a:ln>
                  </pic:spPr>
                </pic:pic>
              </a:graphicData>
            </a:graphic>
          </wp:inline>
        </w:drawing>
      </w:r>
    </w:p>
    <w:p w:rsidRPr="0006070E" w:rsidR="0006070E" w:rsidP="0006070E" w:rsidRDefault="0006070E" w14:paraId="01C00770" w14:textId="667DF80F">
      <w:pPr>
        <w:jc w:val="both"/>
        <w:rPr>
          <w:rFonts w:ascii="Times New Roman" w:hAnsi="Times New Roman"/>
          <w:sz w:val="24"/>
          <w:szCs w:val="24"/>
        </w:rPr>
      </w:pPr>
      <w:r w:rsidRPr="0006070E">
        <w:rPr>
          <w:rFonts w:ascii="Times New Roman" w:hAnsi="Times New Roman"/>
          <w:sz w:val="24"/>
          <w:szCs w:val="24"/>
        </w:rPr>
        <w:t>De otro lado, se aprecia, que el Certificado establece, que en el caso de invalidez total y permanente se requiere presentar el Certificado de Invalidez del COMAFP o Certificado de Discapacidad, conforme se aprecia a continuación</w:t>
      </w:r>
    </w:p>
    <w:p w:rsidRPr="0006070E" w:rsidR="0006070E" w:rsidP="0006070E" w:rsidRDefault="0006070E" w14:paraId="34103D33" w14:textId="1950FA59">
      <w:pPr>
        <w:jc w:val="both"/>
        <w:rPr>
          <w:rFonts w:ascii="Times New Roman" w:hAnsi="Times New Roman"/>
          <w:sz w:val="24"/>
          <w:szCs w:val="24"/>
        </w:rPr>
      </w:pPr>
      <w:r w:rsidRPr="0006070E">
        <w:rPr>
          <w:rFonts w:ascii="Times New Roman" w:hAnsi="Times New Roman"/>
          <w:sz w:val="24"/>
          <w:szCs w:val="24"/>
        </w:rPr>
        <w:drawing>
          <wp:inline distT="0" distB="0" distL="0" distR="0" wp14:anchorId="5A073E6D" wp14:editId="116065E3">
            <wp:extent cx="5638800" cy="371469"/>
            <wp:effectExtent l="0" t="0" r="0" b="0"/>
            <wp:docPr id="158182344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7596" cy="380612"/>
                    </a:xfrm>
                    <a:prstGeom prst="rect">
                      <a:avLst/>
                    </a:prstGeom>
                    <a:noFill/>
                    <a:ln>
                      <a:noFill/>
                    </a:ln>
                  </pic:spPr>
                </pic:pic>
              </a:graphicData>
            </a:graphic>
          </wp:inline>
        </w:drawing>
      </w:r>
    </w:p>
    <w:p w:rsidR="00C472F3" w:rsidP="0006070E" w:rsidRDefault="00C472F3" w14:paraId="65187685" w14:textId="77777777">
      <w:pPr>
        <w:jc w:val="both"/>
        <w:rPr>
          <w:rFonts w:ascii="Times New Roman" w:hAnsi="Times New Roman"/>
          <w:sz w:val="24"/>
          <w:szCs w:val="24"/>
        </w:rPr>
      </w:pPr>
    </w:p>
    <w:p w:rsidR="00C472F3" w:rsidP="0006070E" w:rsidRDefault="00C472F3" w14:paraId="50D811D8" w14:textId="77777777">
      <w:pPr>
        <w:jc w:val="both"/>
        <w:rPr>
          <w:rFonts w:ascii="Times New Roman" w:hAnsi="Times New Roman"/>
          <w:sz w:val="24"/>
          <w:szCs w:val="24"/>
        </w:rPr>
      </w:pPr>
    </w:p>
    <w:p w:rsidRPr="0006070E" w:rsidR="0006070E" w:rsidP="0006070E" w:rsidRDefault="0006070E" w14:paraId="5B26A88C" w14:textId="61B406CF">
      <w:pPr>
        <w:jc w:val="both"/>
        <w:rPr>
          <w:rFonts w:ascii="Times New Roman" w:hAnsi="Times New Roman"/>
          <w:sz w:val="24"/>
          <w:szCs w:val="24"/>
        </w:rPr>
      </w:pPr>
      <w:r w:rsidRPr="0006070E">
        <w:rPr>
          <w:rFonts w:ascii="Times New Roman" w:hAnsi="Times New Roman"/>
          <w:sz w:val="24"/>
          <w:szCs w:val="24"/>
        </w:rPr>
        <w:lastRenderedPageBreak/>
        <w:t>En este caso, la parte reclamante solo ha presentado un certificado médico con el siguiente tenor:</w:t>
      </w:r>
    </w:p>
    <w:p w:rsidRPr="0006070E" w:rsidR="0006070E" w:rsidP="00C472F3" w:rsidRDefault="0006070E" w14:paraId="6F850E1C" w14:noSpellErr="1" w14:textId="2420A815">
      <w:pPr>
        <w:jc w:val="center"/>
      </w:pPr>
      <w:r w:rsidR="688AF9B2">
        <w:rPr/>
        <w:t>...............................................................................................................................................</w:t>
      </w:r>
    </w:p>
    <w:p w:rsidR="7ABCB70A" w:rsidP="7ABCB70A" w:rsidRDefault="7ABCB70A" w14:paraId="2D9CBCD3" w14:textId="4ABE6B4B">
      <w:pPr>
        <w:jc w:val="center"/>
      </w:pPr>
    </w:p>
    <w:p w:rsidRPr="0006070E" w:rsidR="0006070E" w:rsidP="0006070E" w:rsidRDefault="0006070E" w14:paraId="5E7B4261" w14:textId="77777777">
      <w:pPr>
        <w:jc w:val="both"/>
        <w:rPr>
          <w:rFonts w:ascii="Times New Roman" w:hAnsi="Times New Roman"/>
          <w:sz w:val="24"/>
          <w:szCs w:val="24"/>
        </w:rPr>
      </w:pPr>
      <w:r w:rsidRPr="0006070E">
        <w:rPr>
          <w:rFonts w:ascii="Times New Roman" w:hAnsi="Times New Roman"/>
          <w:sz w:val="24"/>
          <w:szCs w:val="24"/>
        </w:rPr>
        <w:t xml:space="preserve">No obstante, el mismo no resulta suficiente para determinar si se ha configurado alguno de los supuestos previstos en la póliza para que se active la cobertura, en tanto no se cuenta con un Dictamen que establezca un grado de invalidez determinado, ni la naturaleza temporal o definitiva de la condición invocada por el reclamante. </w:t>
      </w:r>
    </w:p>
    <w:p w:rsidRPr="0006070E" w:rsidR="0006070E" w:rsidP="0006070E" w:rsidRDefault="0006070E" w14:paraId="0CADFF26" w14:textId="34CF8FB2">
      <w:pPr>
        <w:jc w:val="both"/>
        <w:rPr>
          <w:rFonts w:ascii="Times New Roman" w:hAnsi="Times New Roman"/>
          <w:sz w:val="24"/>
          <w:szCs w:val="24"/>
        </w:rPr>
      </w:pPr>
      <w:r w:rsidRPr="0006070E">
        <w:rPr>
          <w:rFonts w:ascii="Times New Roman" w:hAnsi="Times New Roman"/>
          <w:sz w:val="24"/>
          <w:szCs w:val="24"/>
        </w:rPr>
        <w:t>En consecuencia, corresponde que la parte reclamante presente un dictamen de invalidez -y no un certificado médico- que determine el grado y naturaleza temporal o permanente de la condición que presenta, a efectos de poder determinar si se ha configurado no el riesgo asegurado, conforme lo establece la póliza</w:t>
      </w:r>
    </w:p>
    <w:p w:rsidRPr="0006070E" w:rsidR="0006070E" w:rsidP="0006070E" w:rsidRDefault="0006070E" w14:paraId="5693449A" w14:textId="0D7EE243">
      <w:pPr>
        <w:jc w:val="both"/>
        <w:rPr>
          <w:rFonts w:ascii="Times New Roman" w:hAnsi="Times New Roman"/>
          <w:sz w:val="24"/>
          <w:szCs w:val="24"/>
        </w:rPr>
      </w:pPr>
      <w:r w:rsidRPr="0006070E">
        <w:rPr>
          <w:rFonts w:ascii="Times New Roman" w:hAnsi="Times New Roman"/>
          <w:sz w:val="24"/>
          <w:szCs w:val="24"/>
        </w:rPr>
        <w:t xml:space="preserve">Dictamen que además debería establecer los diagnósticos que motivan la invalidez, a efectos de analizar si -como sostiene la aseguradora, la misma se deriva de la diabetes que es preexistente a la contratación del seguro, o no. </w:t>
      </w:r>
    </w:p>
    <w:p w:rsidRPr="0006070E" w:rsidR="0006070E" w:rsidP="0006070E" w:rsidRDefault="0006070E" w14:paraId="3EDDC3CA" w14:textId="1D34027A">
      <w:pPr>
        <w:jc w:val="both"/>
        <w:rPr>
          <w:rFonts w:ascii="Times New Roman" w:hAnsi="Times New Roman"/>
          <w:sz w:val="24"/>
          <w:szCs w:val="24"/>
        </w:rPr>
      </w:pPr>
      <w:r w:rsidRPr="0006070E">
        <w:rPr>
          <w:rFonts w:ascii="Times New Roman" w:hAnsi="Times New Roman"/>
          <w:sz w:val="24"/>
          <w:szCs w:val="24"/>
        </w:rPr>
        <w:t>En tanto no se presente dicho dictamen, no se puede verificar si se ha configurado el riesgo cubierto por la póliza, por lo que la solicitud de cobertura resulta improcedente; careciendo de sentido analizar si la invocada invalidez es preexistente o no.</w:t>
      </w:r>
    </w:p>
    <w:p w:rsidRPr="0006070E" w:rsidR="0006070E" w:rsidP="0006070E" w:rsidRDefault="0006070E" w14:paraId="5CACFD43" w14:textId="77777777">
      <w:pPr>
        <w:jc w:val="both"/>
        <w:rPr>
          <w:rFonts w:ascii="Times New Roman" w:hAnsi="Times New Roman"/>
          <w:sz w:val="24"/>
          <w:szCs w:val="24"/>
        </w:rPr>
      </w:pPr>
      <w:r w:rsidRPr="0006070E">
        <w:rPr>
          <w:rFonts w:ascii="Times New Roman" w:hAnsi="Times New Roman"/>
          <w:sz w:val="24"/>
          <w:szCs w:val="24"/>
        </w:rPr>
        <w:t xml:space="preserve">En este caso, la aseguradora, pese a que no se había presentado dicho dictamen, decidió revisar la historia clínica y en base a ella concluyó que la invocada invalidez derivaba de una cardiopatía coronaria, que sería consecuencia de enfermedades preexistentes, circunstancias a su vez excluidas del seguro. </w:t>
      </w:r>
    </w:p>
    <w:p w:rsidRPr="0006070E" w:rsidR="0006070E" w:rsidP="0006070E" w:rsidRDefault="0006070E" w14:paraId="737CEE38" w14:textId="77777777">
      <w:pPr>
        <w:jc w:val="both"/>
        <w:rPr>
          <w:rFonts w:ascii="Times New Roman" w:hAnsi="Times New Roman"/>
          <w:sz w:val="24"/>
          <w:szCs w:val="24"/>
        </w:rPr>
      </w:pPr>
    </w:p>
    <w:p w:rsidRPr="0006070E" w:rsidR="0006070E" w:rsidP="0006070E" w:rsidRDefault="0006070E" w14:paraId="18EB05DA" w14:textId="333A5496">
      <w:pPr>
        <w:jc w:val="both"/>
        <w:rPr>
          <w:rFonts w:ascii="Times New Roman" w:hAnsi="Times New Roman"/>
          <w:sz w:val="24"/>
          <w:szCs w:val="24"/>
        </w:rPr>
      </w:pPr>
      <w:r w:rsidRPr="0006070E">
        <w:rPr>
          <w:rFonts w:ascii="Times New Roman" w:hAnsi="Times New Roman"/>
          <w:sz w:val="24"/>
          <w:szCs w:val="24"/>
        </w:rPr>
        <w:t xml:space="preserve">Sin embargo, en tanto no se presente el Dictamen de Invalidez, no se puede verificar si se ha configurado el riesgo cubierto por la póliza, por lo que la solicitud de cobertura resulta improcedente; careciendo de sentido analizar si la invocada invalidez es preexistente o no. Ello podrá analizarse teniendo en cuenta objetivamente la causa de la invalidez consignada en el dictamen, así como los informes médicos que pudieran presentar la aseguradora, o de considerarlo pertinente, la parte reclamante, para sustentar su posición </w:t>
      </w:r>
    </w:p>
    <w:p w:rsidRPr="0006070E" w:rsidR="0006070E" w:rsidP="0006070E" w:rsidRDefault="0006070E" w14:paraId="05DEBEE0" w14:textId="3D7053A9">
      <w:pPr>
        <w:jc w:val="both"/>
        <w:rPr>
          <w:rFonts w:ascii="Times New Roman" w:hAnsi="Times New Roman"/>
          <w:sz w:val="24"/>
          <w:szCs w:val="24"/>
        </w:rPr>
      </w:pPr>
      <w:r w:rsidRPr="0006070E">
        <w:rPr>
          <w:rFonts w:ascii="Times New Roman" w:hAnsi="Times New Roman"/>
          <w:sz w:val="24"/>
          <w:szCs w:val="24"/>
        </w:rPr>
        <w:t>Sin embargo, como se ha expresado anteriormente, no estando acreditada debidamente la configuración del siniestro, el reclamo resulta improcedente, dejando a salvo el derecho del reclamante de sustentar su configuración conforme lo establece la póliza.</w:t>
      </w:r>
    </w:p>
    <w:p w:rsidRPr="0006070E" w:rsidR="0006070E" w:rsidP="0006070E" w:rsidRDefault="0006070E" w14:paraId="27FE4D39" w14:textId="0180B62D">
      <w:pPr>
        <w:jc w:val="both"/>
        <w:rPr>
          <w:rFonts w:ascii="Times New Roman" w:hAnsi="Times New Roman"/>
          <w:bCs/>
          <w:sz w:val="24"/>
          <w:szCs w:val="24"/>
        </w:rPr>
      </w:pPr>
      <w:r w:rsidRPr="0006070E">
        <w:rPr>
          <w:rFonts w:ascii="Times New Roman" w:hAnsi="Times New Roman"/>
          <w:bCs/>
          <w:sz w:val="24"/>
          <w:szCs w:val="24"/>
        </w:rPr>
        <w:t xml:space="preserve">Atendiendo a lo expresado, este colegiado </w:t>
      </w:r>
      <w:r w:rsidRPr="0006070E">
        <w:rPr>
          <w:rFonts w:ascii="Times New Roman" w:hAnsi="Times New Roman"/>
          <w:bCs/>
          <w:sz w:val="24"/>
          <w:szCs w:val="24"/>
          <w:lang w:val="es-ES"/>
        </w:rPr>
        <w:t>concluye su apreciación razonada y conjunta al amparo de lo establecido en el Reglamento de la DEFASEG, determinando que la solicitud de cobertura no resulta procedente; por lo que</w:t>
      </w:r>
      <w:r w:rsidRPr="0006070E">
        <w:rPr>
          <w:rFonts w:ascii="Times New Roman" w:hAnsi="Times New Roman"/>
          <w:bCs/>
          <w:sz w:val="24"/>
          <w:szCs w:val="24"/>
        </w:rPr>
        <w:t xml:space="preserve"> </w:t>
      </w:r>
    </w:p>
    <w:p w:rsidRPr="0006070E" w:rsidR="0006070E" w:rsidP="0006070E" w:rsidRDefault="0006070E" w14:paraId="36C13B5A" w14:textId="3E1ED1E3">
      <w:pPr>
        <w:jc w:val="both"/>
        <w:rPr>
          <w:rFonts w:ascii="Times New Roman" w:hAnsi="Times New Roman"/>
          <w:b/>
          <w:sz w:val="24"/>
          <w:szCs w:val="24"/>
        </w:rPr>
      </w:pPr>
      <w:r w:rsidRPr="0006070E">
        <w:rPr>
          <w:rFonts w:ascii="Times New Roman" w:hAnsi="Times New Roman"/>
          <w:b/>
          <w:sz w:val="24"/>
          <w:szCs w:val="24"/>
        </w:rPr>
        <w:t>Resuelve:</w:t>
      </w:r>
    </w:p>
    <w:p w:rsidRPr="0006070E" w:rsidR="0006070E" w:rsidP="0006070E" w:rsidRDefault="0006070E" w14:paraId="2E0EBEB8" w14:textId="4E24364D">
      <w:pPr>
        <w:jc w:val="both"/>
        <w:rPr>
          <w:rFonts w:ascii="Times New Roman" w:hAnsi="Times New Roman"/>
          <w:sz w:val="24"/>
          <w:szCs w:val="24"/>
        </w:rPr>
      </w:pPr>
      <w:r w:rsidRPr="7ABCB70A" w:rsidR="3252A9FB">
        <w:rPr>
          <w:rFonts w:ascii="Times New Roman" w:hAnsi="Times New Roman"/>
          <w:sz w:val="24"/>
          <w:szCs w:val="24"/>
        </w:rPr>
        <w:t xml:space="preserve">Declarar </w:t>
      </w:r>
      <w:r w:rsidRPr="7ABCB70A" w:rsidR="3252A9FB">
        <w:rPr>
          <w:rFonts w:ascii="Times New Roman" w:hAnsi="Times New Roman"/>
          <w:b w:val="1"/>
          <w:bCs w:val="1"/>
          <w:sz w:val="24"/>
          <w:szCs w:val="24"/>
        </w:rPr>
        <w:t xml:space="preserve">IMPROCEDENTE </w:t>
      </w:r>
      <w:r w:rsidRPr="7ABCB70A" w:rsidR="3252A9FB">
        <w:rPr>
          <w:rFonts w:ascii="Times New Roman" w:hAnsi="Times New Roman"/>
          <w:sz w:val="24"/>
          <w:szCs w:val="24"/>
        </w:rPr>
        <w:t>la reclamación interpuesta por don</w:t>
      </w:r>
      <w:r w:rsidRPr="7ABCB70A" w:rsidR="7334BC64">
        <w:rPr>
          <w:rFonts w:ascii="Times New Roman" w:hAnsi="Times New Roman"/>
          <w:sz w:val="24"/>
          <w:szCs w:val="24"/>
        </w:rPr>
        <w:t>.....................................................................</w:t>
      </w:r>
      <w:r w:rsidRPr="7ABCB70A" w:rsidR="3252A9FB">
        <w:rPr>
          <w:rFonts w:ascii="Times New Roman" w:hAnsi="Times New Roman"/>
          <w:sz w:val="24"/>
          <w:szCs w:val="24"/>
        </w:rPr>
        <w:t xml:space="preserve">, representado por su hija </w:t>
      </w:r>
      <w:r w:rsidRPr="7ABCB70A" w:rsidR="3DFFED08">
        <w:rPr>
          <w:rFonts w:ascii="Times New Roman" w:hAnsi="Times New Roman"/>
          <w:sz w:val="24"/>
          <w:szCs w:val="24"/>
        </w:rPr>
        <w:t>..........................................................................</w:t>
      </w:r>
      <w:r w:rsidRPr="7ABCB70A" w:rsidR="3252A9FB">
        <w:rPr>
          <w:rFonts w:ascii="Times New Roman" w:hAnsi="Times New Roman"/>
          <w:sz w:val="24"/>
          <w:szCs w:val="24"/>
        </w:rPr>
        <w:t xml:space="preserve"> respecto a la póliza de desgravamen contratada a través de Interbank; dejando a salvo el derecho del reclamante, de acudir ante las instancias que estime pertinente.  </w:t>
      </w:r>
    </w:p>
    <w:p w:rsidRPr="00053FF9" w:rsidR="007E21A6" w:rsidP="00F3482B" w:rsidRDefault="00D00142" w14:paraId="2DE1D337" w14:textId="19D4CAFC">
      <w:pPr>
        <w:jc w:val="right"/>
        <w:rPr>
          <w:rFonts w:ascii="Times New Roman" w:hAnsi="Times New Roman"/>
          <w:sz w:val="24"/>
          <w:szCs w:val="24"/>
        </w:rPr>
      </w:pPr>
      <w:r w:rsidRPr="00053FF9">
        <w:rPr>
          <w:rFonts w:ascii="Times New Roman" w:hAnsi="Times New Roman"/>
          <w:sz w:val="24"/>
          <w:szCs w:val="24"/>
        </w:rPr>
        <w:t>Lima,</w:t>
      </w:r>
      <w:r w:rsidRPr="00053FF9" w:rsidR="0034229F">
        <w:rPr>
          <w:rFonts w:ascii="Times New Roman" w:hAnsi="Times New Roman"/>
          <w:sz w:val="24"/>
          <w:szCs w:val="24"/>
        </w:rPr>
        <w:t xml:space="preserve"> </w:t>
      </w:r>
      <w:r w:rsidRPr="00053FF9" w:rsidR="00D92C30">
        <w:rPr>
          <w:rFonts w:ascii="Times New Roman" w:hAnsi="Times New Roman"/>
          <w:sz w:val="24"/>
          <w:szCs w:val="24"/>
        </w:rPr>
        <w:t>2</w:t>
      </w:r>
      <w:r w:rsidR="004202DC">
        <w:rPr>
          <w:rFonts w:ascii="Times New Roman" w:hAnsi="Times New Roman"/>
          <w:sz w:val="24"/>
          <w:szCs w:val="24"/>
        </w:rPr>
        <w:t>3</w:t>
      </w:r>
      <w:r w:rsidRPr="00053FF9" w:rsidR="00621292">
        <w:rPr>
          <w:rFonts w:ascii="Times New Roman" w:hAnsi="Times New Roman"/>
          <w:sz w:val="24"/>
          <w:szCs w:val="24"/>
        </w:rPr>
        <w:t xml:space="preserve"> </w:t>
      </w:r>
      <w:r w:rsidRPr="00053FF9">
        <w:rPr>
          <w:rFonts w:ascii="Times New Roman" w:hAnsi="Times New Roman"/>
          <w:sz w:val="24"/>
          <w:szCs w:val="24"/>
        </w:rPr>
        <w:t>de</w:t>
      </w:r>
      <w:r w:rsidRPr="00053FF9" w:rsidR="00D874A8">
        <w:rPr>
          <w:rFonts w:ascii="Times New Roman" w:hAnsi="Times New Roman"/>
          <w:sz w:val="24"/>
          <w:szCs w:val="24"/>
        </w:rPr>
        <w:t xml:space="preserve"> octubre</w:t>
      </w:r>
      <w:r w:rsidRPr="00053FF9" w:rsidR="000A7BCF">
        <w:rPr>
          <w:rFonts w:ascii="Times New Roman" w:hAnsi="Times New Roman"/>
          <w:sz w:val="24"/>
          <w:szCs w:val="24"/>
        </w:rPr>
        <w:t xml:space="preserve"> </w:t>
      </w:r>
      <w:r w:rsidRPr="00053FF9">
        <w:rPr>
          <w:rFonts w:ascii="Times New Roman" w:hAnsi="Times New Roman"/>
          <w:sz w:val="24"/>
          <w:szCs w:val="24"/>
        </w:rPr>
        <w:t>de 202</w:t>
      </w:r>
      <w:r w:rsidRPr="00053FF9" w:rsidR="00BF08F9">
        <w:rPr>
          <w:rFonts w:ascii="Times New Roman" w:hAnsi="Times New Roman"/>
          <w:sz w:val="24"/>
          <w:szCs w:val="24"/>
        </w:rPr>
        <w:t>4</w:t>
      </w:r>
    </w:p>
    <w:p w:rsidRPr="00053FF9" w:rsidR="00922F8A" w:rsidP="00922F8A" w:rsidRDefault="00922F8A" w14:paraId="58B764F2" w14:textId="53F8BE3F">
      <w:pPr>
        <w:jc w:val="center"/>
        <w:rPr>
          <w:rFonts w:ascii="Times New Roman" w:hAnsi="Times New Roman"/>
          <w:b/>
          <w:bCs/>
          <w:i/>
          <w:iCs/>
          <w:sz w:val="24"/>
          <w:szCs w:val="24"/>
          <w:lang w:val="es-ES_tradnl"/>
        </w:rPr>
      </w:pPr>
      <w:r w:rsidRPr="00053FF9">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53FF9" w:rsidR="00922F8A" w:rsidP="00922F8A" w:rsidRDefault="00922F8A" w14:paraId="370F6A9B" w14:textId="77777777">
      <w:pPr>
        <w:rPr>
          <w:rFonts w:ascii="Times New Roman" w:hAnsi="Times New Roman"/>
          <w:b/>
          <w:bCs/>
          <w:i/>
          <w:iCs/>
          <w:sz w:val="24"/>
          <w:szCs w:val="24"/>
          <w:lang w:val="es-ES_tradnl"/>
        </w:rPr>
      </w:pPr>
    </w:p>
    <w:p w:rsidRPr="00053FF9" w:rsidR="00922F8A" w:rsidP="00922F8A" w:rsidRDefault="00922F8A" w14:paraId="0EA87B59"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 xml:space="preserve">Rolando Eyzaguirre </w:t>
      </w:r>
      <w:proofErr w:type="spellStart"/>
      <w:r w:rsidRPr="00053FF9">
        <w:rPr>
          <w:rFonts w:ascii="Times New Roman" w:hAnsi="Times New Roman"/>
          <w:b/>
          <w:bCs/>
          <w:sz w:val="24"/>
          <w:szCs w:val="24"/>
        </w:rPr>
        <w:t>Maccan</w:t>
      </w:r>
      <w:proofErr w:type="spellEnd"/>
      <w:r w:rsidRPr="00053FF9">
        <w:rPr>
          <w:rFonts w:ascii="Times New Roman" w:hAnsi="Times New Roman"/>
          <w:b/>
          <w:bCs/>
          <w:sz w:val="24"/>
          <w:szCs w:val="24"/>
        </w:rPr>
        <w:t xml:space="preserve"> – </w:t>
      </w:r>
      <w:proofErr w:type="gramStart"/>
      <w:r w:rsidRPr="00053FF9">
        <w:rPr>
          <w:rFonts w:ascii="Times New Roman" w:hAnsi="Times New Roman"/>
          <w:b/>
          <w:bCs/>
          <w:sz w:val="24"/>
          <w:szCs w:val="24"/>
        </w:rPr>
        <w:t>Presidente</w:t>
      </w:r>
      <w:proofErr w:type="gramEnd"/>
    </w:p>
    <w:p w:rsidRPr="00053FF9" w:rsidR="00922F8A" w:rsidP="00922F8A" w:rsidRDefault="00922F8A" w14:paraId="7090BA3B"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María Eugenia Valdez Fernández Baca – Vocal</w:t>
      </w:r>
    </w:p>
    <w:p w:rsidRPr="00053FF9" w:rsidR="00922F8A" w:rsidP="00922F8A" w:rsidRDefault="00922F8A" w14:paraId="7B454C69"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Omar Alfaro Villanueva – Vocal</w:t>
      </w:r>
    </w:p>
    <w:p w:rsidRPr="00053FF9" w:rsidR="00922F8A" w:rsidP="00922F8A" w:rsidRDefault="00922F8A" w14:paraId="2C915666" w14:textId="77777777">
      <w:pPr>
        <w:spacing w:line="240" w:lineRule="auto"/>
        <w:jc w:val="center"/>
        <w:rPr>
          <w:rFonts w:ascii="Times New Roman" w:hAnsi="Times New Roman"/>
          <w:sz w:val="24"/>
          <w:szCs w:val="24"/>
          <w:lang w:val="es-MX"/>
        </w:rPr>
      </w:pPr>
      <w:r w:rsidRPr="00053FF9">
        <w:rPr>
          <w:rFonts w:ascii="Times New Roman" w:hAnsi="Times New Roman"/>
          <w:b/>
          <w:bCs/>
          <w:sz w:val="24"/>
          <w:szCs w:val="24"/>
        </w:rPr>
        <w:t>Gonzalo Abad del Busto - Vocal</w:t>
      </w:r>
    </w:p>
    <w:p w:rsidRPr="00037822"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3FDE" w:rsidP="00722F1A" w:rsidRDefault="00CA3FDE" w14:paraId="06739F3B" w14:textId="77777777">
      <w:pPr>
        <w:spacing w:after="0" w:line="240" w:lineRule="auto"/>
      </w:pPr>
      <w:r>
        <w:separator/>
      </w:r>
    </w:p>
  </w:endnote>
  <w:endnote w:type="continuationSeparator" w:id="0">
    <w:p w:rsidR="00CA3FDE" w:rsidP="00722F1A" w:rsidRDefault="00CA3FDE" w14:paraId="3122C6E8" w14:textId="77777777">
      <w:pPr>
        <w:spacing w:after="0" w:line="240" w:lineRule="auto"/>
      </w:pPr>
      <w:r>
        <w:continuationSeparator/>
      </w:r>
    </w:p>
  </w:endnote>
  <w:endnote w:type="continuationNotice" w:id="1">
    <w:p w:rsidR="00CA3FDE" w:rsidRDefault="00CA3FDE" w14:paraId="04FD2D9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3FDE" w:rsidP="00722F1A" w:rsidRDefault="00CA3FDE" w14:paraId="6506645D" w14:textId="77777777">
      <w:pPr>
        <w:spacing w:after="0" w:line="240" w:lineRule="auto"/>
      </w:pPr>
      <w:r>
        <w:separator/>
      </w:r>
    </w:p>
  </w:footnote>
  <w:footnote w:type="continuationSeparator" w:id="0">
    <w:p w:rsidR="00CA3FDE" w:rsidP="00722F1A" w:rsidRDefault="00CA3FDE" w14:paraId="138B74EE" w14:textId="77777777">
      <w:pPr>
        <w:spacing w:after="0" w:line="240" w:lineRule="auto"/>
      </w:pPr>
      <w:r>
        <w:continuationSeparator/>
      </w:r>
    </w:p>
  </w:footnote>
  <w:footnote w:type="continuationNotice" w:id="1">
    <w:p w:rsidR="00CA3FDE" w:rsidRDefault="00CA3FDE" w14:paraId="033F7F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FF36C47"/>
    <w:multiLevelType w:val="hybridMultilevel"/>
    <w:tmpl w:val="DE90BCFA"/>
    <w:lvl w:ilvl="0" w:tplc="3C3E8E34">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num w:numId="1" w16cid:durableId="2122912052">
    <w:abstractNumId w:val="0"/>
  </w:num>
  <w:num w:numId="2" w16cid:durableId="1243908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7"/>
  </w:num>
  <w:num w:numId="7" w16cid:durableId="197360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2"/>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3"/>
  </w:num>
  <w:num w:numId="15" w16cid:durableId="60712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26"/>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35"/>
  </w:num>
  <w:num w:numId="23" w16cid:durableId="1603605893">
    <w:abstractNumId w:val="3"/>
  </w:num>
  <w:num w:numId="24" w16cid:durableId="17392080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1886020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8586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D8955B2"/>
    <w:rsid w:val="16501F1A"/>
    <w:rsid w:val="1E45BAAE"/>
    <w:rsid w:val="1F2DCAA4"/>
    <w:rsid w:val="219C17F4"/>
    <w:rsid w:val="3252A9FB"/>
    <w:rsid w:val="359894A9"/>
    <w:rsid w:val="37E1BCDE"/>
    <w:rsid w:val="3BCD9C25"/>
    <w:rsid w:val="3DFFED08"/>
    <w:rsid w:val="4590DDCC"/>
    <w:rsid w:val="45FCDF3C"/>
    <w:rsid w:val="4D536EA9"/>
    <w:rsid w:val="688AF9B2"/>
    <w:rsid w:val="6CCFC668"/>
    <w:rsid w:val="7334BC64"/>
    <w:rsid w:val="76A0815B"/>
    <w:rsid w:val="79831BBB"/>
    <w:rsid w:val="79FB9742"/>
    <w:rsid w:val="7A86FD86"/>
    <w:rsid w:val="7ABCB70A"/>
    <w:rsid w:val="7EAC9F8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8126178-FF23-4BD5-944C-D1EBC1777B68}"/>
</file>

<file path=customXml/itemProps3.xml><?xml version="1.0" encoding="utf-8"?>
<ds:datastoreItem xmlns:ds="http://schemas.openxmlformats.org/officeDocument/2006/customXml" ds:itemID="{AB3102E1-5807-44D9-9FFB-FBA0C9EA7A02}"/>
</file>

<file path=customXml/itemProps4.xml><?xml version="1.0" encoding="utf-8"?>
<ds:datastoreItem xmlns:ds="http://schemas.openxmlformats.org/officeDocument/2006/customXml" ds:itemID="{D1A49396-6028-4289-BF84-21F021095B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914</cp:revision>
  <cp:lastPrinted>2024-10-23T17:05:00Z</cp:lastPrinted>
  <dcterms:created xsi:type="dcterms:W3CDTF">2022-12-22T22:59:00Z</dcterms:created>
  <dcterms:modified xsi:type="dcterms:W3CDTF">2025-10-30T14:01:50Z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