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2D4D68" w:rsidR="000341A4" w:rsidP="00AB6141" w:rsidRDefault="000341A4" w14:paraId="6752CB7C" w14:textId="77777777">
      <w:pPr>
        <w:pStyle w:val="Puesto"/>
        <w:tabs>
          <w:tab w:val="left" w:pos="2730"/>
          <w:tab w:val="center" w:pos="4419"/>
        </w:tabs>
        <w:jc w:val="both"/>
        <w:outlineLvl w:val="0"/>
        <w:rPr>
          <w:rStyle w:val="Textoennegrita"/>
          <w:lang w:val="es-ES"/>
        </w:rPr>
      </w:pPr>
    </w:p>
    <w:p w:rsidRPr="002D4D68" w:rsidR="000341A4" w:rsidP="00AB6141" w:rsidRDefault="000341A4" w14:paraId="56329F19" w14:textId="77777777">
      <w:pPr>
        <w:pStyle w:val="Puesto"/>
        <w:tabs>
          <w:tab w:val="left" w:pos="2730"/>
          <w:tab w:val="center" w:pos="4419"/>
        </w:tabs>
        <w:outlineLvl w:val="0"/>
        <w:rPr>
          <w:rStyle w:val="Textoennegrita"/>
          <w:lang w:val="es-ES"/>
        </w:rPr>
      </w:pPr>
    </w:p>
    <w:p w:rsidR="001A4E48" w:rsidP="001A4E48" w:rsidRDefault="00D00142" w14:paraId="783043A4" w14:textId="3E37EF3A">
      <w:pPr>
        <w:pStyle w:val="Puesto"/>
        <w:tabs>
          <w:tab w:val="left" w:pos="2730"/>
          <w:tab w:val="center" w:pos="4419"/>
        </w:tabs>
        <w:outlineLvl w:val="0"/>
        <w:rPr>
          <w:rStyle w:val="Textoennegrita"/>
          <w:b/>
          <w:bCs/>
          <w:lang w:val="es-ES"/>
        </w:rPr>
      </w:pPr>
      <w:r w:rsidRPr="002D4D68">
        <w:rPr>
          <w:rStyle w:val="Textoennegrita"/>
          <w:b/>
          <w:bCs/>
          <w:lang w:val="es-ES"/>
        </w:rPr>
        <w:t xml:space="preserve">RESOLUCION </w:t>
      </w:r>
      <w:proofErr w:type="spellStart"/>
      <w:r w:rsidRPr="002D4D68">
        <w:rPr>
          <w:rStyle w:val="Textoennegrita"/>
          <w:b/>
          <w:bCs/>
          <w:lang w:val="es-ES"/>
        </w:rPr>
        <w:t>N°</w:t>
      </w:r>
      <w:proofErr w:type="spellEnd"/>
      <w:r w:rsidRPr="002D4D68" w:rsidR="000341A4">
        <w:rPr>
          <w:rStyle w:val="Textoennegrita"/>
          <w:b/>
          <w:bCs/>
          <w:lang w:val="es-ES"/>
        </w:rPr>
        <w:t xml:space="preserve"> </w:t>
      </w:r>
      <w:r w:rsidRPr="002D4D68" w:rsidR="005E0729">
        <w:rPr>
          <w:rStyle w:val="Textoennegrita"/>
          <w:b/>
          <w:bCs/>
          <w:lang w:val="es-ES"/>
        </w:rPr>
        <w:t>20</w:t>
      </w:r>
      <w:r w:rsidR="007245C2">
        <w:rPr>
          <w:rStyle w:val="Textoennegrita"/>
          <w:b/>
          <w:bCs/>
          <w:lang w:val="es-ES"/>
        </w:rPr>
        <w:t>9</w:t>
      </w:r>
      <w:r w:rsidRPr="002D4D68">
        <w:rPr>
          <w:rStyle w:val="Textoennegrita"/>
          <w:b/>
          <w:bCs/>
          <w:lang w:val="es-ES"/>
        </w:rPr>
        <w:t>/2</w:t>
      </w:r>
      <w:r w:rsidRPr="002D4D68" w:rsidR="004B168E">
        <w:rPr>
          <w:rStyle w:val="Textoennegrita"/>
          <w:b/>
          <w:bCs/>
          <w:lang w:val="es-ES"/>
        </w:rPr>
        <w:t>4</w:t>
      </w:r>
    </w:p>
    <w:p w:rsidR="00681A20" w:rsidP="00ED3111" w:rsidRDefault="00681A20" w14:paraId="36F19AE1" w14:textId="77777777">
      <w:pPr>
        <w:pStyle w:val="Puesto"/>
        <w:tabs>
          <w:tab w:val="left" w:pos="2730"/>
          <w:tab w:val="center" w:pos="4419"/>
        </w:tabs>
        <w:jc w:val="both"/>
        <w:outlineLvl w:val="0"/>
        <w:rPr>
          <w:lang w:val="es-ES"/>
        </w:rPr>
      </w:pPr>
    </w:p>
    <w:p w:rsidRPr="00017850" w:rsidR="00017850" w:rsidP="00017850" w:rsidRDefault="00017850" w14:paraId="3F56144B" w14:textId="2D2CBE1A">
      <w:pPr>
        <w:jc w:val="both"/>
        <w:rPr>
          <w:rFonts w:ascii="Times New Roman" w:hAnsi="Times New Roman"/>
          <w:sz w:val="23"/>
          <w:szCs w:val="23"/>
          <w:lang w:val="es-ES"/>
        </w:rPr>
      </w:pPr>
      <w:r w:rsidRPr="00017850">
        <w:rPr>
          <w:rFonts w:ascii="Times New Roman" w:hAnsi="Times New Roman"/>
          <w:b/>
          <w:bCs/>
          <w:sz w:val="23"/>
          <w:szCs w:val="23"/>
          <w:lang w:val="es-ES"/>
        </w:rPr>
        <w:t>VISTOS:</w:t>
      </w:r>
    </w:p>
    <w:p w:rsidRPr="00017850" w:rsidR="00017850" w:rsidP="0B09AA51" w:rsidRDefault="00017850" w14:paraId="645568F2" w14:noSpellErr="1" w14:textId="387BA377">
      <w:pPr>
        <w:jc w:val="both"/>
        <w:rPr>
          <w:rFonts w:ascii="Times New Roman" w:hAnsi="Times New Roman"/>
          <w:b w:val="1"/>
          <w:bCs w:val="1"/>
          <w:sz w:val="23"/>
          <w:szCs w:val="23"/>
        </w:rPr>
      </w:pPr>
      <w:r w:rsidRPr="0B09AA51" w:rsidR="00017850">
        <w:rPr>
          <w:rFonts w:ascii="Times New Roman" w:hAnsi="Times New Roman"/>
          <w:sz w:val="23"/>
          <w:szCs w:val="23"/>
        </w:rPr>
        <w:t xml:space="preserve">Que, </w:t>
      </w:r>
      <w:bookmarkStart w:name="_Hlk107662905" w:id="0"/>
      <w:r w:rsidRPr="0B09AA51" w:rsidR="0C208A6C">
        <w:rPr>
          <w:rFonts w:ascii="Times New Roman" w:hAnsi="Times New Roman"/>
          <w:b w:val="1"/>
          <w:bCs w:val="1"/>
          <w:sz w:val="23"/>
          <w:szCs w:val="23"/>
          <w:lang w:val="es-MX"/>
        </w:rPr>
        <w:t>............................................................................</w:t>
      </w:r>
      <w:bookmarkEnd w:id="0"/>
      <w:r w:rsidRPr="0B09AA51" w:rsidR="00017850">
        <w:rPr>
          <w:rFonts w:ascii="Times New Roman" w:hAnsi="Times New Roman"/>
          <w:b w:val="1"/>
          <w:bCs w:val="1"/>
          <w:sz w:val="23"/>
          <w:szCs w:val="23"/>
          <w:lang w:val="es-MX"/>
        </w:rPr>
        <w:t xml:space="preserve"> </w:t>
      </w:r>
      <w:r w:rsidRPr="0B09AA51" w:rsidR="00017850">
        <w:rPr>
          <w:rFonts w:ascii="Times New Roman" w:hAnsi="Times New Roman"/>
          <w:sz w:val="23"/>
          <w:szCs w:val="23"/>
        </w:rPr>
        <w:t xml:space="preserve">(en adelante, el reclamante) interpone reclamación ante esta Defensoría del Asegurado (DEFASEG), solicitando que </w:t>
      </w:r>
      <w:r w:rsidRPr="0B09AA51" w:rsidR="5427902D">
        <w:rPr>
          <w:rFonts w:ascii="Times New Roman" w:hAnsi="Times New Roman"/>
          <w:b w:val="1"/>
          <w:bCs w:val="1"/>
          <w:sz w:val="23"/>
          <w:szCs w:val="23"/>
        </w:rPr>
        <w:t>..........................</w:t>
      </w:r>
      <w:r w:rsidRPr="0B09AA51" w:rsidR="00017850">
        <w:rPr>
          <w:rFonts w:ascii="Times New Roman" w:hAnsi="Times New Roman"/>
          <w:b w:val="1"/>
          <w:bCs w:val="1"/>
          <w:sz w:val="23"/>
          <w:szCs w:val="23"/>
        </w:rPr>
        <w:t xml:space="preserve"> </w:t>
      </w:r>
      <w:r w:rsidRPr="0B09AA51" w:rsidR="00017850">
        <w:rPr>
          <w:rFonts w:ascii="Times New Roman" w:hAnsi="Times New Roman"/>
          <w:sz w:val="23"/>
          <w:szCs w:val="23"/>
        </w:rPr>
        <w:t>(en adelante, la aseguradora)</w:t>
      </w:r>
      <w:r w:rsidRPr="0B09AA51" w:rsidR="00017850">
        <w:rPr>
          <w:rFonts w:ascii="Times New Roman" w:hAnsi="Times New Roman"/>
          <w:b w:val="1"/>
          <w:bCs w:val="1"/>
          <w:sz w:val="23"/>
          <w:szCs w:val="23"/>
        </w:rPr>
        <w:t xml:space="preserve"> </w:t>
      </w:r>
      <w:r w:rsidRPr="0B09AA51" w:rsidR="00017850">
        <w:rPr>
          <w:rFonts w:ascii="Times New Roman" w:hAnsi="Times New Roman"/>
          <w:sz w:val="23"/>
          <w:szCs w:val="23"/>
        </w:rPr>
        <w:t xml:space="preserve">otorgue cobertura del </w:t>
      </w:r>
      <w:r w:rsidRPr="0B09AA51" w:rsidR="00017850">
        <w:rPr>
          <w:rFonts w:ascii="Times New Roman" w:hAnsi="Times New Roman"/>
          <w:b w:val="1"/>
          <w:bCs w:val="1"/>
          <w:sz w:val="23"/>
          <w:szCs w:val="23"/>
          <w:lang w:val="es-MX"/>
        </w:rPr>
        <w:t xml:space="preserve">SEGURO VEHICULAR – PÓLIZA No </w:t>
      </w:r>
      <w:r w:rsidRPr="0B09AA51" w:rsidR="2601CBE3">
        <w:rPr>
          <w:rFonts w:ascii="Times New Roman" w:hAnsi="Times New Roman"/>
          <w:b w:val="1"/>
          <w:bCs w:val="1"/>
          <w:sz w:val="23"/>
          <w:szCs w:val="23"/>
        </w:rPr>
        <w:t>................................</w:t>
      </w:r>
      <w:r w:rsidRPr="0B09AA51" w:rsidR="00017850">
        <w:rPr>
          <w:rFonts w:ascii="Times New Roman" w:hAnsi="Times New Roman"/>
          <w:sz w:val="23"/>
          <w:szCs w:val="23"/>
          <w:lang w:val="es-ES"/>
        </w:rPr>
        <w:t xml:space="preserve"> </w:t>
      </w:r>
      <w:r w:rsidRPr="0B09AA51" w:rsidR="00017850">
        <w:rPr>
          <w:rFonts w:ascii="Times New Roman" w:hAnsi="Times New Roman"/>
          <w:sz w:val="23"/>
          <w:szCs w:val="23"/>
        </w:rPr>
        <w:t>(en adelante, la póliza) en vista del siniestro ocurrido el 23 de marzo de 2024.</w:t>
      </w:r>
    </w:p>
    <w:p w:rsidRPr="00017850" w:rsidR="00017850" w:rsidP="00017850" w:rsidRDefault="00017850" w14:paraId="3564D4EC" w14:textId="77777777">
      <w:pPr>
        <w:jc w:val="both"/>
        <w:rPr>
          <w:rFonts w:ascii="Times New Roman" w:hAnsi="Times New Roman"/>
          <w:sz w:val="23"/>
          <w:szCs w:val="23"/>
        </w:rPr>
      </w:pPr>
      <w:r w:rsidRPr="00017850">
        <w:rPr>
          <w:rFonts w:ascii="Times New Roman" w:hAnsi="Times New Roman"/>
          <w:sz w:val="23"/>
          <w:szCs w:val="23"/>
        </w:rPr>
        <w:t>Que, la señalada reclamación cumple con los requisitos de materia, cuantía y oportunidad establecidos en el Reglamento de la DEFASEG (http://www.defaseg.com.pe/reglamento);</w:t>
      </w:r>
    </w:p>
    <w:p w:rsidRPr="00017850" w:rsidR="00017850" w:rsidP="00017850" w:rsidRDefault="00017850" w14:paraId="29A528ED" w14:textId="77777777">
      <w:pPr>
        <w:jc w:val="both"/>
        <w:rPr>
          <w:rFonts w:ascii="Times New Roman" w:hAnsi="Times New Roman"/>
          <w:sz w:val="23"/>
          <w:szCs w:val="23"/>
        </w:rPr>
      </w:pPr>
      <w:r w:rsidRPr="00017850">
        <w:rPr>
          <w:rFonts w:ascii="Times New Roman" w:hAnsi="Times New Roman"/>
          <w:sz w:val="23"/>
          <w:szCs w:val="23"/>
        </w:rPr>
        <w:t>Que, habiéndosele corrido traslado de la respectiva reclamación, la aseguradora presentó sus respectivos descargos;</w:t>
      </w:r>
    </w:p>
    <w:p w:rsidRPr="00017850" w:rsidR="00017850" w:rsidP="00017850" w:rsidRDefault="00017850" w14:paraId="1E97A9F9" w14:textId="77777777">
      <w:pPr>
        <w:jc w:val="both"/>
        <w:rPr>
          <w:rFonts w:ascii="Times New Roman" w:hAnsi="Times New Roman"/>
          <w:sz w:val="23"/>
          <w:szCs w:val="23"/>
        </w:rPr>
      </w:pPr>
      <w:r w:rsidRPr="00017850">
        <w:rPr>
          <w:rFonts w:ascii="Times New Roman" w:hAnsi="Times New Roman"/>
          <w:sz w:val="23"/>
          <w:szCs w:val="23"/>
        </w:rPr>
        <w:t>Que, el 26 de agosto de 2024 se realizó la audiencia de vista mediante videoconferencia, en la que participó sólo la aseguradora.</w:t>
      </w:r>
    </w:p>
    <w:p w:rsidRPr="00017850" w:rsidR="00017850" w:rsidP="0B09AA51" w:rsidRDefault="00017850" w14:paraId="7C5BADDB" w14:noSpellErr="1" w14:textId="242171E1">
      <w:pPr>
        <w:jc w:val="both"/>
        <w:rPr>
          <w:rFonts w:ascii="Times New Roman" w:hAnsi="Times New Roman"/>
          <w:sz w:val="23"/>
          <w:szCs w:val="23"/>
          <w:lang w:val="es-ES"/>
        </w:rPr>
      </w:pPr>
      <w:r w:rsidRPr="0B09AA51" w:rsidR="00017850">
        <w:rPr>
          <w:rFonts w:ascii="Times New Roman" w:hAnsi="Times New Roman"/>
          <w:sz w:val="23"/>
          <w:szCs w:val="23"/>
          <w:lang w:val="es-ES"/>
        </w:rPr>
        <w:t xml:space="preserve">Que, en síntesis, el reclamante manifiesta lo siguiente: (1) </w:t>
      </w:r>
      <w:r w:rsidRPr="0B09AA51" w:rsidR="00017850">
        <w:rPr>
          <w:rFonts w:ascii="Times New Roman" w:hAnsi="Times New Roman"/>
          <w:sz w:val="23"/>
          <w:szCs w:val="23"/>
          <w:lang w:val="es-MX"/>
        </w:rPr>
        <w:t xml:space="preserve">el 23 de marzo de 2024 la unidad asegurada de placa </w:t>
      </w:r>
      <w:r w:rsidRPr="0B09AA51" w:rsidR="3944E1E9">
        <w:rPr>
          <w:rFonts w:ascii="Times New Roman" w:hAnsi="Times New Roman"/>
          <w:sz w:val="23"/>
          <w:szCs w:val="23"/>
          <w:lang w:val="es-ES"/>
        </w:rPr>
        <w:t>...............</w:t>
      </w:r>
      <w:r w:rsidRPr="0B09AA51" w:rsidR="00017850">
        <w:rPr>
          <w:rFonts w:ascii="Times New Roman" w:hAnsi="Times New Roman"/>
          <w:sz w:val="23"/>
          <w:szCs w:val="23"/>
          <w:lang w:val="es-ES"/>
        </w:rPr>
        <w:t xml:space="preserve"> sufrió un siniestro, por lo que se comunicó a </w:t>
      </w:r>
      <w:r w:rsidRPr="0B09AA51" w:rsidR="35F9187B">
        <w:rPr>
          <w:rFonts w:ascii="Times New Roman" w:hAnsi="Times New Roman"/>
          <w:sz w:val="23"/>
          <w:szCs w:val="23"/>
          <w:lang w:val="es-ES"/>
        </w:rPr>
        <w:t>..................</w:t>
      </w:r>
      <w:r w:rsidRPr="0B09AA51" w:rsidR="00017850">
        <w:rPr>
          <w:rFonts w:ascii="Times New Roman" w:hAnsi="Times New Roman"/>
          <w:sz w:val="23"/>
          <w:szCs w:val="23"/>
          <w:lang w:val="es-ES"/>
        </w:rPr>
        <w:t xml:space="preserve"> a fin de que pudiera atender el mismo; sin embargo, en primera instancia lo observó y luego lo rechazó por motivo de que a la fecha del siniestro no había abonado el mes de marzo de 2024; (2)  el Banco Santander le indicó que estos debían enviar un reporte a la aseguradora a fin de que de manera comercial se atienda el siniestro y que, para ello debía regularizar el pago de las cuotas del mes de marzo y abril, lo que hizo; (3) viene cumpliendo con el pago de su crédito, sin embargo el Banco se niega a solicitar a </w:t>
      </w:r>
      <w:r w:rsidRPr="0B09AA51" w:rsidR="35F9187B">
        <w:rPr>
          <w:rFonts w:ascii="Times New Roman" w:hAnsi="Times New Roman"/>
          <w:sz w:val="23"/>
          <w:szCs w:val="23"/>
          <w:lang w:val="es-ES"/>
        </w:rPr>
        <w:t>..................</w:t>
      </w:r>
      <w:r w:rsidRPr="0B09AA51" w:rsidR="00017850">
        <w:rPr>
          <w:rFonts w:ascii="Times New Roman" w:hAnsi="Times New Roman"/>
          <w:sz w:val="23"/>
          <w:szCs w:val="23"/>
          <w:lang w:val="es-ES"/>
        </w:rPr>
        <w:t xml:space="preserve"> que de manera comercial se atienda el siniestro.</w:t>
      </w:r>
    </w:p>
    <w:p w:rsidRPr="00017850" w:rsidR="00017850" w:rsidP="00017850" w:rsidRDefault="00017850" w14:paraId="2C46DB13" w14:textId="094E4B9E">
      <w:pPr>
        <w:jc w:val="both"/>
        <w:rPr>
          <w:rFonts w:ascii="Times New Roman" w:hAnsi="Times New Roman"/>
          <w:sz w:val="23"/>
          <w:szCs w:val="23"/>
        </w:rPr>
      </w:pPr>
      <w:r w:rsidRPr="0B09AA51" w:rsidR="00017850">
        <w:rPr>
          <w:rFonts w:ascii="Times New Roman" w:hAnsi="Times New Roman"/>
          <w:sz w:val="23"/>
          <w:szCs w:val="23"/>
          <w:lang w:val="es-ES"/>
        </w:rPr>
        <w:t xml:space="preserve">Que, por su parte, la aseguradora sustenta su posición resumidamente en lo siguiente: (1) </w:t>
      </w:r>
      <w:r w:rsidRPr="0B09AA51" w:rsidR="00017850">
        <w:rPr>
          <w:rFonts w:ascii="Times New Roman" w:hAnsi="Times New Roman"/>
          <w:sz w:val="23"/>
          <w:szCs w:val="23"/>
        </w:rPr>
        <w:t xml:space="preserve">no procede la cobertura por cuanto al momento del siniestro la póliza se encontraba suspendida por falta de pago, conforme se establece en las cláusulas generales de contratación; (2) se adeudaban dos cuotas por concepto de prima, validación que se realizó a través de la entidad Financiera EMPRESA DE CREDITOS SANTANDER CONSUMO PERU S.A., esto es, la cuota 10 (vencida el 02.02.24) y la 11 (vencida el 02.03.24); (3) además, invoca el incumplimiento de la carga de aviso del siniestro, por cuanto se informó a la aseguradora el 26 de marzo de 2024, habiéndose efectuado el reporte a nuestra Central de Emergencias después de 3 días de ocurrido el evento, por lo que se incurrió en injustificado incumplimiento de las cargas y obligaciones establecidas en el Contrato de Seguro, impidiendo a </w:t>
      </w:r>
      <w:r w:rsidRPr="0B09AA51" w:rsidR="35F9187B">
        <w:rPr>
          <w:rFonts w:ascii="Times New Roman" w:hAnsi="Times New Roman"/>
          <w:sz w:val="23"/>
          <w:szCs w:val="23"/>
        </w:rPr>
        <w:t>..................</w:t>
      </w:r>
      <w:r w:rsidRPr="0B09AA51" w:rsidR="00017850">
        <w:rPr>
          <w:rFonts w:ascii="Times New Roman" w:hAnsi="Times New Roman"/>
          <w:sz w:val="23"/>
          <w:szCs w:val="23"/>
        </w:rPr>
        <w:t xml:space="preserve"> verificar de manera oportuna las circunstancias y responsabilidades del siniestro, lo que determina la pérdida del derecho indemnizatorio conforme se establece en las Condiciones Generales de la Póliza; (4) el incumplimiento de la carga de dar aviso oportuno del siniestro es imputable al asegurado, dado que no se ha acreditado la existencia de hecho alguno que justifique la demora; (5) respecto a la calificación del incumplimiento, sostiene que en el mismo ha mediado por lo menos culpa inexcusable, toda vez que se ha omitido el cuidado elemental que cualquier persona está en la obligación de seguir; es decir, se ha obrado con negligencia grave que además ha afectado el derecho que asiste a la aseguradora de investigar de manera oportuna las circunstancias y responsabilidades de la ocurrencia del siniestro reportado; (6) el propio asegurado reconoce que </w:t>
      </w:r>
      <w:r w:rsidRPr="0B09AA51" w:rsidR="00017850">
        <w:rPr>
          <w:rFonts w:ascii="Times New Roman" w:hAnsi="Times New Roman"/>
          <w:sz w:val="23"/>
          <w:szCs w:val="23"/>
        </w:rPr>
        <w:t xml:space="preserve">no había cumplido con pagar la prima correspondiente a los meses de marzo y abril de 2024 y que el personal del Banco Santander le indicó que abone y solicite a </w:t>
      </w:r>
      <w:r w:rsidRPr="0B09AA51" w:rsidR="35F9187B">
        <w:rPr>
          <w:rFonts w:ascii="Times New Roman" w:hAnsi="Times New Roman"/>
          <w:sz w:val="23"/>
          <w:szCs w:val="23"/>
        </w:rPr>
        <w:t>..................</w:t>
      </w:r>
      <w:r w:rsidRPr="0B09AA51" w:rsidR="00017850">
        <w:rPr>
          <w:rFonts w:ascii="Times New Roman" w:hAnsi="Times New Roman"/>
          <w:sz w:val="23"/>
          <w:szCs w:val="23"/>
        </w:rPr>
        <w:t xml:space="preserve"> el pago de la cobertura de manera comercial; (7) la Póliza se encontraba suspendida por falta de pago de la prima; sosteniendo además que en caso ésta hubiese estado vigente, tampoco podría activarse la cobertura, debido a que el señor </w:t>
      </w:r>
      <w:r w:rsidRPr="0B09AA51" w:rsidR="4E5961DD">
        <w:rPr>
          <w:rFonts w:ascii="Times New Roman" w:hAnsi="Times New Roman"/>
          <w:sz w:val="23"/>
          <w:szCs w:val="23"/>
        </w:rPr>
        <w:t>..................</w:t>
      </w:r>
      <w:r w:rsidRPr="0B09AA51" w:rsidR="00017850">
        <w:rPr>
          <w:rFonts w:ascii="Times New Roman" w:hAnsi="Times New Roman"/>
          <w:sz w:val="23"/>
          <w:szCs w:val="23"/>
        </w:rPr>
        <w:t xml:space="preserve"> reportó el siniestro con 3 días de posterioridad a la ocurrencia del siniestro, incurriendo en causal de rechazo; (8) al momento del siniestro, la Póliza de Seguro se encontraba suspendida por falta de pago correspondientes a la cuota </w:t>
      </w:r>
      <w:r w:rsidRPr="0B09AA51" w:rsidR="00017850">
        <w:rPr>
          <w:rFonts w:ascii="Times New Roman" w:hAnsi="Times New Roman"/>
          <w:sz w:val="23"/>
          <w:szCs w:val="23"/>
        </w:rPr>
        <w:t>N°</w:t>
      </w:r>
      <w:r w:rsidRPr="0B09AA51" w:rsidR="00017850">
        <w:rPr>
          <w:rFonts w:ascii="Times New Roman" w:hAnsi="Times New Roman"/>
          <w:sz w:val="23"/>
          <w:szCs w:val="23"/>
        </w:rPr>
        <w:t xml:space="preserve"> 10 cuyo vencimiento se produjo el 02/02/2024 y a la cuota </w:t>
      </w:r>
      <w:r w:rsidRPr="0B09AA51" w:rsidR="00017850">
        <w:rPr>
          <w:rFonts w:ascii="Times New Roman" w:hAnsi="Times New Roman"/>
          <w:sz w:val="23"/>
          <w:szCs w:val="23"/>
        </w:rPr>
        <w:t>N°</w:t>
      </w:r>
      <w:r w:rsidRPr="0B09AA51" w:rsidR="00017850">
        <w:rPr>
          <w:rFonts w:ascii="Times New Roman" w:hAnsi="Times New Roman"/>
          <w:sz w:val="23"/>
          <w:szCs w:val="23"/>
        </w:rPr>
        <w:t xml:space="preserve"> 11 cuyo vencimiento se produjo el 02/03/2024. El incumplimiento de pago de la prima de seguro acarrea la suspensión de la cobertura luego de 30 días de su vencimiento, considerando que </w:t>
      </w:r>
      <w:r w:rsidRPr="0B09AA51" w:rsidR="35F9187B">
        <w:rPr>
          <w:rFonts w:ascii="Times New Roman" w:hAnsi="Times New Roman"/>
          <w:sz w:val="23"/>
          <w:szCs w:val="23"/>
        </w:rPr>
        <w:t>..................</w:t>
      </w:r>
      <w:r w:rsidRPr="0B09AA51" w:rsidR="00017850">
        <w:rPr>
          <w:rFonts w:ascii="Times New Roman" w:hAnsi="Times New Roman"/>
          <w:sz w:val="23"/>
          <w:szCs w:val="23"/>
        </w:rPr>
        <w:t xml:space="preserve"> cumplió con remitirle la respectiva comunicación al señor </w:t>
      </w:r>
      <w:r w:rsidRPr="0B09AA51" w:rsidR="4E5961DD">
        <w:rPr>
          <w:rFonts w:ascii="Times New Roman" w:hAnsi="Times New Roman"/>
          <w:sz w:val="23"/>
          <w:szCs w:val="23"/>
        </w:rPr>
        <w:t>..................</w:t>
      </w:r>
      <w:r w:rsidRPr="0B09AA51" w:rsidR="00017850">
        <w:rPr>
          <w:rFonts w:ascii="Times New Roman" w:hAnsi="Times New Roman"/>
          <w:sz w:val="23"/>
          <w:szCs w:val="23"/>
        </w:rPr>
        <w:t xml:space="preserve">; (9) habiéndose efectuado el reporte a la Central de Emergencias después de 3 días de ocurrido el evento, se incurrió en injustificado incumplimiento de las cargas y obligaciones establecidas en el Contrato de Seguro, impidiendo a </w:t>
      </w:r>
      <w:r w:rsidRPr="0B09AA51" w:rsidR="35F9187B">
        <w:rPr>
          <w:rFonts w:ascii="Times New Roman" w:hAnsi="Times New Roman"/>
          <w:sz w:val="23"/>
          <w:szCs w:val="23"/>
        </w:rPr>
        <w:t>..................</w:t>
      </w:r>
      <w:r w:rsidRPr="0B09AA51" w:rsidR="00017850">
        <w:rPr>
          <w:rFonts w:ascii="Times New Roman" w:hAnsi="Times New Roman"/>
          <w:sz w:val="23"/>
          <w:szCs w:val="23"/>
        </w:rPr>
        <w:t xml:space="preserve"> verificar de manera oportuna las circunstancias y responsabilidades del siniestro, lo que determina la pérdida del derecho indemnizatorio conforme se establece en las Condiciones Generales de la Póliza; (10) el incumplimiento de la carga de dar aviso oportuno del siniestro es imputable al asegurado, dado que no se ha acreditado la existencia de hecho alguno que justifique la demora. con respecto a la calificación del incumplimiento, sostiene que en el mismo ha mediado por lo menos culpa inexcusable, toda vez que se ha omitido el cuidado elemental que cualquier persona está en la obligación de seguir; es decir, se ha obrado con negligencia grave que además ha afectado el derecho que nos asiste de investigar de manera oportuna las circunstancias y responsabilidades de la ocurrencia del siniestro reportado; (11) además de ser una obligación de carácter contractual, el reporte oportuno del siniestro constituye una obligación de naturaleza legal establecida en la Ley del Contrato de Seguro, Ley 299461 y el Reglamento de Gestión y Pago de Siniestros aprobado por Resolución SBS 3202-2013.</w:t>
      </w:r>
    </w:p>
    <w:p w:rsidRPr="00017850" w:rsidR="00017850" w:rsidP="00017850" w:rsidRDefault="00017850" w14:paraId="48DB43C6" w14:textId="77777777">
      <w:pPr>
        <w:jc w:val="both"/>
        <w:rPr>
          <w:rFonts w:ascii="Times New Roman" w:hAnsi="Times New Roman"/>
          <w:sz w:val="23"/>
          <w:szCs w:val="23"/>
          <w:lang w:val="es-ES"/>
        </w:rPr>
      </w:pPr>
      <w:r w:rsidRPr="00017850">
        <w:rPr>
          <w:rFonts w:ascii="Times New Roman" w:hAnsi="Times New Roman"/>
          <w:b/>
          <w:bCs/>
          <w:sz w:val="23"/>
          <w:szCs w:val="23"/>
          <w:lang w:val="es-ES"/>
        </w:rPr>
        <w:t>CONSIDERANDO:</w:t>
      </w:r>
    </w:p>
    <w:p w:rsidRPr="00017850" w:rsidR="00017850" w:rsidP="00017850" w:rsidRDefault="00017850" w14:paraId="594456E5" w14:textId="26DC8961">
      <w:pPr>
        <w:jc w:val="both"/>
        <w:rPr>
          <w:rFonts w:ascii="Times New Roman" w:hAnsi="Times New Roman"/>
          <w:sz w:val="23"/>
          <w:szCs w:val="23"/>
          <w:lang w:val="es-ES"/>
        </w:rPr>
      </w:pPr>
      <w:r w:rsidRPr="00017850">
        <w:rPr>
          <w:rFonts w:ascii="Times New Roman" w:hAnsi="Times New Roman"/>
          <w:sz w:val="23"/>
          <w:szCs w:val="23"/>
          <w:lang w:val="es-ES"/>
        </w:rPr>
        <w:t> </w:t>
      </w:r>
      <w:r w:rsidRPr="00017850">
        <w:rPr>
          <w:rFonts w:ascii="Times New Roman" w:hAnsi="Times New Roman"/>
          <w:b/>
          <w:sz w:val="23"/>
          <w:szCs w:val="23"/>
          <w:u w:val="single"/>
        </w:rPr>
        <w:t>PRIMERO</w:t>
      </w:r>
      <w:r w:rsidRPr="00017850">
        <w:rPr>
          <w:rFonts w:ascii="Times New Roman" w:hAnsi="Times New Roman"/>
          <w:b/>
          <w:sz w:val="23"/>
          <w:szCs w:val="23"/>
        </w:rPr>
        <w:t xml:space="preserve">: </w:t>
      </w:r>
      <w:r w:rsidRPr="00017850">
        <w:rPr>
          <w:rFonts w:ascii="Times New Roman" w:hAnsi="Times New Roman"/>
          <w:sz w:val="23"/>
          <w:szCs w:val="23"/>
        </w:rPr>
        <w:t>Conforme a su Reglamento, la</w:t>
      </w:r>
      <w:r w:rsidRPr="00017850">
        <w:rPr>
          <w:rFonts w:ascii="Times New Roman" w:hAnsi="Times New Roman"/>
          <w:b/>
          <w:bCs/>
          <w:sz w:val="23"/>
          <w:szCs w:val="23"/>
        </w:rPr>
        <w:t xml:space="preserve"> </w:t>
      </w:r>
      <w:r w:rsidRPr="00017850">
        <w:rPr>
          <w:rFonts w:ascii="Times New Roman" w:hAnsi="Times New Roman"/>
          <w:sz w:val="23"/>
          <w:szCs w:val="23"/>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017850" w:rsidR="00017850" w:rsidP="00017850" w:rsidRDefault="00017850" w14:paraId="3189D4A1" w14:textId="77777777">
      <w:pPr>
        <w:jc w:val="both"/>
        <w:rPr>
          <w:rFonts w:ascii="Times New Roman" w:hAnsi="Times New Roman"/>
          <w:bCs/>
          <w:sz w:val="23"/>
          <w:szCs w:val="23"/>
        </w:rPr>
      </w:pPr>
      <w:r w:rsidRPr="00017850">
        <w:rPr>
          <w:rFonts w:ascii="Times New Roman" w:hAnsi="Times New Roman"/>
          <w:b/>
          <w:bCs/>
          <w:sz w:val="23"/>
          <w:szCs w:val="23"/>
          <w:u w:val="single"/>
        </w:rPr>
        <w:t>SEGUNDO</w:t>
      </w:r>
      <w:r w:rsidRPr="00017850">
        <w:rPr>
          <w:rFonts w:ascii="Times New Roman" w:hAnsi="Times New Roman"/>
          <w:b/>
          <w:bCs/>
          <w:sz w:val="23"/>
          <w:szCs w:val="23"/>
        </w:rPr>
        <w:t>:</w:t>
      </w:r>
      <w:r w:rsidRPr="00017850">
        <w:rPr>
          <w:rFonts w:ascii="Times New Roman" w:hAnsi="Times New Roman"/>
          <w:bCs/>
          <w:sz w:val="23"/>
          <w:szCs w:val="23"/>
        </w:rPr>
        <w:t xml:space="preserve"> </w:t>
      </w:r>
      <w:r w:rsidRPr="00017850">
        <w:rPr>
          <w:rFonts w:ascii="Times New Roman" w:hAnsi="Times New Roman"/>
          <w:sz w:val="23"/>
          <w:szCs w:val="23"/>
        </w:rPr>
        <w:t xml:space="preserve">Asimismo, de acuerdo a </w:t>
      </w:r>
      <w:r w:rsidRPr="00017850">
        <w:rPr>
          <w:rFonts w:ascii="Times New Roman" w:hAnsi="Times New Roman"/>
          <w:bCs/>
          <w:sz w:val="23"/>
          <w:szCs w:val="23"/>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017850" w:rsidR="00017850" w:rsidP="00017850" w:rsidRDefault="00017850" w14:paraId="44FE499B" w14:textId="77777777">
      <w:pPr>
        <w:jc w:val="both"/>
        <w:rPr>
          <w:rFonts w:ascii="Times New Roman" w:hAnsi="Times New Roman"/>
          <w:sz w:val="23"/>
          <w:szCs w:val="23"/>
          <w:lang w:val="es-ES"/>
        </w:rPr>
      </w:pPr>
      <w:r w:rsidRPr="00017850">
        <w:rPr>
          <w:rFonts w:ascii="Times New Roman" w:hAnsi="Times New Roman"/>
          <w:b/>
          <w:bCs/>
          <w:sz w:val="23"/>
          <w:szCs w:val="23"/>
          <w:u w:val="single"/>
        </w:rPr>
        <w:t>TERCERO</w:t>
      </w:r>
      <w:r w:rsidRPr="00017850">
        <w:rPr>
          <w:rFonts w:ascii="Times New Roman" w:hAnsi="Times New Roman"/>
          <w:b/>
          <w:bCs/>
          <w:sz w:val="23"/>
          <w:szCs w:val="23"/>
        </w:rPr>
        <w:t>:</w:t>
      </w:r>
      <w:r w:rsidRPr="00017850">
        <w:rPr>
          <w:rFonts w:ascii="Times New Roman" w:hAnsi="Times New Roman"/>
          <w:sz w:val="23"/>
          <w:szCs w:val="23"/>
        </w:rPr>
        <w:t xml:space="preserve"> Que, de acuerdo a la Ley Nro. </w:t>
      </w:r>
      <w:r w:rsidRPr="00017850">
        <w:rPr>
          <w:rFonts w:ascii="Times New Roman" w:hAnsi="Times New Roman"/>
          <w:sz w:val="23"/>
          <w:szCs w:val="23"/>
          <w:lang w:val="es-ES"/>
        </w:rPr>
        <w:t xml:space="preserve">29946 – Ley del Contrato de Seguro, norma legal vigente con ocasión de la celebración del contrato al cual se contrae el presente caso, </w:t>
      </w:r>
      <w:r w:rsidRPr="00017850">
        <w:rPr>
          <w:rFonts w:ascii="Times New Roman" w:hAnsi="Times New Roman"/>
          <w:sz w:val="23"/>
          <w:szCs w:val="23"/>
        </w:rPr>
        <w:t xml:space="preserve">todas las cuestiones jurídicas se rigen por lo dispuesto en dicha ley y por las que reglas que se acuerden convencionalmente, en cuanto no vulneren los principios esenciales de la naturaleza jurídica del </w:t>
      </w:r>
      <w:r w:rsidRPr="00017850">
        <w:rPr>
          <w:rFonts w:ascii="Times New Roman" w:hAnsi="Times New Roman"/>
          <w:sz w:val="23"/>
          <w:szCs w:val="23"/>
        </w:rPr>
        <w:t>seguro, siendo que sólo se aplica el derecho común a falta de disposiciones del derecho de seguros o de protección al consumidor.</w:t>
      </w:r>
    </w:p>
    <w:p w:rsidRPr="00017850" w:rsidR="00017850" w:rsidP="00017850" w:rsidRDefault="00017850" w14:paraId="2F536841" w14:textId="77777777">
      <w:pPr>
        <w:jc w:val="both"/>
        <w:rPr>
          <w:rFonts w:ascii="Times New Roman" w:hAnsi="Times New Roman"/>
          <w:sz w:val="23"/>
          <w:szCs w:val="23"/>
        </w:rPr>
      </w:pPr>
      <w:r w:rsidRPr="00017850">
        <w:rPr>
          <w:rFonts w:ascii="Times New Roman" w:hAnsi="Times New Roman"/>
          <w:b/>
          <w:sz w:val="23"/>
          <w:szCs w:val="23"/>
          <w:u w:val="single"/>
        </w:rPr>
        <w:t>CUARTO</w:t>
      </w:r>
      <w:r w:rsidRPr="00017850">
        <w:rPr>
          <w:rFonts w:ascii="Times New Roman" w:hAnsi="Times New Roman"/>
          <w:b/>
          <w:sz w:val="23"/>
          <w:szCs w:val="23"/>
        </w:rPr>
        <w:t>:</w:t>
      </w:r>
      <w:r w:rsidRPr="00017850">
        <w:rPr>
          <w:rFonts w:ascii="Times New Roman" w:hAnsi="Times New Roman"/>
          <w:sz w:val="23"/>
          <w:szCs w:val="23"/>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017850" w:rsidR="00017850" w:rsidP="00017850" w:rsidRDefault="00017850" w14:paraId="218BB09B" w14:textId="77777777">
      <w:pPr>
        <w:jc w:val="both"/>
        <w:rPr>
          <w:rFonts w:ascii="Times New Roman" w:hAnsi="Times New Roman"/>
          <w:sz w:val="23"/>
          <w:szCs w:val="23"/>
        </w:rPr>
      </w:pPr>
      <w:r w:rsidRPr="00017850">
        <w:rPr>
          <w:rFonts w:ascii="Times New Roman" w:hAnsi="Times New Roman"/>
          <w:b/>
          <w:bCs/>
          <w:sz w:val="23"/>
          <w:szCs w:val="23"/>
          <w:u w:val="single"/>
        </w:rPr>
        <w:t>QUINTO</w:t>
      </w:r>
      <w:r w:rsidRPr="00017850">
        <w:rPr>
          <w:rFonts w:ascii="Times New Roman" w:hAnsi="Times New Roman"/>
          <w:b/>
          <w:bCs/>
          <w:sz w:val="23"/>
          <w:szCs w:val="23"/>
        </w:rPr>
        <w:t xml:space="preserve">: </w:t>
      </w:r>
      <w:r w:rsidRPr="00017850">
        <w:rPr>
          <w:rFonts w:ascii="Times New Roman" w:hAnsi="Times New Roman"/>
          <w:bCs/>
          <w:sz w:val="23"/>
          <w:szCs w:val="23"/>
          <w:lang w:val="es-ES"/>
        </w:rPr>
        <w:t xml:space="preserve">Que, conforme a lo expuesto en la reclamación, </w:t>
      </w:r>
      <w:r w:rsidRPr="00017850">
        <w:rPr>
          <w:rFonts w:ascii="Times New Roman" w:hAnsi="Times New Roman"/>
          <w:sz w:val="23"/>
          <w:szCs w:val="23"/>
        </w:rPr>
        <w:t xml:space="preserve">en la absolución de esta, y a lo tratado en la audiencia de vista, la cuestión controvertida radica en determinar si el rechazo de cobertura resulta o no legítimo, esto es, si la cobertura se encontraba o no suspendida como consecuencia de la falta de pago y si se incurrió en incumplimiento de la carga de </w:t>
      </w:r>
      <w:proofErr w:type="gramStart"/>
      <w:r w:rsidRPr="00017850">
        <w:rPr>
          <w:rFonts w:ascii="Times New Roman" w:hAnsi="Times New Roman"/>
          <w:sz w:val="23"/>
          <w:szCs w:val="23"/>
        </w:rPr>
        <w:t>dar aviso</w:t>
      </w:r>
      <w:proofErr w:type="gramEnd"/>
      <w:r w:rsidRPr="00017850">
        <w:rPr>
          <w:rFonts w:ascii="Times New Roman" w:hAnsi="Times New Roman"/>
          <w:sz w:val="23"/>
          <w:szCs w:val="23"/>
        </w:rPr>
        <w:t xml:space="preserve"> a la aseguradora.</w:t>
      </w:r>
    </w:p>
    <w:p w:rsidRPr="00017850" w:rsidR="00017850" w:rsidP="00017850" w:rsidRDefault="00017850" w14:paraId="18CBC29A" w14:textId="77777777">
      <w:pPr>
        <w:jc w:val="both"/>
        <w:rPr>
          <w:rFonts w:ascii="Times New Roman" w:hAnsi="Times New Roman"/>
          <w:sz w:val="23"/>
          <w:szCs w:val="23"/>
          <w:lang w:val="es-ES"/>
        </w:rPr>
      </w:pPr>
      <w:r w:rsidRPr="00017850">
        <w:rPr>
          <w:rFonts w:ascii="Times New Roman" w:hAnsi="Times New Roman"/>
          <w:b/>
          <w:sz w:val="23"/>
          <w:szCs w:val="23"/>
          <w:u w:val="single"/>
          <w:lang w:val="es-ES"/>
        </w:rPr>
        <w:t>SEXTO</w:t>
      </w:r>
      <w:r w:rsidRPr="00017850">
        <w:rPr>
          <w:rFonts w:ascii="Times New Roman" w:hAnsi="Times New Roman"/>
          <w:b/>
          <w:sz w:val="23"/>
          <w:szCs w:val="23"/>
          <w:lang w:val="es-ES"/>
        </w:rPr>
        <w:t>:</w:t>
      </w:r>
      <w:r w:rsidRPr="00017850">
        <w:rPr>
          <w:rFonts w:ascii="Times New Roman" w:hAnsi="Times New Roman"/>
          <w:b/>
          <w:sz w:val="23"/>
          <w:szCs w:val="23"/>
        </w:rPr>
        <w:t xml:space="preserve"> </w:t>
      </w:r>
      <w:r w:rsidRPr="00017850">
        <w:rPr>
          <w:rFonts w:ascii="Times New Roman" w:hAnsi="Times New Roman"/>
          <w:bCs/>
          <w:sz w:val="23"/>
          <w:szCs w:val="23"/>
        </w:rPr>
        <w:t>En cuanto a la primera causal invocada como fundamento del rechazo de cobertura, cabe advertir que l</w:t>
      </w:r>
      <w:r w:rsidRPr="00017850">
        <w:rPr>
          <w:rFonts w:ascii="Times New Roman" w:hAnsi="Times New Roman"/>
          <w:sz w:val="23"/>
          <w:szCs w:val="23"/>
          <w:lang w:val="es-ES"/>
        </w:rPr>
        <w:t xml:space="preserve">a denominada “suspensión de la cobertura por incumplimiento de pago” del contrato de seguro está regulada en la Ley Nro. 29946 – Ley del Contrato de Seguro (en lo sucesivo LCS) en el artículo 21.  </w:t>
      </w:r>
    </w:p>
    <w:p w:rsidRPr="00017850" w:rsidR="00017850" w:rsidP="00017850" w:rsidRDefault="00017850" w14:paraId="6C290EE7" w14:textId="77777777">
      <w:pPr>
        <w:jc w:val="both"/>
        <w:rPr>
          <w:rFonts w:ascii="Times New Roman" w:hAnsi="Times New Roman"/>
          <w:b/>
          <w:sz w:val="23"/>
          <w:szCs w:val="23"/>
        </w:rPr>
      </w:pPr>
      <w:r w:rsidRPr="00017850">
        <w:rPr>
          <w:rFonts w:ascii="Times New Roman" w:hAnsi="Times New Roman"/>
          <w:sz w:val="23"/>
          <w:szCs w:val="23"/>
          <w:lang w:val="es-ES"/>
        </w:rPr>
        <w:t xml:space="preserve">En efecto, el indicado artículo de la señalada ley regula en un único texto las figuras de suspensión de cobertura, </w:t>
      </w:r>
      <w:proofErr w:type="gramStart"/>
      <w:r w:rsidRPr="00017850">
        <w:rPr>
          <w:rFonts w:ascii="Times New Roman" w:hAnsi="Times New Roman"/>
          <w:sz w:val="23"/>
          <w:szCs w:val="23"/>
          <w:lang w:val="es-ES"/>
        </w:rPr>
        <w:t>resolución contractual y extinción contractual</w:t>
      </w:r>
      <w:proofErr w:type="gramEnd"/>
      <w:r w:rsidRPr="00017850">
        <w:rPr>
          <w:rFonts w:ascii="Times New Roman" w:hAnsi="Times New Roman"/>
          <w:sz w:val="23"/>
          <w:szCs w:val="23"/>
          <w:lang w:val="es-ES"/>
        </w:rPr>
        <w:t>, disponiendo lo siguiente:</w:t>
      </w:r>
    </w:p>
    <w:p w:rsidRPr="00017850" w:rsidR="00017850" w:rsidP="00017850" w:rsidRDefault="00017850" w14:paraId="37AC3A4E" w14:textId="77777777">
      <w:pPr>
        <w:jc w:val="both"/>
        <w:rPr>
          <w:rFonts w:ascii="Times New Roman" w:hAnsi="Times New Roman"/>
          <w:i/>
          <w:sz w:val="23"/>
          <w:szCs w:val="23"/>
          <w:lang w:val="es-ES"/>
        </w:rPr>
      </w:pPr>
      <w:r w:rsidRPr="00017850">
        <w:rPr>
          <w:rFonts w:ascii="Times New Roman" w:hAnsi="Times New Roman"/>
          <w:i/>
          <w:sz w:val="23"/>
          <w:szCs w:val="23"/>
          <w:lang w:val="es-ES"/>
        </w:rPr>
        <w:t xml:space="preserve">“El incumplimiento de pago establecido en el Convenio de Pago origina la suspensión automática de la cobertura del seguro una vez transcurridos treinta (30) días desde la fecha de vencimiento de la obligación, siempre y cuando no se haya convenido un plazo adicional para el pago. </w:t>
      </w:r>
      <w:r w:rsidRPr="00017850">
        <w:rPr>
          <w:rFonts w:ascii="Times New Roman" w:hAnsi="Times New Roman"/>
          <w:b/>
          <w:bCs/>
          <w:i/>
          <w:sz w:val="23"/>
          <w:szCs w:val="23"/>
          <w:u w:val="single"/>
          <w:lang w:val="es-ES"/>
        </w:rPr>
        <w:t>Para tal efecto, el asegurador deberá comunicar de manera cierta al asegurado a través de los medios y en la dirección previamente acordada, el incumplimiento del pago de la prima y sus consecuencias, así como indicar el plazo de que dispone para pagar antes de la suspensión de la cobertura del seguro</w:t>
      </w:r>
      <w:r w:rsidRPr="00017850">
        <w:rPr>
          <w:rFonts w:ascii="Times New Roman" w:hAnsi="Times New Roman"/>
          <w:i/>
          <w:sz w:val="23"/>
          <w:szCs w:val="23"/>
          <w:lang w:val="es-ES"/>
        </w:rPr>
        <w:t>. El asegurador no es responsable por los siniestros ocurridos durante el período en que la cobertura se mantiene suspendida.</w:t>
      </w:r>
    </w:p>
    <w:p w:rsidRPr="00017850" w:rsidR="00017850" w:rsidP="00017850" w:rsidRDefault="00017850" w14:paraId="3B7C70E6" w14:textId="77777777">
      <w:pPr>
        <w:jc w:val="both"/>
        <w:rPr>
          <w:rFonts w:ascii="Times New Roman" w:hAnsi="Times New Roman"/>
          <w:i/>
          <w:sz w:val="23"/>
          <w:szCs w:val="23"/>
          <w:lang w:val="es-ES"/>
        </w:rPr>
      </w:pPr>
      <w:r w:rsidRPr="00017850">
        <w:rPr>
          <w:rFonts w:ascii="Times New Roman" w:hAnsi="Times New Roman"/>
          <w:i/>
          <w:sz w:val="23"/>
          <w:szCs w:val="23"/>
          <w:lang w:val="es-ES"/>
        </w:rPr>
        <w:t>La suspensión de cobertura no es aplicable en los casos en que el contratante ha pagado, proporcionalmente, una prima igual o mayor al período corrido del contrato.</w:t>
      </w:r>
    </w:p>
    <w:p w:rsidRPr="00017850" w:rsidR="00017850" w:rsidP="00017850" w:rsidRDefault="00017850" w14:paraId="234661EB" w14:textId="77777777">
      <w:pPr>
        <w:jc w:val="both"/>
        <w:rPr>
          <w:rFonts w:ascii="Times New Roman" w:hAnsi="Times New Roman"/>
          <w:i/>
          <w:sz w:val="23"/>
          <w:szCs w:val="23"/>
          <w:lang w:val="es-ES"/>
        </w:rPr>
      </w:pPr>
      <w:r w:rsidRPr="00017850">
        <w:rPr>
          <w:rFonts w:ascii="Times New Roman" w:hAnsi="Times New Roman"/>
          <w:i/>
          <w:sz w:val="23"/>
          <w:szCs w:val="23"/>
          <w:lang w:val="es-ES"/>
        </w:rPr>
        <w:t>Si el asegurador no reclama el pago de la prima dentro de los noventa (90) días siguientes al vencimiento del plazo, se entiende que el contrato queda extinguido.” (Subrayado y resaltado nuestro)</w:t>
      </w:r>
    </w:p>
    <w:p w:rsidRPr="00017850" w:rsidR="00017850" w:rsidP="00017850" w:rsidRDefault="00017850" w14:paraId="236F109F" w14:textId="77777777">
      <w:pPr>
        <w:jc w:val="both"/>
        <w:rPr>
          <w:rFonts w:ascii="Times New Roman" w:hAnsi="Times New Roman"/>
          <w:sz w:val="23"/>
          <w:szCs w:val="23"/>
        </w:rPr>
      </w:pPr>
      <w:r w:rsidRPr="00017850">
        <w:rPr>
          <w:rFonts w:ascii="Times New Roman" w:hAnsi="Times New Roman"/>
          <w:sz w:val="23"/>
          <w:szCs w:val="23"/>
        </w:rPr>
        <w:t xml:space="preserve">De acuerdo con el artículo 21 de la LCS, para que opere la suspensión de cobertura se requiere que transcurran treinta (30) días desde la fecha de vencimiento de pago de la prima (o de una cuota de </w:t>
      </w:r>
      <w:proofErr w:type="gramStart"/>
      <w:r w:rsidRPr="00017850">
        <w:rPr>
          <w:rFonts w:ascii="Times New Roman" w:hAnsi="Times New Roman"/>
          <w:sz w:val="23"/>
          <w:szCs w:val="23"/>
        </w:rPr>
        <w:t>esta si</w:t>
      </w:r>
      <w:proofErr w:type="gramEnd"/>
      <w:r w:rsidRPr="00017850">
        <w:rPr>
          <w:rFonts w:ascii="Times New Roman" w:hAnsi="Times New Roman"/>
          <w:sz w:val="23"/>
          <w:szCs w:val="23"/>
        </w:rPr>
        <w:t xml:space="preserve"> hubiese sido fraccionada) y que, en dicho plazo, la aseguradora haya cumplido con informar al asegurado sobre ese incumplimiento y sus consecuencias, así como sobre la fecha límite de pago para impedir que opere la suspensión de cobertura.</w:t>
      </w:r>
    </w:p>
    <w:p w:rsidRPr="00017850" w:rsidR="00017850" w:rsidP="00017850" w:rsidRDefault="00017850" w14:paraId="269BF77C" w14:textId="77777777">
      <w:pPr>
        <w:jc w:val="both"/>
        <w:rPr>
          <w:rFonts w:ascii="Times New Roman" w:hAnsi="Times New Roman"/>
          <w:sz w:val="23"/>
          <w:szCs w:val="23"/>
          <w:lang w:val="es-ES"/>
        </w:rPr>
      </w:pPr>
      <w:r w:rsidRPr="00017850">
        <w:rPr>
          <w:rFonts w:ascii="Times New Roman" w:hAnsi="Times New Roman"/>
          <w:sz w:val="23"/>
          <w:szCs w:val="23"/>
          <w:lang w:val="es-ES"/>
        </w:rPr>
        <w:t>Por su parte, el Reglamento de Pago de Primas de Pólizas de Seguro, aprobado mediante Resolución SBS Nro. 3198-2013, regula efectivamente de manera separada el régimen de la suspensión de cobertura y el de la extinción, disponiendo en su artículo 7 y 8 lo siguiente tratándose del primero:</w:t>
      </w:r>
    </w:p>
    <w:p w:rsidRPr="00017850" w:rsidR="00017850" w:rsidP="00017850" w:rsidRDefault="00017850" w14:paraId="5E61BF46" w14:textId="77777777">
      <w:pPr>
        <w:jc w:val="both"/>
        <w:rPr>
          <w:rFonts w:ascii="Times New Roman" w:hAnsi="Times New Roman"/>
          <w:i/>
          <w:iCs/>
          <w:sz w:val="23"/>
          <w:szCs w:val="23"/>
          <w:lang w:val="es-ES"/>
        </w:rPr>
      </w:pPr>
      <w:r w:rsidRPr="00017850">
        <w:rPr>
          <w:rFonts w:ascii="Times New Roman" w:hAnsi="Times New Roman"/>
          <w:i/>
          <w:iCs/>
          <w:sz w:val="23"/>
          <w:szCs w:val="23"/>
          <w:lang w:val="es-ES"/>
        </w:rPr>
        <w:t>Artículo 7</w:t>
      </w:r>
      <w:proofErr w:type="gramStart"/>
      <w:r w:rsidRPr="00017850">
        <w:rPr>
          <w:rFonts w:ascii="Times New Roman" w:hAnsi="Times New Roman"/>
          <w:i/>
          <w:iCs/>
          <w:sz w:val="23"/>
          <w:szCs w:val="23"/>
          <w:lang w:val="es-ES"/>
        </w:rPr>
        <w:t>°.-</w:t>
      </w:r>
      <w:proofErr w:type="gramEnd"/>
      <w:r w:rsidRPr="00017850">
        <w:rPr>
          <w:rFonts w:ascii="Times New Roman" w:hAnsi="Times New Roman"/>
          <w:i/>
          <w:iCs/>
          <w:sz w:val="23"/>
          <w:szCs w:val="23"/>
          <w:lang w:val="es-ES"/>
        </w:rPr>
        <w:t xml:space="preserve"> Suspensión de la cobertura por incumplimiento de pago.</w:t>
      </w:r>
    </w:p>
    <w:p w:rsidRPr="00017850" w:rsidR="00017850" w:rsidP="00017850" w:rsidRDefault="00017850" w14:paraId="66F3CA9A" w14:textId="77777777">
      <w:pPr>
        <w:jc w:val="both"/>
        <w:rPr>
          <w:rFonts w:ascii="Times New Roman" w:hAnsi="Times New Roman"/>
          <w:i/>
          <w:iCs/>
          <w:sz w:val="23"/>
          <w:szCs w:val="23"/>
          <w:lang w:val="es-ES"/>
        </w:rPr>
      </w:pPr>
    </w:p>
    <w:p w:rsidRPr="00017850" w:rsidR="00017850" w:rsidP="00017850" w:rsidRDefault="00017850" w14:paraId="31B05E8C" w14:textId="77777777">
      <w:pPr>
        <w:jc w:val="both"/>
        <w:rPr>
          <w:rFonts w:ascii="Times New Roman" w:hAnsi="Times New Roman"/>
          <w:i/>
          <w:iCs/>
          <w:sz w:val="23"/>
          <w:szCs w:val="23"/>
          <w:lang w:val="es-ES"/>
        </w:rPr>
      </w:pPr>
      <w:r w:rsidRPr="00017850">
        <w:rPr>
          <w:rFonts w:ascii="Times New Roman" w:hAnsi="Times New Roman"/>
          <w:i/>
          <w:iCs/>
          <w:sz w:val="23"/>
          <w:szCs w:val="23"/>
          <w:lang w:val="es-ES"/>
        </w:rPr>
        <w:t xml:space="preserve">El incumplimiento de pago establecido en el convenio de pago origina la suspensión automática de la cobertura del seguro, una vez que hayan transcurrido treinta (30) días desde la fecha de vencimiento de la obligación, siempre y cuando no se haya convenido un plazo adicional para el pago. </w:t>
      </w:r>
      <w:r w:rsidRPr="00017850">
        <w:rPr>
          <w:rFonts w:ascii="Times New Roman" w:hAnsi="Times New Roman"/>
          <w:b/>
          <w:bCs/>
          <w:i/>
          <w:iCs/>
          <w:sz w:val="23"/>
          <w:szCs w:val="23"/>
          <w:u w:val="single"/>
          <w:lang w:val="es-ES"/>
        </w:rPr>
        <w:t>Antes del vencimiento de dicho plazo, la empresa de seguros deberá comunicar de manera cierta al asegurado a través de los medios y en la dirección previamente acordada, la suspensión de la cobertura como consecuencia del incumplimiento del pago de la prima. Asimismo, indicará el plazo que el contratante dispone para pagar la prima antes de la suspensión de la cobertura del seguro.</w:t>
      </w:r>
    </w:p>
    <w:p w:rsidRPr="00017850" w:rsidR="00017850" w:rsidP="00017850" w:rsidRDefault="00017850" w14:paraId="5627EA37" w14:textId="77777777">
      <w:pPr>
        <w:jc w:val="both"/>
        <w:rPr>
          <w:rFonts w:ascii="Times New Roman" w:hAnsi="Times New Roman"/>
          <w:i/>
          <w:iCs/>
          <w:sz w:val="23"/>
          <w:szCs w:val="23"/>
          <w:lang w:val="es-ES"/>
        </w:rPr>
      </w:pPr>
      <w:r w:rsidRPr="00017850">
        <w:rPr>
          <w:rFonts w:ascii="Times New Roman" w:hAnsi="Times New Roman"/>
          <w:b/>
          <w:bCs/>
          <w:i/>
          <w:iCs/>
          <w:sz w:val="23"/>
          <w:szCs w:val="23"/>
          <w:u w:val="single"/>
          <w:lang w:val="es-ES"/>
        </w:rPr>
        <w:t>Debe señalarse que una comunicación se realiza de manera cierta cuando se utiliza cualquier mecanismo de comunicación que las partes pacten de común acuerdo, siempre que esta sea susceptible de verificación, conforme a lo dispuesto al artículo 24º del Reglamento de Transparencia de Información y Contratación de Seguros.</w:t>
      </w:r>
      <w:r w:rsidRPr="00017850">
        <w:rPr>
          <w:rFonts w:ascii="Times New Roman" w:hAnsi="Times New Roman"/>
          <w:i/>
          <w:iCs/>
          <w:sz w:val="23"/>
          <w:szCs w:val="23"/>
          <w:lang w:val="es-ES"/>
        </w:rPr>
        <w:t xml:space="preserve"> La suspensión de cobertura no es aplicable en los casos en que el contratante ha pagado, proporcionalmente, una prima igual o mayor al período corrido del contrato. </w:t>
      </w:r>
    </w:p>
    <w:p w:rsidRPr="00017850" w:rsidR="00017850" w:rsidP="00017850" w:rsidRDefault="00017850" w14:paraId="54511326" w14:textId="77777777">
      <w:pPr>
        <w:jc w:val="both"/>
        <w:rPr>
          <w:rFonts w:ascii="Times New Roman" w:hAnsi="Times New Roman"/>
          <w:i/>
          <w:iCs/>
          <w:sz w:val="23"/>
          <w:szCs w:val="23"/>
          <w:lang w:val="es-ES"/>
        </w:rPr>
      </w:pPr>
      <w:r w:rsidRPr="00017850">
        <w:rPr>
          <w:rFonts w:ascii="Times New Roman" w:hAnsi="Times New Roman"/>
          <w:i/>
          <w:iCs/>
          <w:sz w:val="23"/>
          <w:szCs w:val="23"/>
          <w:lang w:val="es-ES"/>
        </w:rPr>
        <w:t>(Subrayado y resaltado nuestro)</w:t>
      </w:r>
    </w:p>
    <w:p w:rsidRPr="00017850" w:rsidR="00017850" w:rsidP="00017850" w:rsidRDefault="00017850" w14:paraId="70C50C7C" w14:textId="77777777">
      <w:pPr>
        <w:jc w:val="both"/>
        <w:rPr>
          <w:rFonts w:ascii="Times New Roman" w:hAnsi="Times New Roman"/>
          <w:i/>
          <w:iCs/>
          <w:sz w:val="23"/>
          <w:szCs w:val="23"/>
          <w:lang w:val="es-ES"/>
        </w:rPr>
      </w:pPr>
      <w:r w:rsidRPr="00017850">
        <w:rPr>
          <w:rFonts w:ascii="Times New Roman" w:hAnsi="Times New Roman"/>
          <w:i/>
          <w:iCs/>
          <w:sz w:val="23"/>
          <w:szCs w:val="23"/>
          <w:lang w:val="es-ES"/>
        </w:rPr>
        <w:t>Artículo 8</w:t>
      </w:r>
      <w:proofErr w:type="gramStart"/>
      <w:r w:rsidRPr="00017850">
        <w:rPr>
          <w:rFonts w:ascii="Times New Roman" w:hAnsi="Times New Roman"/>
          <w:i/>
          <w:iCs/>
          <w:sz w:val="23"/>
          <w:szCs w:val="23"/>
          <w:lang w:val="es-ES"/>
        </w:rPr>
        <w:t>°.-</w:t>
      </w:r>
      <w:proofErr w:type="gramEnd"/>
      <w:r w:rsidRPr="00017850">
        <w:rPr>
          <w:rFonts w:ascii="Times New Roman" w:hAnsi="Times New Roman"/>
          <w:i/>
          <w:iCs/>
          <w:sz w:val="23"/>
          <w:szCs w:val="23"/>
          <w:lang w:val="es-ES"/>
        </w:rPr>
        <w:t xml:space="preserve"> Requisitos de la comunicación de incumplimiento de pago.</w:t>
      </w:r>
    </w:p>
    <w:p w:rsidRPr="00017850" w:rsidR="00017850" w:rsidP="00017850" w:rsidRDefault="00017850" w14:paraId="1D430161" w14:textId="77777777">
      <w:pPr>
        <w:jc w:val="both"/>
        <w:rPr>
          <w:rFonts w:ascii="Times New Roman" w:hAnsi="Times New Roman"/>
          <w:b/>
          <w:bCs/>
          <w:i/>
          <w:iCs/>
          <w:sz w:val="23"/>
          <w:szCs w:val="23"/>
          <w:u w:val="single"/>
          <w:lang w:val="es-ES"/>
        </w:rPr>
      </w:pPr>
      <w:r w:rsidRPr="00017850">
        <w:rPr>
          <w:rFonts w:ascii="Times New Roman" w:hAnsi="Times New Roman"/>
          <w:b/>
          <w:bCs/>
          <w:i/>
          <w:iCs/>
          <w:sz w:val="23"/>
          <w:szCs w:val="23"/>
          <w:u w:val="single"/>
          <w:lang w:val="es-ES"/>
        </w:rPr>
        <w:t xml:space="preserve">La comunicación cierta deberá cumplir con informar al asegurado, como mínimo, lo siguiente: </w:t>
      </w:r>
    </w:p>
    <w:p w:rsidRPr="00017850" w:rsidR="00017850" w:rsidP="00017850" w:rsidRDefault="00017850" w14:paraId="2E98B19E" w14:textId="77777777">
      <w:pPr>
        <w:jc w:val="both"/>
        <w:rPr>
          <w:rFonts w:ascii="Times New Roman" w:hAnsi="Times New Roman"/>
          <w:b/>
          <w:bCs/>
          <w:i/>
          <w:iCs/>
          <w:sz w:val="23"/>
          <w:szCs w:val="23"/>
          <w:u w:val="single"/>
          <w:lang w:val="es-ES"/>
        </w:rPr>
      </w:pPr>
      <w:r w:rsidRPr="00017850">
        <w:rPr>
          <w:rFonts w:ascii="Times New Roman" w:hAnsi="Times New Roman"/>
          <w:b/>
          <w:bCs/>
          <w:i/>
          <w:iCs/>
          <w:sz w:val="23"/>
          <w:szCs w:val="23"/>
          <w:u w:val="single"/>
          <w:lang w:val="es-ES"/>
        </w:rPr>
        <w:t xml:space="preserve">a) Fecha de vencimiento del pago de la prima. </w:t>
      </w:r>
    </w:p>
    <w:p w:rsidRPr="00017850" w:rsidR="00017850" w:rsidP="00017850" w:rsidRDefault="00017850" w14:paraId="32E2C9E6" w14:textId="77777777">
      <w:pPr>
        <w:jc w:val="both"/>
        <w:rPr>
          <w:rFonts w:ascii="Times New Roman" w:hAnsi="Times New Roman"/>
          <w:b/>
          <w:bCs/>
          <w:i/>
          <w:iCs/>
          <w:sz w:val="23"/>
          <w:szCs w:val="23"/>
          <w:u w:val="single"/>
          <w:lang w:val="es-ES"/>
        </w:rPr>
      </w:pPr>
      <w:r w:rsidRPr="00017850">
        <w:rPr>
          <w:rFonts w:ascii="Times New Roman" w:hAnsi="Times New Roman"/>
          <w:b/>
          <w:bCs/>
          <w:i/>
          <w:iCs/>
          <w:sz w:val="23"/>
          <w:szCs w:val="23"/>
          <w:u w:val="single"/>
          <w:lang w:val="es-ES"/>
        </w:rPr>
        <w:t xml:space="preserve">b) Plazo máximo para el pago de la prima adeudada, antes de que se produzca la suspensión de la cobertura. </w:t>
      </w:r>
    </w:p>
    <w:p w:rsidRPr="00017850" w:rsidR="00017850" w:rsidP="00017850" w:rsidRDefault="00017850" w14:paraId="41684BAE" w14:textId="77777777">
      <w:pPr>
        <w:jc w:val="both"/>
        <w:rPr>
          <w:rFonts w:ascii="Times New Roman" w:hAnsi="Times New Roman"/>
          <w:i/>
          <w:iCs/>
          <w:sz w:val="23"/>
          <w:szCs w:val="23"/>
          <w:lang w:val="es-ES"/>
        </w:rPr>
      </w:pPr>
      <w:r w:rsidRPr="00017850">
        <w:rPr>
          <w:rFonts w:ascii="Times New Roman" w:hAnsi="Times New Roman"/>
          <w:b/>
          <w:bCs/>
          <w:i/>
          <w:iCs/>
          <w:sz w:val="23"/>
          <w:szCs w:val="23"/>
          <w:u w:val="single"/>
          <w:lang w:val="es-ES"/>
        </w:rPr>
        <w:t>c) Indicar que es consecuencia de mantener impaga la prima, la suspensión de la cobertura, lo cual implica que la aseguradora no estará obligada a cubrir los siniestros ocurridos mientras la cobertura se encuentre suspendida</w:t>
      </w:r>
      <w:r w:rsidRPr="00017850">
        <w:rPr>
          <w:rFonts w:ascii="Times New Roman" w:hAnsi="Times New Roman"/>
          <w:i/>
          <w:iCs/>
          <w:sz w:val="23"/>
          <w:szCs w:val="23"/>
          <w:lang w:val="es-ES"/>
        </w:rPr>
        <w:t>.”</w:t>
      </w:r>
    </w:p>
    <w:p w:rsidRPr="00017850" w:rsidR="00017850" w:rsidP="00017850" w:rsidRDefault="00017850" w14:paraId="592C24DB" w14:textId="77777777">
      <w:pPr>
        <w:jc w:val="both"/>
        <w:rPr>
          <w:rFonts w:ascii="Times New Roman" w:hAnsi="Times New Roman"/>
          <w:b/>
          <w:i/>
          <w:iCs/>
          <w:sz w:val="23"/>
          <w:szCs w:val="23"/>
        </w:rPr>
      </w:pPr>
      <w:r w:rsidRPr="00017850">
        <w:rPr>
          <w:rFonts w:ascii="Times New Roman" w:hAnsi="Times New Roman"/>
          <w:i/>
          <w:iCs/>
          <w:sz w:val="23"/>
          <w:szCs w:val="23"/>
          <w:lang w:val="es-ES"/>
        </w:rPr>
        <w:t>(Subrayado y resaltado nuestro)</w:t>
      </w:r>
    </w:p>
    <w:p w:rsidRPr="00017850" w:rsidR="00017850" w:rsidP="00017850" w:rsidRDefault="00017850" w14:paraId="3A540694" w14:textId="77777777">
      <w:pPr>
        <w:jc w:val="both"/>
        <w:rPr>
          <w:rFonts w:ascii="Times New Roman" w:hAnsi="Times New Roman"/>
          <w:sz w:val="23"/>
          <w:szCs w:val="23"/>
          <w:lang w:val="es-ES"/>
        </w:rPr>
      </w:pPr>
      <w:r w:rsidRPr="00017850">
        <w:rPr>
          <w:rFonts w:ascii="Times New Roman" w:hAnsi="Times New Roman"/>
          <w:sz w:val="23"/>
          <w:szCs w:val="23"/>
          <w:lang w:val="es-ES"/>
        </w:rPr>
        <w:t>De las normas reproducidas puede apreciarse lo siguiente: (i) La suspensión no opera por el solo hecho de la falta de pago de la prima sino que requiere de una comunicación previa, sujeta a ciertos requisitos de fondo y forma, (</w:t>
      </w:r>
      <w:proofErr w:type="spellStart"/>
      <w:r w:rsidRPr="00017850">
        <w:rPr>
          <w:rFonts w:ascii="Times New Roman" w:hAnsi="Times New Roman"/>
          <w:sz w:val="23"/>
          <w:szCs w:val="23"/>
          <w:lang w:val="es-ES"/>
        </w:rPr>
        <w:t>ii</w:t>
      </w:r>
      <w:proofErr w:type="spellEnd"/>
      <w:r w:rsidRPr="00017850">
        <w:rPr>
          <w:rFonts w:ascii="Times New Roman" w:hAnsi="Times New Roman"/>
          <w:sz w:val="23"/>
          <w:szCs w:val="23"/>
          <w:lang w:val="es-ES"/>
        </w:rPr>
        <w:t>) la suspensión opera automáticamente transcurridos treinta (30) días desde que se remite la comunicación referida anteriormente, (</w:t>
      </w:r>
      <w:proofErr w:type="spellStart"/>
      <w:r w:rsidRPr="00017850">
        <w:rPr>
          <w:rFonts w:ascii="Times New Roman" w:hAnsi="Times New Roman"/>
          <w:sz w:val="23"/>
          <w:szCs w:val="23"/>
          <w:lang w:val="es-ES"/>
        </w:rPr>
        <w:t>iii</w:t>
      </w:r>
      <w:proofErr w:type="spellEnd"/>
      <w:r w:rsidRPr="00017850">
        <w:rPr>
          <w:rFonts w:ascii="Times New Roman" w:hAnsi="Times New Roman"/>
          <w:sz w:val="23"/>
          <w:szCs w:val="23"/>
          <w:lang w:val="es-ES"/>
        </w:rPr>
        <w:t>) la extinción, por el contrario, sí operaría por sí misma, demandando de dos requisitos: que el contratante no haya pagado la prima y que la aseguradora no haya reclamado el pago que le es debido, y (</w:t>
      </w:r>
      <w:proofErr w:type="spellStart"/>
      <w:r w:rsidRPr="00017850">
        <w:rPr>
          <w:rFonts w:ascii="Times New Roman" w:hAnsi="Times New Roman"/>
          <w:sz w:val="23"/>
          <w:szCs w:val="23"/>
          <w:lang w:val="es-ES"/>
        </w:rPr>
        <w:t>iv</w:t>
      </w:r>
      <w:proofErr w:type="spellEnd"/>
      <w:r w:rsidRPr="00017850">
        <w:rPr>
          <w:rFonts w:ascii="Times New Roman" w:hAnsi="Times New Roman"/>
          <w:sz w:val="23"/>
          <w:szCs w:val="23"/>
          <w:lang w:val="es-ES"/>
        </w:rPr>
        <w:t>) la extinción no presupondría suspensión, a diferencia de la resolución regulada expresamente por falta de pago (artículo 23 de la LCS).</w:t>
      </w:r>
    </w:p>
    <w:p w:rsidRPr="00017850" w:rsidR="00017850" w:rsidP="00017850" w:rsidRDefault="00017850" w14:paraId="76ECBCE2" w14:textId="77777777">
      <w:pPr>
        <w:jc w:val="both"/>
        <w:rPr>
          <w:rFonts w:ascii="Times New Roman" w:hAnsi="Times New Roman"/>
          <w:sz w:val="23"/>
          <w:szCs w:val="23"/>
          <w:lang w:val="es-ES"/>
        </w:rPr>
      </w:pPr>
      <w:r w:rsidRPr="00017850">
        <w:rPr>
          <w:rFonts w:ascii="Times New Roman" w:hAnsi="Times New Roman"/>
          <w:sz w:val="23"/>
          <w:szCs w:val="23"/>
          <w:lang w:val="es-ES"/>
        </w:rPr>
        <w:t xml:space="preserve">No cabe duda de que las normas citadas se apartan de un régimen de suspensión inmediata de la cobertura ante un supuesto de incumplimiento de pago de primas. </w:t>
      </w:r>
    </w:p>
    <w:p w:rsidRPr="00017850" w:rsidR="00017850" w:rsidP="00017850" w:rsidRDefault="00017850" w14:paraId="73173205" w14:textId="77777777">
      <w:pPr>
        <w:jc w:val="both"/>
        <w:rPr>
          <w:rFonts w:ascii="Times New Roman" w:hAnsi="Times New Roman"/>
          <w:sz w:val="23"/>
          <w:szCs w:val="23"/>
          <w:lang w:val="es-ES"/>
        </w:rPr>
      </w:pPr>
    </w:p>
    <w:p w:rsidRPr="00017850" w:rsidR="00017850" w:rsidP="00017850" w:rsidRDefault="00017850" w14:paraId="5BE6D6D6" w14:textId="77777777">
      <w:pPr>
        <w:jc w:val="both"/>
        <w:rPr>
          <w:rFonts w:ascii="Times New Roman" w:hAnsi="Times New Roman"/>
          <w:sz w:val="23"/>
          <w:szCs w:val="23"/>
          <w:lang w:val="es-ES"/>
        </w:rPr>
      </w:pPr>
      <w:r w:rsidRPr="00017850">
        <w:rPr>
          <w:rFonts w:ascii="Times New Roman" w:hAnsi="Times New Roman"/>
          <w:sz w:val="23"/>
          <w:szCs w:val="23"/>
          <w:lang w:val="es-ES"/>
        </w:rPr>
        <w:t xml:space="preserve">Dichas normas establecen la obligación de la aseguradora de colocar en mora al asegurado, de manera que la suspensión de cobertura sólo podrá operar cuando se haya cumplido con comunicar previamente el incumplimiento del pago de primas y sus consecuencias. </w:t>
      </w:r>
    </w:p>
    <w:p w:rsidRPr="00017850" w:rsidR="00017850" w:rsidP="00017850" w:rsidRDefault="00017850" w14:paraId="653BF7A9" w14:textId="77777777">
      <w:pPr>
        <w:jc w:val="both"/>
        <w:rPr>
          <w:rFonts w:ascii="Times New Roman" w:hAnsi="Times New Roman"/>
          <w:sz w:val="23"/>
          <w:szCs w:val="23"/>
          <w:lang w:val="es-ES"/>
        </w:rPr>
      </w:pPr>
      <w:r w:rsidRPr="00017850">
        <w:rPr>
          <w:rFonts w:ascii="Times New Roman" w:hAnsi="Times New Roman"/>
          <w:sz w:val="23"/>
          <w:szCs w:val="23"/>
          <w:lang w:val="es-ES"/>
        </w:rPr>
        <w:t xml:space="preserve">La norma legal claramente establece que para que opere la suspensión automática de la cobertura (período durante el cual la aseguradora no será responsable por los siniestros ocurridos) debe haber transcurrido un plazo de </w:t>
      </w:r>
      <w:proofErr w:type="gramStart"/>
      <w:r w:rsidRPr="00017850">
        <w:rPr>
          <w:rFonts w:ascii="Times New Roman" w:hAnsi="Times New Roman"/>
          <w:sz w:val="23"/>
          <w:szCs w:val="23"/>
          <w:lang w:val="es-ES"/>
        </w:rPr>
        <w:t>30  días</w:t>
      </w:r>
      <w:proofErr w:type="gramEnd"/>
      <w:r w:rsidRPr="00017850">
        <w:rPr>
          <w:rFonts w:ascii="Times New Roman" w:hAnsi="Times New Roman"/>
          <w:sz w:val="23"/>
          <w:szCs w:val="23"/>
          <w:lang w:val="es-ES"/>
        </w:rPr>
        <w:t xml:space="preserve">  desde  la  fecha  de  vencimiento  de  la  obligación  y,  adicionalmente,  se  requiere  comunicar  previamente  de  manera  cierta  al  asegurado  sobre  su  incumplimiento  y  sus  consecuencias.  </w:t>
      </w:r>
    </w:p>
    <w:p w:rsidRPr="00017850" w:rsidR="00017850" w:rsidP="00017850" w:rsidRDefault="00017850" w14:paraId="2D965185" w14:textId="77777777">
      <w:pPr>
        <w:jc w:val="both"/>
        <w:rPr>
          <w:rFonts w:ascii="Times New Roman" w:hAnsi="Times New Roman"/>
          <w:sz w:val="23"/>
          <w:szCs w:val="23"/>
          <w:lang w:val="es-ES"/>
        </w:rPr>
      </w:pPr>
      <w:r w:rsidRPr="00017850">
        <w:rPr>
          <w:rFonts w:ascii="Times New Roman" w:hAnsi="Times New Roman"/>
          <w:sz w:val="23"/>
          <w:szCs w:val="23"/>
          <w:lang w:val="es-ES"/>
        </w:rPr>
        <w:t>Resulta claro que la Ley del Contrato de Seguro consagra un régimen tuitivo, puesto que otorga un período de gracia de 30 días al asegurado, al mismo tiempo que copulativamente impone que para que opere dicho plazo debe existir una comunicación previa.</w:t>
      </w:r>
    </w:p>
    <w:p w:rsidRPr="00017850" w:rsidR="00017850" w:rsidP="00017850" w:rsidRDefault="00017850" w14:paraId="07C30E1A" w14:textId="77777777">
      <w:pPr>
        <w:jc w:val="both"/>
        <w:rPr>
          <w:rFonts w:ascii="Times New Roman" w:hAnsi="Times New Roman"/>
          <w:sz w:val="23"/>
          <w:szCs w:val="23"/>
          <w:lang w:val="es-ES"/>
        </w:rPr>
      </w:pPr>
      <w:r w:rsidRPr="00017850">
        <w:rPr>
          <w:rFonts w:ascii="Times New Roman" w:hAnsi="Times New Roman"/>
          <w:sz w:val="23"/>
          <w:szCs w:val="23"/>
          <w:lang w:val="es-ES"/>
        </w:rPr>
        <w:t>En tanto no se haya suspendido la cobertura, en caso de producción de un siniestro, subsiste la responsabilidad de la aseguradora, sujeta a un régimen específico para fines de cobrar lo que le fuese adeudado por prima.</w:t>
      </w:r>
    </w:p>
    <w:p w:rsidRPr="00017850" w:rsidR="00017850" w:rsidP="00017850" w:rsidRDefault="00017850" w14:paraId="74A4C9FC" w14:textId="77777777">
      <w:pPr>
        <w:jc w:val="both"/>
        <w:rPr>
          <w:rFonts w:ascii="Times New Roman" w:hAnsi="Times New Roman"/>
          <w:sz w:val="23"/>
          <w:szCs w:val="23"/>
          <w:lang w:val="es-ES"/>
        </w:rPr>
      </w:pPr>
      <w:r w:rsidRPr="00017850">
        <w:rPr>
          <w:rFonts w:ascii="Times New Roman" w:hAnsi="Times New Roman"/>
          <w:bCs/>
          <w:sz w:val="23"/>
          <w:szCs w:val="23"/>
        </w:rPr>
        <w:t xml:space="preserve">En el presente caso la aseguradora no ha demostrado que </w:t>
      </w:r>
      <w:r w:rsidRPr="00017850">
        <w:rPr>
          <w:rFonts w:ascii="Times New Roman" w:hAnsi="Times New Roman"/>
          <w:sz w:val="23"/>
          <w:szCs w:val="23"/>
          <w:lang w:val="es-ES"/>
        </w:rPr>
        <w:t>de manera oportuna, adecuada y suficiente que informó al asegurado de su incumplimiento de pago de las primas y de la eventual consecuencia de la suspensión de cobertura.</w:t>
      </w:r>
    </w:p>
    <w:p w:rsidRPr="00017850" w:rsidR="00017850" w:rsidP="00017850" w:rsidRDefault="00017850" w14:paraId="3B8F7146" w14:noSpellErr="1" w14:textId="07922058">
      <w:pPr>
        <w:jc w:val="both"/>
        <w:rPr>
          <w:rFonts w:ascii="Times New Roman" w:hAnsi="Times New Roman"/>
          <w:sz w:val="23"/>
          <w:szCs w:val="23"/>
        </w:rPr>
      </w:pPr>
      <w:r w:rsidRPr="0B09AA51" w:rsidR="35F9187B">
        <w:rPr>
          <w:rFonts w:ascii="Times New Roman" w:hAnsi="Times New Roman"/>
          <w:sz w:val="23"/>
          <w:szCs w:val="23"/>
          <w:lang w:val="es-ES"/>
        </w:rPr>
        <w:t>..................</w:t>
      </w:r>
      <w:r w:rsidRPr="0B09AA51" w:rsidR="00017850">
        <w:rPr>
          <w:rFonts w:ascii="Times New Roman" w:hAnsi="Times New Roman"/>
          <w:sz w:val="23"/>
          <w:szCs w:val="23"/>
          <w:lang w:val="es-ES"/>
        </w:rPr>
        <w:t xml:space="preserve"> no ha acreditado que comunicó al asegurado que </w:t>
      </w:r>
      <w:r w:rsidRPr="0B09AA51" w:rsidR="00017850">
        <w:rPr>
          <w:rFonts w:ascii="Times New Roman" w:hAnsi="Times New Roman"/>
          <w:sz w:val="23"/>
          <w:szCs w:val="23"/>
        </w:rPr>
        <w:t>la Póliza se suspendería si es que el reclamante no cumplía con sus obligaciones de pago. En ese sentido, no se le informó debidamente respecto de cuándo comenzaría dicha suspensión, la que se generaría 30 días después de la fecha de vencimiento de su obligación de pago.</w:t>
      </w:r>
    </w:p>
    <w:p w:rsidRPr="00017850" w:rsidR="00017850" w:rsidP="00017850" w:rsidRDefault="00017850" w14:paraId="5ED3E76A" w14:textId="77777777">
      <w:pPr>
        <w:jc w:val="both"/>
        <w:rPr>
          <w:rFonts w:ascii="Times New Roman" w:hAnsi="Times New Roman"/>
          <w:sz w:val="23"/>
          <w:szCs w:val="23"/>
        </w:rPr>
      </w:pPr>
      <w:r w:rsidRPr="00017850">
        <w:rPr>
          <w:rFonts w:ascii="Times New Roman" w:hAnsi="Times New Roman"/>
          <w:sz w:val="23"/>
          <w:szCs w:val="23"/>
        </w:rPr>
        <w:t>Por lo tanto, al amparo de lo dispuesto en el artículo 21° de la Ley del Contrato de Seguro, se concluye que la Póliza no se encontraba suspendida por la causal de incumplimiento de pago de primas, por lo que la aseguradora no se encuentra legitimada a rechazar por esa causal la cobertura solicitada por la reclamante.</w:t>
      </w:r>
    </w:p>
    <w:p w:rsidRPr="00017850" w:rsidR="00017850" w:rsidP="00017850" w:rsidRDefault="00017850" w14:paraId="79E1B608" w14:textId="77777777">
      <w:pPr>
        <w:jc w:val="both"/>
        <w:rPr>
          <w:rFonts w:ascii="Times New Roman" w:hAnsi="Times New Roman"/>
          <w:sz w:val="23"/>
          <w:szCs w:val="23"/>
        </w:rPr>
      </w:pPr>
      <w:r w:rsidRPr="00017850">
        <w:rPr>
          <w:rFonts w:ascii="Times New Roman" w:hAnsi="Times New Roman"/>
          <w:b/>
          <w:sz w:val="23"/>
          <w:szCs w:val="23"/>
          <w:u w:val="single"/>
        </w:rPr>
        <w:t xml:space="preserve">SÉTIMO: </w:t>
      </w:r>
      <w:r w:rsidRPr="00017850">
        <w:rPr>
          <w:rFonts w:ascii="Times New Roman" w:hAnsi="Times New Roman"/>
          <w:bCs/>
          <w:sz w:val="23"/>
          <w:szCs w:val="23"/>
        </w:rPr>
        <w:t>Respecto de la segunda causal</w:t>
      </w:r>
      <w:r w:rsidRPr="00017850">
        <w:rPr>
          <w:rFonts w:ascii="Times New Roman" w:hAnsi="Times New Roman"/>
          <w:sz w:val="23"/>
          <w:szCs w:val="23"/>
        </w:rPr>
        <w:t xml:space="preserve"> de rechazo de cobertura por aviso extemporáneo</w:t>
      </w:r>
      <w:r w:rsidRPr="00017850">
        <w:rPr>
          <w:rFonts w:ascii="Times New Roman" w:hAnsi="Times New Roman"/>
          <w:bCs/>
          <w:sz w:val="23"/>
          <w:szCs w:val="23"/>
        </w:rPr>
        <w:t xml:space="preserve">, corresponde </w:t>
      </w:r>
      <w:r w:rsidRPr="00017850">
        <w:rPr>
          <w:rFonts w:ascii="Times New Roman" w:hAnsi="Times New Roman"/>
          <w:sz w:val="23"/>
          <w:szCs w:val="23"/>
        </w:rPr>
        <w:t>tener en cuenta que, el artículo 68 de la Ley Nro. 29946 – Ley del Contrato de Seguro que regula lo relativo al aviso del siniestro, establece lo siguiente:</w:t>
      </w:r>
    </w:p>
    <w:p w:rsidRPr="00017850" w:rsidR="00017850" w:rsidP="00017850" w:rsidRDefault="00017850" w14:paraId="29F44CC3" w14:textId="77777777">
      <w:pPr>
        <w:jc w:val="both"/>
        <w:rPr>
          <w:rFonts w:ascii="Times New Roman" w:hAnsi="Times New Roman"/>
          <w:iCs/>
          <w:sz w:val="23"/>
          <w:szCs w:val="23"/>
        </w:rPr>
      </w:pPr>
      <w:r w:rsidRPr="00017850">
        <w:rPr>
          <w:rFonts w:ascii="Times New Roman" w:hAnsi="Times New Roman"/>
          <w:i/>
          <w:sz w:val="23"/>
          <w:szCs w:val="23"/>
        </w:rPr>
        <w:t xml:space="preserve">“El contratante el asegurado, el beneficiario, en su caso, o cualquier tercero, comunicarán al asegurador el acaecimiento del siniestro </w:t>
      </w:r>
      <w:r w:rsidRPr="00017850">
        <w:rPr>
          <w:rFonts w:ascii="Times New Roman" w:hAnsi="Times New Roman"/>
          <w:b/>
          <w:i/>
          <w:sz w:val="23"/>
          <w:szCs w:val="23"/>
        </w:rPr>
        <w:t>en los plazos que para dicho efecto establezca la Superintendencia acorde con la naturaleza o tipo de seguro</w:t>
      </w:r>
      <w:r w:rsidRPr="00017850">
        <w:rPr>
          <w:rFonts w:ascii="Times New Roman" w:hAnsi="Times New Roman"/>
          <w:i/>
          <w:sz w:val="23"/>
          <w:szCs w:val="23"/>
        </w:rPr>
        <w:t xml:space="preserve">”. </w:t>
      </w:r>
      <w:r w:rsidRPr="00017850">
        <w:rPr>
          <w:rFonts w:ascii="Times New Roman" w:hAnsi="Times New Roman"/>
          <w:iCs/>
          <w:sz w:val="23"/>
          <w:szCs w:val="23"/>
        </w:rPr>
        <w:t>(Lo resaltado es nuestro)</w:t>
      </w:r>
    </w:p>
    <w:p w:rsidRPr="00017850" w:rsidR="00017850" w:rsidP="00017850" w:rsidRDefault="00017850" w14:paraId="3812C5E0" w14:textId="77777777">
      <w:pPr>
        <w:jc w:val="both"/>
        <w:rPr>
          <w:rFonts w:ascii="Times New Roman" w:hAnsi="Times New Roman"/>
          <w:sz w:val="23"/>
          <w:szCs w:val="23"/>
        </w:rPr>
      </w:pPr>
      <w:r w:rsidRPr="00017850">
        <w:rPr>
          <w:rFonts w:ascii="Times New Roman" w:hAnsi="Times New Roman"/>
          <w:sz w:val="23"/>
          <w:szCs w:val="23"/>
        </w:rPr>
        <w:t>Con relación a dicha norma, debe destacarse, de un lado, que concede una amplísima legitimidad para fines del aviso a la aseguradora, pudiendo ser realizado por cualquier persona. En efecto, la comunicación del siniestro puede ser efectuada ya sea el asegurado, un familiar o un tercero.</w:t>
      </w:r>
    </w:p>
    <w:p w:rsidRPr="00017850" w:rsidR="00017850" w:rsidP="00017850" w:rsidRDefault="00017850" w14:paraId="3CB0F3C4" w14:textId="77777777">
      <w:pPr>
        <w:jc w:val="both"/>
        <w:rPr>
          <w:rFonts w:ascii="Times New Roman" w:hAnsi="Times New Roman"/>
          <w:sz w:val="23"/>
          <w:szCs w:val="23"/>
        </w:rPr>
      </w:pPr>
      <w:r w:rsidRPr="00017850">
        <w:rPr>
          <w:rFonts w:ascii="Times New Roman" w:hAnsi="Times New Roman"/>
          <w:sz w:val="23"/>
          <w:szCs w:val="23"/>
        </w:rPr>
        <w:t xml:space="preserve">De otro lado, también es relevante considerar que, se dispone que el respectivo plazo será fijado por la Superintendencia de Banca, Seguros y </w:t>
      </w:r>
      <w:proofErr w:type="spellStart"/>
      <w:r w:rsidRPr="00017850">
        <w:rPr>
          <w:rFonts w:ascii="Times New Roman" w:hAnsi="Times New Roman"/>
          <w:sz w:val="23"/>
          <w:szCs w:val="23"/>
        </w:rPr>
        <w:t>AFPs</w:t>
      </w:r>
      <w:proofErr w:type="spellEnd"/>
      <w:r w:rsidRPr="00017850">
        <w:rPr>
          <w:rFonts w:ascii="Times New Roman" w:hAnsi="Times New Roman"/>
          <w:sz w:val="23"/>
          <w:szCs w:val="23"/>
        </w:rPr>
        <w:t>, pero considerando la naturaleza o tipo de seguro.  Es así como el artículo 3 del Reglamento para la Gestión y Pago de Siniestros, aprobado mediante Resolución SBS Nro. 3202-2013, dispone lo siguiente:</w:t>
      </w:r>
    </w:p>
    <w:p w:rsidRPr="00017850" w:rsidR="00017850" w:rsidP="00017850" w:rsidRDefault="00017850" w14:paraId="6B846A63" w14:textId="77777777">
      <w:pPr>
        <w:jc w:val="both"/>
        <w:rPr>
          <w:rFonts w:ascii="Times New Roman" w:hAnsi="Times New Roman"/>
          <w:sz w:val="23"/>
          <w:szCs w:val="23"/>
        </w:rPr>
      </w:pPr>
    </w:p>
    <w:p w:rsidRPr="00017850" w:rsidR="00017850" w:rsidP="00017850" w:rsidRDefault="00017850" w14:paraId="51F23D0B" w14:textId="77777777">
      <w:pPr>
        <w:jc w:val="both"/>
        <w:rPr>
          <w:rFonts w:ascii="Times New Roman" w:hAnsi="Times New Roman"/>
          <w:b/>
          <w:i/>
          <w:sz w:val="23"/>
          <w:szCs w:val="23"/>
        </w:rPr>
      </w:pPr>
      <w:r w:rsidRPr="00017850">
        <w:rPr>
          <w:rFonts w:ascii="Times New Roman" w:hAnsi="Times New Roman"/>
          <w:i/>
          <w:sz w:val="23"/>
          <w:szCs w:val="23"/>
        </w:rPr>
        <w:t xml:space="preserve">“En los seguros de daños patrimoniales, el siniestro debe ser comunicado a las empresas por el contratante, el asegurado, o el beneficiario, tan pronto como se tenga conocimiento de la ocurrencia y dentro de un plazo no mayor de tres (3) días, salvo que la póliza de seguro correspondiente contemple un plazo mayor.  </w:t>
      </w:r>
      <w:r w:rsidRPr="00017850">
        <w:rPr>
          <w:rFonts w:ascii="Times New Roman" w:hAnsi="Times New Roman"/>
          <w:b/>
          <w:i/>
          <w:sz w:val="23"/>
          <w:szCs w:val="23"/>
        </w:rPr>
        <w:t>En el caso de siniestros correspondientes a los ramos de vehículos y transportes, el aviso del siniestro deberá presentase a la empresa en el más breve plazo posible.</w:t>
      </w:r>
    </w:p>
    <w:p w:rsidRPr="00017850" w:rsidR="00017850" w:rsidP="00017850" w:rsidRDefault="00017850" w14:paraId="551CAA2F" w14:textId="77777777">
      <w:pPr>
        <w:jc w:val="both"/>
        <w:rPr>
          <w:rFonts w:ascii="Times New Roman" w:hAnsi="Times New Roman"/>
          <w:i/>
          <w:sz w:val="23"/>
          <w:szCs w:val="23"/>
        </w:rPr>
      </w:pPr>
      <w:r w:rsidRPr="00017850">
        <w:rPr>
          <w:rFonts w:ascii="Times New Roman" w:hAnsi="Times New Roman"/>
          <w:i/>
          <w:sz w:val="23"/>
          <w:szCs w:val="23"/>
        </w:rPr>
        <w:tab/>
      </w:r>
      <w:r w:rsidRPr="00017850">
        <w:rPr>
          <w:rFonts w:ascii="Times New Roman" w:hAnsi="Times New Roman"/>
          <w:i/>
          <w:sz w:val="23"/>
          <w:szCs w:val="23"/>
        </w:rPr>
        <w:t>(…)</w:t>
      </w:r>
      <w:proofErr w:type="gramStart"/>
      <w:r w:rsidRPr="00017850">
        <w:rPr>
          <w:rFonts w:ascii="Times New Roman" w:hAnsi="Times New Roman"/>
          <w:i/>
          <w:sz w:val="23"/>
          <w:szCs w:val="23"/>
        </w:rPr>
        <w:t>”.</w:t>
      </w:r>
      <w:r w:rsidRPr="00017850">
        <w:rPr>
          <w:rFonts w:ascii="Times New Roman" w:hAnsi="Times New Roman"/>
          <w:iCs/>
          <w:sz w:val="23"/>
          <w:szCs w:val="23"/>
        </w:rPr>
        <w:t>(</w:t>
      </w:r>
      <w:proofErr w:type="gramEnd"/>
      <w:r w:rsidRPr="00017850">
        <w:rPr>
          <w:rFonts w:ascii="Times New Roman" w:hAnsi="Times New Roman"/>
          <w:iCs/>
          <w:sz w:val="23"/>
          <w:szCs w:val="23"/>
        </w:rPr>
        <w:t>Lo resaltado es nuestro)</w:t>
      </w:r>
    </w:p>
    <w:p w:rsidRPr="00017850" w:rsidR="00017850" w:rsidP="00017850" w:rsidRDefault="00017850" w14:paraId="38988CEE" w14:textId="77777777">
      <w:pPr>
        <w:jc w:val="both"/>
        <w:rPr>
          <w:rFonts w:ascii="Times New Roman" w:hAnsi="Times New Roman"/>
          <w:sz w:val="23"/>
          <w:szCs w:val="23"/>
        </w:rPr>
      </w:pPr>
      <w:r w:rsidRPr="00017850">
        <w:rPr>
          <w:rFonts w:ascii="Times New Roman" w:hAnsi="Times New Roman"/>
          <w:sz w:val="23"/>
          <w:szCs w:val="23"/>
        </w:rPr>
        <w:t>Conforme a lo anterior, la disposición contractual sobre oportunidad del aviso del siniestro reproduce la regulación específica dispuesta por la SBS, en concordancia con la Ley del Contrato de Seguro.</w:t>
      </w:r>
    </w:p>
    <w:p w:rsidRPr="00017850" w:rsidR="00017850" w:rsidP="00017850" w:rsidRDefault="00017850" w14:paraId="31B7640D" w14:textId="77777777">
      <w:pPr>
        <w:jc w:val="both"/>
        <w:rPr>
          <w:rFonts w:ascii="Times New Roman" w:hAnsi="Times New Roman"/>
          <w:sz w:val="23"/>
          <w:szCs w:val="23"/>
        </w:rPr>
      </w:pPr>
      <w:r w:rsidRPr="00017850">
        <w:rPr>
          <w:rFonts w:ascii="Times New Roman" w:hAnsi="Times New Roman"/>
          <w:sz w:val="23"/>
          <w:szCs w:val="23"/>
        </w:rPr>
        <w:t>Por lo tanto, no cabe duda de que la carga de dar aviso del siniestro es de fuente no sólo contractual sino legal.</w:t>
      </w:r>
    </w:p>
    <w:p w:rsidRPr="00017850" w:rsidR="00017850" w:rsidP="00017850" w:rsidRDefault="00017850" w14:paraId="2B70E7ED" w14:textId="77777777">
      <w:pPr>
        <w:jc w:val="both"/>
        <w:rPr>
          <w:rFonts w:ascii="Times New Roman" w:hAnsi="Times New Roman"/>
          <w:sz w:val="23"/>
          <w:szCs w:val="23"/>
        </w:rPr>
      </w:pPr>
      <w:r w:rsidRPr="00017850">
        <w:rPr>
          <w:rFonts w:ascii="Times New Roman" w:hAnsi="Times New Roman"/>
          <w:sz w:val="23"/>
          <w:szCs w:val="23"/>
        </w:rPr>
        <w:t xml:space="preserve">De otro lado, las Condiciones Generales de la póliza establecen que la inobservancia de las cargas previstas en la póliza (entre ellas, la relativa al aviso de ocurrencia del siniestro), deriva en la pérdida del derecho indemnizatorio de mediar culpa inexcusable (esto es, al menos, por culpa inexcusable, dado que la misma consecuencia procede tratándose de la inobservancia dolosa).  </w:t>
      </w:r>
    </w:p>
    <w:p w:rsidRPr="00017850" w:rsidR="00017850" w:rsidP="00017850" w:rsidRDefault="00017850" w14:paraId="7673AB5E" w14:textId="77777777">
      <w:pPr>
        <w:jc w:val="both"/>
        <w:rPr>
          <w:rFonts w:ascii="Times New Roman" w:hAnsi="Times New Roman"/>
          <w:sz w:val="23"/>
          <w:szCs w:val="23"/>
        </w:rPr>
      </w:pPr>
      <w:r w:rsidRPr="00017850">
        <w:rPr>
          <w:rFonts w:ascii="Times New Roman" w:hAnsi="Times New Roman"/>
          <w:sz w:val="23"/>
          <w:szCs w:val="23"/>
        </w:rPr>
        <w:t>Lo anterior encuentra sustento en el artículo 72 de la Ley Nro. 29946 – Ley del Contrato de Seguro:</w:t>
      </w:r>
    </w:p>
    <w:p w:rsidRPr="00017850" w:rsidR="00017850" w:rsidP="00017850" w:rsidRDefault="00017850" w14:paraId="7453EEB8" w14:textId="77777777">
      <w:pPr>
        <w:jc w:val="both"/>
        <w:rPr>
          <w:rFonts w:ascii="Times New Roman" w:hAnsi="Times New Roman"/>
          <w:i/>
          <w:sz w:val="23"/>
          <w:szCs w:val="23"/>
        </w:rPr>
      </w:pPr>
      <w:r w:rsidRPr="00017850">
        <w:rPr>
          <w:rFonts w:ascii="Times New Roman" w:hAnsi="Times New Roman"/>
          <w:i/>
          <w:sz w:val="23"/>
          <w:szCs w:val="23"/>
        </w:rPr>
        <w:t>“Si el incumplimiento obedece a dolo del sujeto gravado con la carga, pierde el derecho a ser indemnizado.</w:t>
      </w:r>
    </w:p>
    <w:p w:rsidRPr="00017850" w:rsidR="00017850" w:rsidP="00017850" w:rsidRDefault="00017850" w14:paraId="52F9F3FE" w14:textId="77777777">
      <w:pPr>
        <w:jc w:val="both"/>
        <w:rPr>
          <w:rFonts w:ascii="Times New Roman" w:hAnsi="Times New Roman"/>
          <w:b/>
          <w:i/>
          <w:sz w:val="23"/>
          <w:szCs w:val="23"/>
        </w:rPr>
      </w:pPr>
      <w:r w:rsidRPr="00017850">
        <w:rPr>
          <w:rFonts w:ascii="Times New Roman" w:hAnsi="Times New Roman"/>
          <w:b/>
          <w:i/>
          <w:sz w:val="23"/>
          <w:szCs w:val="23"/>
        </w:rPr>
        <w:t>Si el incumplimiento obedece a culpa inexcusable del sujeto gravado con la carga, pierde el derecho a ser indemnizado, salvo que la falta de aviso no haya influido en la verificación o determinación del siniestro.</w:t>
      </w:r>
    </w:p>
    <w:p w:rsidRPr="00017850" w:rsidR="00017850" w:rsidP="00017850" w:rsidRDefault="00017850" w14:paraId="5A122785" w14:textId="77777777">
      <w:pPr>
        <w:jc w:val="both"/>
        <w:rPr>
          <w:rFonts w:ascii="Times New Roman" w:hAnsi="Times New Roman"/>
          <w:i/>
          <w:sz w:val="23"/>
          <w:szCs w:val="23"/>
        </w:rPr>
      </w:pPr>
      <w:r w:rsidRPr="00017850">
        <w:rPr>
          <w:rFonts w:ascii="Times New Roman" w:hAnsi="Times New Roman"/>
          <w:i/>
          <w:sz w:val="23"/>
          <w:szCs w:val="23"/>
        </w:rPr>
        <w:t>Esta sanción no se producirá si se prueba que el asegurador ha tenido conocimiento del siniestro o de sus circunstancias por otro medio”.</w:t>
      </w:r>
      <w:r w:rsidRPr="00017850">
        <w:rPr>
          <w:rFonts w:ascii="Times New Roman" w:hAnsi="Times New Roman"/>
          <w:iCs/>
          <w:sz w:val="23"/>
          <w:szCs w:val="23"/>
        </w:rPr>
        <w:t xml:space="preserve"> (Lo resaltado es nuestro)</w:t>
      </w:r>
    </w:p>
    <w:p w:rsidRPr="00017850" w:rsidR="00017850" w:rsidP="00017850" w:rsidRDefault="00017850" w14:paraId="0ECD93A4" w14:textId="77777777">
      <w:pPr>
        <w:jc w:val="both"/>
        <w:rPr>
          <w:rFonts w:ascii="Times New Roman" w:hAnsi="Times New Roman"/>
          <w:sz w:val="23"/>
          <w:szCs w:val="23"/>
        </w:rPr>
      </w:pPr>
      <w:r w:rsidRPr="00017850">
        <w:rPr>
          <w:rFonts w:ascii="Times New Roman" w:hAnsi="Times New Roman"/>
          <w:sz w:val="23"/>
          <w:szCs w:val="23"/>
        </w:rPr>
        <w:t>Conforme a ley, la caducidad por inobservancia del aviso oportuno (“en el más breve plazo”) sobre la ocurrencia del siniestro sólo opera en la medida que dicha inobservancia sea imputable por dolo o por culpa inexcusable, caso este último en que además se requiere que la falta de aviso oportuno hubiese influenciado en la verificación o determinación del siniestro, esto es, hubiese afectado gravemente a la aseguradora.</w:t>
      </w:r>
    </w:p>
    <w:p w:rsidRPr="00017850" w:rsidR="00017850" w:rsidP="00017850" w:rsidRDefault="00017850" w14:paraId="14A56325" w14:textId="77777777">
      <w:pPr>
        <w:jc w:val="both"/>
        <w:rPr>
          <w:rFonts w:ascii="Times New Roman" w:hAnsi="Times New Roman"/>
          <w:sz w:val="23"/>
          <w:szCs w:val="23"/>
        </w:rPr>
      </w:pPr>
      <w:r w:rsidRPr="00017850">
        <w:rPr>
          <w:rFonts w:ascii="Times New Roman" w:hAnsi="Times New Roman"/>
          <w:sz w:val="23"/>
          <w:szCs w:val="23"/>
        </w:rPr>
        <w:t xml:space="preserve">En atención a dichas exigencias legales deben entenderse los alcances del numeral 6.1.5 de las Condiciones Generales de la póliza.  </w:t>
      </w:r>
    </w:p>
    <w:p w:rsidR="00017850" w:rsidP="00017850" w:rsidRDefault="00017850" w14:paraId="442BD211" w14:textId="77777777">
      <w:pPr>
        <w:jc w:val="both"/>
        <w:rPr>
          <w:rFonts w:ascii="Times New Roman" w:hAnsi="Times New Roman"/>
          <w:sz w:val="23"/>
          <w:szCs w:val="23"/>
        </w:rPr>
      </w:pPr>
      <w:r w:rsidRPr="00017850">
        <w:rPr>
          <w:rFonts w:ascii="Times New Roman" w:hAnsi="Times New Roman"/>
          <w:sz w:val="23"/>
          <w:szCs w:val="23"/>
        </w:rPr>
        <w:t>En el presente caso, conforme a lo expresado en la comunicación de rechazo, en los descargos y a lo tratado en la audiencia de vista, la aseguradora atribuye culpa inexcusable en la falta de observancia oportuna de la carga bajo análisis, destacando correlativamente la grave afectación a su interés al desconocer finalmente las efectivas circunstancias en que ocurrió el siniestro reclamado.</w:t>
      </w:r>
    </w:p>
    <w:p w:rsidRPr="00017850" w:rsidR="00017850" w:rsidP="00017850" w:rsidRDefault="00017850" w14:paraId="57DA89BE" w14:textId="6F8B0AD7">
      <w:pPr>
        <w:jc w:val="both"/>
        <w:rPr>
          <w:rFonts w:ascii="Times New Roman" w:hAnsi="Times New Roman"/>
          <w:sz w:val="23"/>
          <w:szCs w:val="23"/>
        </w:rPr>
      </w:pPr>
      <w:r w:rsidRPr="00017850">
        <w:rPr>
          <w:rFonts w:ascii="Times New Roman" w:hAnsi="Times New Roman"/>
          <w:sz w:val="23"/>
          <w:szCs w:val="23"/>
        </w:rPr>
        <w:t xml:space="preserve">Es un hecho no controvertible que el aviso a la aseguradora, no se realizó el mismo día del accidente de la unidad asegurada, esto es el 23 de marzo de </w:t>
      </w:r>
      <w:proofErr w:type="gramStart"/>
      <w:r w:rsidRPr="00017850">
        <w:rPr>
          <w:rFonts w:ascii="Times New Roman" w:hAnsi="Times New Roman"/>
          <w:sz w:val="23"/>
          <w:szCs w:val="23"/>
        </w:rPr>
        <w:t>2024,  sino</w:t>
      </w:r>
      <w:proofErr w:type="gramEnd"/>
      <w:r w:rsidRPr="00017850">
        <w:rPr>
          <w:rFonts w:ascii="Times New Roman" w:hAnsi="Times New Roman"/>
          <w:sz w:val="23"/>
          <w:szCs w:val="23"/>
        </w:rPr>
        <w:t xml:space="preserve"> después de tres días de ocurrido el siniestro, lo que violenta la exigencia contractual y legal de inmediatez. </w:t>
      </w:r>
    </w:p>
    <w:p w:rsidRPr="00017850" w:rsidR="00017850" w:rsidP="00017850" w:rsidRDefault="00017850" w14:paraId="25A9B8DA" w14:textId="77777777">
      <w:pPr>
        <w:jc w:val="both"/>
        <w:rPr>
          <w:rFonts w:ascii="Times New Roman" w:hAnsi="Times New Roman"/>
          <w:sz w:val="23"/>
          <w:szCs w:val="23"/>
        </w:rPr>
      </w:pPr>
      <w:r w:rsidRPr="00017850">
        <w:rPr>
          <w:rFonts w:ascii="Times New Roman" w:hAnsi="Times New Roman"/>
          <w:sz w:val="23"/>
          <w:szCs w:val="23"/>
        </w:rPr>
        <w:t>Siendo objetivamente extemporáneo el aviso, debe evaluarse adicionalmente si ello es atribuible a título de culpa inexcusable.</w:t>
      </w:r>
    </w:p>
    <w:p w:rsidRPr="00017850" w:rsidR="00017850" w:rsidP="00017850" w:rsidRDefault="00017850" w14:paraId="6329F70B" w14:textId="77777777">
      <w:pPr>
        <w:jc w:val="both"/>
        <w:rPr>
          <w:rFonts w:ascii="Times New Roman" w:hAnsi="Times New Roman"/>
          <w:sz w:val="23"/>
          <w:szCs w:val="23"/>
        </w:rPr>
      </w:pPr>
      <w:r w:rsidRPr="00017850">
        <w:rPr>
          <w:rFonts w:ascii="Times New Roman" w:hAnsi="Times New Roman"/>
          <w:sz w:val="23"/>
          <w:szCs w:val="23"/>
        </w:rPr>
        <w:t xml:space="preserve">De acuerdo con el criterio uniforme ya desarrollado por este colegiado, en el marco del contrato de seguro que corresponde a un acuerdo de previsión, orientado a la obtención de cobertura respecto de los riesgos identificados, lo que se espera mínimamente del asegurado, como titular del interés asegurable, es que cuide de seguir el procedimiento establecido en la póliza en caso de siniestro, o que cuide que se siga el mismo, para no afectar su propio derecho.  Las cargas, como situaciones jurídicas subjetivas activas y de desventaja implican finalmente que, quien debe observarlas, debe diligentemente realizar determinada actuación para impedir que se perjudique su propio interés, su pretensión indemnizatoria.  </w:t>
      </w:r>
    </w:p>
    <w:p w:rsidRPr="00017850" w:rsidR="00017850" w:rsidP="00017850" w:rsidRDefault="00017850" w14:paraId="39E04FA7" w14:textId="77777777">
      <w:pPr>
        <w:jc w:val="both"/>
        <w:rPr>
          <w:rFonts w:ascii="Times New Roman" w:hAnsi="Times New Roman"/>
          <w:sz w:val="23"/>
          <w:szCs w:val="23"/>
        </w:rPr>
      </w:pPr>
      <w:r w:rsidRPr="00017850">
        <w:rPr>
          <w:rFonts w:ascii="Times New Roman" w:hAnsi="Times New Roman"/>
          <w:sz w:val="23"/>
          <w:szCs w:val="23"/>
        </w:rPr>
        <w:t xml:space="preserve">Conforme a ello, y teniendo en cuenta que cualquier persona puede </w:t>
      </w:r>
      <w:proofErr w:type="gramStart"/>
      <w:r w:rsidRPr="00017850">
        <w:rPr>
          <w:rFonts w:ascii="Times New Roman" w:hAnsi="Times New Roman"/>
          <w:sz w:val="23"/>
          <w:szCs w:val="23"/>
        </w:rPr>
        <w:t>dar aviso</w:t>
      </w:r>
      <w:proofErr w:type="gramEnd"/>
      <w:r w:rsidRPr="00017850">
        <w:rPr>
          <w:rFonts w:ascii="Times New Roman" w:hAnsi="Times New Roman"/>
          <w:sz w:val="23"/>
          <w:szCs w:val="23"/>
        </w:rPr>
        <w:t xml:space="preserve"> a la aseguradora, debe concluirse que medió al menos una actuación negligente, esto es, culpa inexcusable del asegurado al no encomendar a un tercero que realice el aviso en su nombre.</w:t>
      </w:r>
    </w:p>
    <w:p w:rsidRPr="00017850" w:rsidR="00017850" w:rsidP="00017850" w:rsidRDefault="00017850" w14:paraId="11660CFE" w14:textId="77777777">
      <w:pPr>
        <w:jc w:val="both"/>
        <w:rPr>
          <w:rFonts w:ascii="Times New Roman" w:hAnsi="Times New Roman"/>
          <w:sz w:val="23"/>
          <w:szCs w:val="23"/>
          <w:lang w:val="es-ES"/>
        </w:rPr>
      </w:pPr>
      <w:r w:rsidRPr="00017850">
        <w:rPr>
          <w:rFonts w:ascii="Times New Roman" w:hAnsi="Times New Roman"/>
          <w:sz w:val="23"/>
          <w:szCs w:val="23"/>
          <w:lang w:val="es-ES"/>
        </w:rPr>
        <w:t xml:space="preserve">Respecto a la relevancia de la carga inobservada debe considerarse que, en el marco de un contrato, cada parte asume un conjunto de situaciones jurídicas subjetivas, las mismas que pueden representar situaciones de ventaja o de desventaja, o poseer naturaleza activa o pasiva.  Ello se aplica al contrato de seguro, como contrato sinalagmático.  El asegurado adquiere débitos, cargas, deberes de conducta, derechos potestativos, etc.  El débito emblemático es pagar la prima convenida (exigible al asegurado de ser el contratante de la póliza).  Las cargas pueden presentarse en diversos momentos tomando como referencia al siniestro; así podemos referirnos a cargas </w:t>
      </w:r>
      <w:r w:rsidRPr="00017850">
        <w:rPr>
          <w:rFonts w:ascii="Times New Roman" w:hAnsi="Times New Roman"/>
          <w:i/>
          <w:sz w:val="23"/>
          <w:szCs w:val="23"/>
          <w:lang w:val="es-ES"/>
        </w:rPr>
        <w:t>ex ante</w:t>
      </w:r>
      <w:r w:rsidRPr="00017850">
        <w:rPr>
          <w:rFonts w:ascii="Times New Roman" w:hAnsi="Times New Roman"/>
          <w:sz w:val="23"/>
          <w:szCs w:val="23"/>
          <w:lang w:val="es-ES"/>
        </w:rPr>
        <w:t xml:space="preserve"> y </w:t>
      </w:r>
      <w:r w:rsidRPr="00017850">
        <w:rPr>
          <w:rFonts w:ascii="Times New Roman" w:hAnsi="Times New Roman"/>
          <w:i/>
          <w:sz w:val="23"/>
          <w:szCs w:val="23"/>
          <w:lang w:val="es-ES"/>
        </w:rPr>
        <w:t>ex post</w:t>
      </w:r>
      <w:r w:rsidRPr="00017850">
        <w:rPr>
          <w:rFonts w:ascii="Times New Roman" w:hAnsi="Times New Roman"/>
          <w:sz w:val="23"/>
          <w:szCs w:val="23"/>
          <w:lang w:val="es-ES"/>
        </w:rPr>
        <w:t xml:space="preserve">.  Una carga </w:t>
      </w:r>
      <w:r w:rsidRPr="00017850">
        <w:rPr>
          <w:rFonts w:ascii="Times New Roman" w:hAnsi="Times New Roman"/>
          <w:i/>
          <w:sz w:val="23"/>
          <w:szCs w:val="23"/>
          <w:lang w:val="es-ES"/>
        </w:rPr>
        <w:t>ex ante</w:t>
      </w:r>
      <w:r w:rsidRPr="00017850">
        <w:rPr>
          <w:rFonts w:ascii="Times New Roman" w:hAnsi="Times New Roman"/>
          <w:sz w:val="23"/>
          <w:szCs w:val="23"/>
          <w:lang w:val="es-ES"/>
        </w:rPr>
        <w:t xml:space="preserve"> es, por ejemplo, informar sobre cualquier situación de agravación del riesgo aceptado, dado que sobre el particular hay una asimetría informativa, ya que el asegurado conoce, o está en capacidad de conocer mejor, tales situaciones, por lo que debe lealmente informarlas.  Una carga </w:t>
      </w:r>
      <w:r w:rsidRPr="00017850">
        <w:rPr>
          <w:rFonts w:ascii="Times New Roman" w:hAnsi="Times New Roman"/>
          <w:i/>
          <w:sz w:val="23"/>
          <w:szCs w:val="23"/>
          <w:lang w:val="es-ES"/>
        </w:rPr>
        <w:t>ex post</w:t>
      </w:r>
      <w:r w:rsidRPr="00017850">
        <w:rPr>
          <w:rFonts w:ascii="Times New Roman" w:hAnsi="Times New Roman"/>
          <w:sz w:val="23"/>
          <w:szCs w:val="23"/>
          <w:lang w:val="es-ES"/>
        </w:rPr>
        <w:t xml:space="preserve"> es precisamente </w:t>
      </w:r>
      <w:proofErr w:type="gramStart"/>
      <w:r w:rsidRPr="00017850">
        <w:rPr>
          <w:rFonts w:ascii="Times New Roman" w:hAnsi="Times New Roman"/>
          <w:sz w:val="23"/>
          <w:szCs w:val="23"/>
          <w:lang w:val="es-ES"/>
        </w:rPr>
        <w:t>dar aviso</w:t>
      </w:r>
      <w:proofErr w:type="gramEnd"/>
      <w:r w:rsidRPr="00017850">
        <w:rPr>
          <w:rFonts w:ascii="Times New Roman" w:hAnsi="Times New Roman"/>
          <w:sz w:val="23"/>
          <w:szCs w:val="23"/>
          <w:lang w:val="es-ES"/>
        </w:rPr>
        <w:t xml:space="preserve"> a la aseguradora sobre la ocurrencia de los hechos que puedan derivar en la exigencia de cobertura, esto es, en la materialización del riesgo.</w:t>
      </w:r>
    </w:p>
    <w:p w:rsidRPr="00017850" w:rsidR="00017850" w:rsidP="00017850" w:rsidRDefault="00017850" w14:paraId="788AE5CD" w14:textId="77777777">
      <w:pPr>
        <w:jc w:val="both"/>
        <w:rPr>
          <w:rFonts w:ascii="Times New Roman" w:hAnsi="Times New Roman"/>
          <w:sz w:val="23"/>
          <w:szCs w:val="23"/>
          <w:lang w:val="es-ES"/>
        </w:rPr>
      </w:pPr>
      <w:r w:rsidRPr="00017850">
        <w:rPr>
          <w:rFonts w:ascii="Times New Roman" w:hAnsi="Times New Roman"/>
          <w:sz w:val="23"/>
          <w:szCs w:val="23"/>
          <w:lang w:val="es-ES"/>
        </w:rPr>
        <w:t>Conforme a lo anterior, no observar la carga de dar aviso inmediato, en el más breve plazo posible, de la ocurrencia del siniestro afecta irremediablemente a la aseguradora y, en razón de ello, mediando al menos culpa inexcusable (dejar de hacer aquello que debería hacerse esencialmente, atendiendo a las circunstancias), tanto la Ley del Contrato de Seguro como el contrato en el presente caso, sancionan la caducidad o perecimiento del derecho indemnizatorio del asegurado, quedando la aseguradora liberada de responsabilidad.</w:t>
      </w:r>
    </w:p>
    <w:p w:rsidRPr="00017850" w:rsidR="00017850" w:rsidP="00017850" w:rsidRDefault="00017850" w14:paraId="7F414894" w14:textId="77777777">
      <w:pPr>
        <w:jc w:val="both"/>
        <w:rPr>
          <w:rFonts w:ascii="Times New Roman" w:hAnsi="Times New Roman"/>
          <w:sz w:val="23"/>
          <w:szCs w:val="23"/>
        </w:rPr>
      </w:pPr>
      <w:r w:rsidRPr="00017850">
        <w:rPr>
          <w:rFonts w:ascii="Times New Roman" w:hAnsi="Times New Roman"/>
          <w:sz w:val="23"/>
          <w:szCs w:val="23"/>
        </w:rPr>
        <w:t>En consecuencia, respecto a la extemporaneidad del aviso a la aseguradora sobre ocurrencia del siniestro, por el análisis precedente, se concluye que el rechazo de cobertura es legítimo.</w:t>
      </w:r>
    </w:p>
    <w:p w:rsidRPr="00017850" w:rsidR="00017850" w:rsidP="00017850" w:rsidRDefault="00017850" w14:paraId="0372C3E2" w14:textId="77777777">
      <w:pPr>
        <w:jc w:val="both"/>
        <w:rPr>
          <w:rFonts w:ascii="Times New Roman" w:hAnsi="Times New Roman"/>
          <w:b/>
          <w:sz w:val="23"/>
          <w:szCs w:val="23"/>
        </w:rPr>
      </w:pPr>
      <w:r w:rsidRPr="00017850">
        <w:rPr>
          <w:rFonts w:ascii="Times New Roman" w:hAnsi="Times New Roman"/>
          <w:b/>
          <w:sz w:val="23"/>
          <w:szCs w:val="23"/>
        </w:rPr>
        <w:t xml:space="preserve">Atendiendo a lo expresado, este colegiado </w:t>
      </w:r>
      <w:r w:rsidRPr="00017850">
        <w:rPr>
          <w:rFonts w:ascii="Times New Roman" w:hAnsi="Times New Roman"/>
          <w:b/>
          <w:sz w:val="23"/>
          <w:szCs w:val="23"/>
          <w:lang w:val="es-ES"/>
        </w:rPr>
        <w:t>concluye su apreciación razonada y conjunta al amparo de lo establecido en su Reglamento estimando que existen razones fundadas para estimar que el rechazo de cobertura al cual se contrae la presente reclamación posee legitimidad, por lo que</w:t>
      </w:r>
      <w:r w:rsidRPr="00017850">
        <w:rPr>
          <w:rFonts w:ascii="Times New Roman" w:hAnsi="Times New Roman"/>
          <w:b/>
          <w:sz w:val="23"/>
          <w:szCs w:val="23"/>
        </w:rPr>
        <w:t xml:space="preserve"> </w:t>
      </w:r>
    </w:p>
    <w:p w:rsidRPr="00017850" w:rsidR="00017850" w:rsidP="00017850" w:rsidRDefault="00017850" w14:paraId="64D1649B" w14:textId="77777777">
      <w:pPr>
        <w:jc w:val="both"/>
        <w:rPr>
          <w:rFonts w:ascii="Times New Roman" w:hAnsi="Times New Roman"/>
          <w:b/>
          <w:sz w:val="23"/>
          <w:szCs w:val="23"/>
        </w:rPr>
      </w:pPr>
    </w:p>
    <w:p w:rsidRPr="00017850" w:rsidR="00017850" w:rsidP="00017850" w:rsidRDefault="00017850" w14:paraId="500D6E4B" w14:textId="77777777">
      <w:pPr>
        <w:jc w:val="both"/>
        <w:rPr>
          <w:rFonts w:ascii="Times New Roman" w:hAnsi="Times New Roman"/>
          <w:sz w:val="23"/>
          <w:szCs w:val="23"/>
          <w:lang w:val="es-ES"/>
        </w:rPr>
      </w:pPr>
      <w:r w:rsidRPr="00017850">
        <w:rPr>
          <w:rFonts w:ascii="Times New Roman" w:hAnsi="Times New Roman"/>
          <w:b/>
          <w:sz w:val="23"/>
          <w:szCs w:val="23"/>
        </w:rPr>
        <w:t>RESUELVE:</w:t>
      </w:r>
    </w:p>
    <w:p w:rsidRPr="00017850" w:rsidR="00017850" w:rsidP="0B09AA51" w:rsidRDefault="00017850" w14:paraId="5B274BBE" w14:noSpellErr="1" w14:textId="69C6B2F4">
      <w:pPr>
        <w:jc w:val="both"/>
        <w:rPr>
          <w:rFonts w:ascii="Times New Roman" w:hAnsi="Times New Roman"/>
          <w:b w:val="1"/>
          <w:bCs w:val="1"/>
          <w:sz w:val="23"/>
          <w:szCs w:val="23"/>
        </w:rPr>
      </w:pPr>
      <w:r w:rsidRPr="0B09AA51" w:rsidR="00017850">
        <w:rPr>
          <w:rFonts w:ascii="Times New Roman" w:hAnsi="Times New Roman"/>
          <w:sz w:val="23"/>
          <w:szCs w:val="23"/>
        </w:rPr>
        <w:t xml:space="preserve">Declarar </w:t>
      </w:r>
      <w:r w:rsidRPr="0B09AA51" w:rsidR="00017850">
        <w:rPr>
          <w:rFonts w:ascii="Times New Roman" w:hAnsi="Times New Roman"/>
          <w:b w:val="1"/>
          <w:bCs w:val="1"/>
          <w:sz w:val="23"/>
          <w:szCs w:val="23"/>
        </w:rPr>
        <w:t xml:space="preserve">INFUNDADO </w:t>
      </w:r>
      <w:r w:rsidRPr="0B09AA51" w:rsidR="00017850">
        <w:rPr>
          <w:rFonts w:ascii="Times New Roman" w:hAnsi="Times New Roman"/>
          <w:sz w:val="23"/>
          <w:szCs w:val="23"/>
        </w:rPr>
        <w:t xml:space="preserve">la reclamación presentada por </w:t>
      </w:r>
      <w:r w:rsidRPr="0B09AA51" w:rsidR="0C208A6C">
        <w:rPr>
          <w:rFonts w:ascii="Times New Roman" w:hAnsi="Times New Roman"/>
          <w:b w:val="1"/>
          <w:bCs w:val="1"/>
          <w:sz w:val="23"/>
          <w:szCs w:val="23"/>
          <w:lang w:val="es-MX"/>
        </w:rPr>
        <w:t>............................................................................</w:t>
      </w:r>
      <w:r w:rsidRPr="0B09AA51" w:rsidR="00017850">
        <w:rPr>
          <w:rFonts w:ascii="Times New Roman" w:hAnsi="Times New Roman"/>
          <w:sz w:val="23"/>
          <w:szCs w:val="23"/>
        </w:rPr>
        <w:t xml:space="preserve">, </w:t>
      </w:r>
      <w:r w:rsidRPr="0B09AA51" w:rsidR="00017850">
        <w:rPr>
          <w:rFonts w:ascii="Times New Roman" w:hAnsi="Times New Roman"/>
          <w:sz w:val="23"/>
          <w:szCs w:val="23"/>
          <w:lang w:val="es-ES"/>
        </w:rPr>
        <w:t>quedando a salvo su derecho de recurrir ante las instancias que consideren pertinentes.</w:t>
      </w:r>
    </w:p>
    <w:p w:rsidRPr="001A4E48" w:rsidR="007E21A6" w:rsidP="00F3482B" w:rsidRDefault="00D00142" w14:paraId="2DE1D337" w14:textId="4EA3ACFD">
      <w:pPr>
        <w:jc w:val="right"/>
        <w:rPr>
          <w:rFonts w:ascii="Times New Roman" w:hAnsi="Times New Roman"/>
          <w:sz w:val="23"/>
          <w:szCs w:val="23"/>
        </w:rPr>
      </w:pPr>
      <w:r w:rsidRPr="001A4E48">
        <w:rPr>
          <w:rFonts w:ascii="Times New Roman" w:hAnsi="Times New Roman"/>
          <w:sz w:val="23"/>
          <w:szCs w:val="23"/>
        </w:rPr>
        <w:t>Lima,</w:t>
      </w:r>
      <w:r w:rsidRPr="001A4E48" w:rsidR="0034229F">
        <w:rPr>
          <w:rFonts w:ascii="Times New Roman" w:hAnsi="Times New Roman"/>
          <w:sz w:val="23"/>
          <w:szCs w:val="23"/>
        </w:rPr>
        <w:t xml:space="preserve"> </w:t>
      </w:r>
      <w:r w:rsidRPr="001A4E48" w:rsidR="00D92C30">
        <w:rPr>
          <w:rFonts w:ascii="Times New Roman" w:hAnsi="Times New Roman"/>
          <w:sz w:val="23"/>
          <w:szCs w:val="23"/>
        </w:rPr>
        <w:t>2</w:t>
      </w:r>
      <w:r w:rsidRPr="001A4E48" w:rsidR="005E0729">
        <w:rPr>
          <w:rFonts w:ascii="Times New Roman" w:hAnsi="Times New Roman"/>
          <w:sz w:val="23"/>
          <w:szCs w:val="23"/>
        </w:rPr>
        <w:t>8</w:t>
      </w:r>
      <w:r w:rsidRPr="001A4E48" w:rsidR="00621292">
        <w:rPr>
          <w:rFonts w:ascii="Times New Roman" w:hAnsi="Times New Roman"/>
          <w:sz w:val="23"/>
          <w:szCs w:val="23"/>
        </w:rPr>
        <w:t xml:space="preserve"> </w:t>
      </w:r>
      <w:r w:rsidRPr="001A4E48">
        <w:rPr>
          <w:rFonts w:ascii="Times New Roman" w:hAnsi="Times New Roman"/>
          <w:sz w:val="23"/>
          <w:szCs w:val="23"/>
        </w:rPr>
        <w:t>de</w:t>
      </w:r>
      <w:r w:rsidRPr="001A4E48" w:rsidR="00D874A8">
        <w:rPr>
          <w:rFonts w:ascii="Times New Roman" w:hAnsi="Times New Roman"/>
          <w:sz w:val="23"/>
          <w:szCs w:val="23"/>
        </w:rPr>
        <w:t xml:space="preserve"> octubre</w:t>
      </w:r>
      <w:r w:rsidRPr="001A4E48" w:rsidR="000A7BCF">
        <w:rPr>
          <w:rFonts w:ascii="Times New Roman" w:hAnsi="Times New Roman"/>
          <w:sz w:val="23"/>
          <w:szCs w:val="23"/>
        </w:rPr>
        <w:t xml:space="preserve"> </w:t>
      </w:r>
      <w:r w:rsidRPr="001A4E48">
        <w:rPr>
          <w:rFonts w:ascii="Times New Roman" w:hAnsi="Times New Roman"/>
          <w:sz w:val="23"/>
          <w:szCs w:val="23"/>
        </w:rPr>
        <w:t>de 202</w:t>
      </w:r>
      <w:r w:rsidRPr="001A4E48" w:rsidR="00BF08F9">
        <w:rPr>
          <w:rFonts w:ascii="Times New Roman" w:hAnsi="Times New Roman"/>
          <w:sz w:val="23"/>
          <w:szCs w:val="23"/>
        </w:rPr>
        <w:t>4</w:t>
      </w:r>
    </w:p>
    <w:p w:rsidRPr="001A4E48" w:rsidR="00922F8A" w:rsidP="001A4E48" w:rsidRDefault="00922F8A" w14:paraId="370F6A9B" w14:textId="45F0A5A9">
      <w:pPr>
        <w:jc w:val="center"/>
        <w:rPr>
          <w:rFonts w:ascii="Times New Roman" w:hAnsi="Times New Roman"/>
          <w:b/>
          <w:bCs/>
          <w:i/>
          <w:iCs/>
          <w:sz w:val="23"/>
          <w:szCs w:val="23"/>
          <w:lang w:val="es-ES_tradnl"/>
        </w:rPr>
      </w:pPr>
      <w:r w:rsidRPr="001A4E48">
        <w:rPr>
          <w:rFonts w:ascii="Times New Roman" w:hAnsi="Times New Roman"/>
          <w:b/>
          <w:bCs/>
          <w:i/>
          <w:iCs/>
          <w:sz w:val="23"/>
          <w:szCs w:val="23"/>
          <w:lang w:val="es-ES_tradnl"/>
        </w:rPr>
        <w:t>La Secretaría Técnica certifica que la presente resolución cuenta con el voto de los vocales cuyos nombres figuran en el presente documento.</w:t>
      </w:r>
    </w:p>
    <w:p w:rsidRPr="001A4E48" w:rsidR="00922F8A" w:rsidP="00922F8A" w:rsidRDefault="00922F8A" w14:paraId="0EA87B59" w14:textId="77777777">
      <w:pPr>
        <w:spacing w:line="240" w:lineRule="auto"/>
        <w:jc w:val="center"/>
        <w:rPr>
          <w:rFonts w:ascii="Times New Roman" w:hAnsi="Times New Roman"/>
          <w:b/>
          <w:bCs/>
          <w:sz w:val="23"/>
          <w:szCs w:val="23"/>
        </w:rPr>
      </w:pPr>
      <w:r w:rsidRPr="001A4E48">
        <w:rPr>
          <w:rFonts w:ascii="Times New Roman" w:hAnsi="Times New Roman"/>
          <w:b/>
          <w:bCs/>
          <w:sz w:val="23"/>
          <w:szCs w:val="23"/>
        </w:rPr>
        <w:t xml:space="preserve">Rolando Eyzaguirre </w:t>
      </w:r>
      <w:proofErr w:type="spellStart"/>
      <w:r w:rsidRPr="001A4E48">
        <w:rPr>
          <w:rFonts w:ascii="Times New Roman" w:hAnsi="Times New Roman"/>
          <w:b/>
          <w:bCs/>
          <w:sz w:val="23"/>
          <w:szCs w:val="23"/>
        </w:rPr>
        <w:t>Maccan</w:t>
      </w:r>
      <w:proofErr w:type="spellEnd"/>
      <w:r w:rsidRPr="001A4E48">
        <w:rPr>
          <w:rFonts w:ascii="Times New Roman" w:hAnsi="Times New Roman"/>
          <w:b/>
          <w:bCs/>
          <w:sz w:val="23"/>
          <w:szCs w:val="23"/>
        </w:rPr>
        <w:t xml:space="preserve"> – </w:t>
      </w:r>
      <w:proofErr w:type="gramStart"/>
      <w:r w:rsidRPr="001A4E48">
        <w:rPr>
          <w:rFonts w:ascii="Times New Roman" w:hAnsi="Times New Roman"/>
          <w:b/>
          <w:bCs/>
          <w:sz w:val="23"/>
          <w:szCs w:val="23"/>
        </w:rPr>
        <w:t>Presidente</w:t>
      </w:r>
      <w:proofErr w:type="gramEnd"/>
    </w:p>
    <w:p w:rsidRPr="001A4E48" w:rsidR="00922F8A" w:rsidP="00922F8A" w:rsidRDefault="00922F8A" w14:paraId="7090BA3B" w14:textId="77777777">
      <w:pPr>
        <w:spacing w:line="240" w:lineRule="auto"/>
        <w:jc w:val="center"/>
        <w:rPr>
          <w:rFonts w:ascii="Times New Roman" w:hAnsi="Times New Roman"/>
          <w:b/>
          <w:bCs/>
          <w:sz w:val="23"/>
          <w:szCs w:val="23"/>
        </w:rPr>
      </w:pPr>
      <w:r w:rsidRPr="001A4E48">
        <w:rPr>
          <w:rFonts w:ascii="Times New Roman" w:hAnsi="Times New Roman"/>
          <w:b/>
          <w:bCs/>
          <w:sz w:val="23"/>
          <w:szCs w:val="23"/>
        </w:rPr>
        <w:t>María Eugenia Valdez Fernández Baca – Vocal</w:t>
      </w:r>
    </w:p>
    <w:p w:rsidRPr="001A4E48" w:rsidR="00922F8A" w:rsidP="00922F8A" w:rsidRDefault="00922F8A" w14:paraId="7B454C69" w14:textId="77777777">
      <w:pPr>
        <w:spacing w:line="240" w:lineRule="auto"/>
        <w:jc w:val="center"/>
        <w:rPr>
          <w:rFonts w:ascii="Times New Roman" w:hAnsi="Times New Roman"/>
          <w:b/>
          <w:bCs/>
          <w:sz w:val="23"/>
          <w:szCs w:val="23"/>
        </w:rPr>
      </w:pPr>
      <w:r w:rsidRPr="001A4E48">
        <w:rPr>
          <w:rFonts w:ascii="Times New Roman" w:hAnsi="Times New Roman"/>
          <w:b/>
          <w:bCs/>
          <w:sz w:val="23"/>
          <w:szCs w:val="23"/>
        </w:rPr>
        <w:t>Omar Alfaro Villanueva – Vocal</w:t>
      </w:r>
    </w:p>
    <w:p w:rsidRPr="001A4E48" w:rsidR="00922F8A" w:rsidP="00922F8A" w:rsidRDefault="00922F8A" w14:paraId="2C915666" w14:textId="77777777">
      <w:pPr>
        <w:spacing w:line="240" w:lineRule="auto"/>
        <w:jc w:val="center"/>
        <w:rPr>
          <w:rFonts w:ascii="Times New Roman" w:hAnsi="Times New Roman"/>
          <w:sz w:val="23"/>
          <w:szCs w:val="23"/>
          <w:lang w:val="es-MX"/>
        </w:rPr>
      </w:pPr>
      <w:r w:rsidRPr="001A4E48">
        <w:rPr>
          <w:rFonts w:ascii="Times New Roman" w:hAnsi="Times New Roman"/>
          <w:b/>
          <w:bCs/>
          <w:sz w:val="23"/>
          <w:szCs w:val="23"/>
        </w:rPr>
        <w:t>Gonzalo Abad del Busto - Vocal</w:t>
      </w:r>
    </w:p>
    <w:p w:rsidRPr="001A4E48" w:rsidR="000341A4" w:rsidP="001D5079" w:rsidRDefault="000341A4" w14:paraId="78842804" w14:textId="77777777">
      <w:pPr>
        <w:jc w:val="both"/>
        <w:rPr>
          <w:rFonts w:ascii="Times New Roman" w:hAnsi="Times New Roman"/>
          <w:sz w:val="23"/>
          <w:szCs w:val="23"/>
        </w:rPr>
      </w:pPr>
    </w:p>
    <w:p w:rsidRPr="001A4E48" w:rsidR="0089374D" w:rsidRDefault="0089374D" w14:paraId="7A3A0BC6" w14:textId="77777777">
      <w:pPr>
        <w:rPr>
          <w:rFonts w:ascii="Times New Roman" w:hAnsi="Times New Roman"/>
          <w:sz w:val="23"/>
          <w:szCs w:val="23"/>
        </w:rPr>
      </w:pPr>
    </w:p>
    <w:sectPr w:rsidRPr="001A4E48" w:rsidR="0089374D" w:rsidSect="0072788D">
      <w:headerReference w:type="default" r:id="rId8"/>
      <w:footerReference w:type="default" r:id="rId9"/>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07056" w:rsidP="00722F1A" w:rsidRDefault="00007056" w14:paraId="75051A60" w14:textId="77777777">
      <w:pPr>
        <w:spacing w:after="0" w:line="240" w:lineRule="auto"/>
      </w:pPr>
      <w:r>
        <w:separator/>
      </w:r>
    </w:p>
  </w:endnote>
  <w:endnote w:type="continuationSeparator" w:id="0">
    <w:p w:rsidR="00007056" w:rsidP="00722F1A" w:rsidRDefault="00007056" w14:paraId="10556D1A" w14:textId="77777777">
      <w:pPr>
        <w:spacing w:after="0" w:line="240" w:lineRule="auto"/>
      </w:pPr>
      <w:r>
        <w:continuationSeparator/>
      </w:r>
    </w:p>
  </w:endnote>
  <w:endnote w:type="continuationNotice" w:id="1">
    <w:p w:rsidR="00007056" w:rsidRDefault="00007056" w14:paraId="1ED4569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07056" w:rsidP="00722F1A" w:rsidRDefault="00007056" w14:paraId="677E490A" w14:textId="77777777">
      <w:pPr>
        <w:spacing w:after="0" w:line="240" w:lineRule="auto"/>
      </w:pPr>
      <w:r>
        <w:separator/>
      </w:r>
    </w:p>
  </w:footnote>
  <w:footnote w:type="continuationSeparator" w:id="0">
    <w:p w:rsidR="00007056" w:rsidP="00722F1A" w:rsidRDefault="00007056" w14:paraId="0A7CE13F" w14:textId="77777777">
      <w:pPr>
        <w:spacing w:after="0" w:line="240" w:lineRule="auto"/>
      </w:pPr>
      <w:r>
        <w:continuationSeparator/>
      </w:r>
    </w:p>
  </w:footnote>
  <w:footnote w:type="continuationNotice" w:id="1">
    <w:p w:rsidR="00007056" w:rsidRDefault="00007056" w14:paraId="098D741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04B7D83"/>
    <w:multiLevelType w:val="hybridMultilevel"/>
    <w:tmpl w:val="5D94715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3"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5682466"/>
    <w:multiLevelType w:val="hybridMultilevel"/>
    <w:tmpl w:val="E252F84A"/>
    <w:lvl w:ilvl="0" w:tplc="D4ECE9AA">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078F2983"/>
    <w:multiLevelType w:val="hybridMultilevel"/>
    <w:tmpl w:val="1F6255FC"/>
    <w:lvl w:ilvl="0" w:tplc="280A0017">
      <w:start w:val="9"/>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7"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1429195D"/>
    <w:multiLevelType w:val="hybridMultilevel"/>
    <w:tmpl w:val="6338CCD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11" w15:restartNumberingAfterBreak="0">
    <w:nsid w:val="1AB37C9A"/>
    <w:multiLevelType w:val="hybridMultilevel"/>
    <w:tmpl w:val="E26010C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13" w15:restartNumberingAfterBreak="0">
    <w:nsid w:val="1B622F52"/>
    <w:multiLevelType w:val="hybridMultilevel"/>
    <w:tmpl w:val="E26010C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3A94BC9"/>
    <w:multiLevelType w:val="hybridMultilevel"/>
    <w:tmpl w:val="9EB4082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3AE7A58"/>
    <w:multiLevelType w:val="hybridMultilevel"/>
    <w:tmpl w:val="03E0017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75E0055"/>
    <w:multiLevelType w:val="hybridMultilevel"/>
    <w:tmpl w:val="5D94715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300451DF"/>
    <w:multiLevelType w:val="hybridMultilevel"/>
    <w:tmpl w:val="AC54923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12175B1"/>
    <w:multiLevelType w:val="hybridMultilevel"/>
    <w:tmpl w:val="5D9C918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333A70DA"/>
    <w:multiLevelType w:val="hybridMultilevel"/>
    <w:tmpl w:val="65BAED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514049E"/>
    <w:multiLevelType w:val="hybridMultilevel"/>
    <w:tmpl w:val="CA48B836"/>
    <w:lvl w:ilvl="0" w:tplc="6136F41E">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4" w15:restartNumberingAfterBreak="0">
    <w:nsid w:val="39165026"/>
    <w:multiLevelType w:val="hybridMultilevel"/>
    <w:tmpl w:val="DF7067E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9257F06"/>
    <w:multiLevelType w:val="hybridMultilevel"/>
    <w:tmpl w:val="D31C583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3A660A85"/>
    <w:multiLevelType w:val="hybridMultilevel"/>
    <w:tmpl w:val="DF3807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0DF764F"/>
    <w:multiLevelType w:val="hybridMultilevel"/>
    <w:tmpl w:val="F31AD5AA"/>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441471CA"/>
    <w:multiLevelType w:val="hybridMultilevel"/>
    <w:tmpl w:val="B7F0E4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1" w15:restartNumberingAfterBreak="0">
    <w:nsid w:val="46F85196"/>
    <w:multiLevelType w:val="hybridMultilevel"/>
    <w:tmpl w:val="DF7067E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4D7E2861"/>
    <w:multiLevelType w:val="hybridMultilevel"/>
    <w:tmpl w:val="59F6AC3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4E5D150F"/>
    <w:multiLevelType w:val="hybridMultilevel"/>
    <w:tmpl w:val="C8667D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E671DFF"/>
    <w:multiLevelType w:val="hybridMultilevel"/>
    <w:tmpl w:val="E33405C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4FA95EE6"/>
    <w:multiLevelType w:val="hybridMultilevel"/>
    <w:tmpl w:val="6338CC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5130548C"/>
    <w:multiLevelType w:val="hybridMultilevel"/>
    <w:tmpl w:val="35F8B45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9"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1" w15:restartNumberingAfterBreak="0">
    <w:nsid w:val="58236CE6"/>
    <w:multiLevelType w:val="hybridMultilevel"/>
    <w:tmpl w:val="6096BE8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59AC665B"/>
    <w:multiLevelType w:val="hybridMultilevel"/>
    <w:tmpl w:val="90069AA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5E8274AB"/>
    <w:multiLevelType w:val="hybridMultilevel"/>
    <w:tmpl w:val="5D9C91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5F3946AC"/>
    <w:multiLevelType w:val="hybridMultilevel"/>
    <w:tmpl w:val="D31C583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5" w15:restartNumberingAfterBreak="0">
    <w:nsid w:val="60781AB0"/>
    <w:multiLevelType w:val="hybridMultilevel"/>
    <w:tmpl w:val="988E2EF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669C3A0A"/>
    <w:multiLevelType w:val="hybridMultilevel"/>
    <w:tmpl w:val="DF38077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68026355"/>
    <w:multiLevelType w:val="hybridMultilevel"/>
    <w:tmpl w:val="E33405C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9"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0" w15:restartNumberingAfterBreak="0">
    <w:nsid w:val="747A3CB4"/>
    <w:multiLevelType w:val="hybridMultilevel"/>
    <w:tmpl w:val="59C451A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1" w15:restartNumberingAfterBreak="0">
    <w:nsid w:val="747C7783"/>
    <w:multiLevelType w:val="hybridMultilevel"/>
    <w:tmpl w:val="EDB2676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2" w15:restartNumberingAfterBreak="0">
    <w:nsid w:val="74A07A30"/>
    <w:multiLevelType w:val="hybridMultilevel"/>
    <w:tmpl w:val="E33405C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3" w15:restartNumberingAfterBreak="0">
    <w:nsid w:val="74BC1706"/>
    <w:multiLevelType w:val="hybridMultilevel"/>
    <w:tmpl w:val="D26644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4" w15:restartNumberingAfterBreak="0">
    <w:nsid w:val="78A9375E"/>
    <w:multiLevelType w:val="hybridMultilevel"/>
    <w:tmpl w:val="46B03AAE"/>
    <w:lvl w:ilvl="0" w:tplc="73EA56D8">
      <w:start w:val="1"/>
      <w:numFmt w:val="decimal"/>
      <w:lvlText w:val="%1)"/>
      <w:lvlJc w:val="left"/>
      <w:pPr>
        <w:ind w:left="720" w:hanging="360"/>
      </w:pPr>
      <w:rPr>
        <w:rFonts w:ascii="Times New Roman" w:hAnsi="Times New Roman" w:cs="Times New Roman" w:eastAsiaTheme="minorEastAsia"/>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5" w15:restartNumberingAfterBreak="0">
    <w:nsid w:val="79632FA7"/>
    <w:multiLevelType w:val="hybridMultilevel"/>
    <w:tmpl w:val="35A2052E"/>
    <w:lvl w:ilvl="0" w:tplc="A912CCF4">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6" w15:restartNumberingAfterBreak="0">
    <w:nsid w:val="7BE430E5"/>
    <w:multiLevelType w:val="hybridMultilevel"/>
    <w:tmpl w:val="F0B4E9B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7"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8" w15:restartNumberingAfterBreak="0">
    <w:nsid w:val="7EDE62C6"/>
    <w:multiLevelType w:val="hybridMultilevel"/>
    <w:tmpl w:val="7D8C0604"/>
    <w:lvl w:ilvl="0" w:tplc="9E629116">
      <w:start w:val="1"/>
      <w:numFmt w:val="lowerRoman"/>
      <w:lvlText w:val="(%1)"/>
      <w:lvlJc w:val="left"/>
      <w:pPr>
        <w:ind w:left="1080" w:hanging="720"/>
      </w:pPr>
      <w:rPr>
        <w:sz w:val="24"/>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9" w15:restartNumberingAfterBreak="0">
    <w:nsid w:val="7F622B61"/>
    <w:multiLevelType w:val="hybridMultilevel"/>
    <w:tmpl w:val="5F9EC8B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0" w15:restartNumberingAfterBreak="0">
    <w:nsid w:val="7FF36C47"/>
    <w:multiLevelType w:val="hybridMultilevel"/>
    <w:tmpl w:val="DE90BCFA"/>
    <w:lvl w:ilvl="0" w:tplc="3C3E8E34">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num w:numId="1" w16cid:durableId="2122912052">
    <w:abstractNumId w:val="0"/>
  </w:num>
  <w:num w:numId="2" w16cid:durableId="12439084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23"/>
  </w:num>
  <w:num w:numId="7" w16cid:durableId="19736016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30"/>
  </w:num>
  <w:num w:numId="12" w16cid:durableId="1692608256">
    <w:abstractNumId w:val="7"/>
  </w:num>
  <w:num w:numId="13" w16cid:durableId="10877255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49"/>
  </w:num>
  <w:num w:numId="15" w16cid:durableId="6071262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40"/>
  </w:num>
  <w:num w:numId="17" w16cid:durableId="7595234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6"/>
  </w:num>
  <w:num w:numId="19" w16cid:durableId="945044862">
    <w:abstractNumId w:val="10"/>
  </w:num>
  <w:num w:numId="20" w16cid:durableId="898712734">
    <w:abstractNumId w:val="38"/>
  </w:num>
  <w:num w:numId="21" w16cid:durableId="14100749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57"/>
  </w:num>
  <w:num w:numId="23" w16cid:durableId="1603605893">
    <w:abstractNumId w:val="4"/>
  </w:num>
  <w:num w:numId="24" w16cid:durableId="173920800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31603569">
    <w:abstractNumId w:val="4"/>
  </w:num>
  <w:num w:numId="26" w16cid:durableId="18860203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874614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948590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919599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6278448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9863177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36147376">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28047004">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1155538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789332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407420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6350347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8748468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1282354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2633965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1444567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83858619">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0465460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554218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53549488">
    <w:abstractNumId w:val="8"/>
  </w:num>
  <w:num w:numId="46" w16cid:durableId="1523088259">
    <w:abstractNumId w:val="17"/>
  </w:num>
  <w:num w:numId="47" w16cid:durableId="17735867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7764898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43760261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225795640">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48844692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95413937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581137753">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39262766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5755405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64688529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9518060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34736892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1633919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603923842">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76199246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82143247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045981300">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465083536">
    <w:abstractNumId w:val="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07056"/>
    <w:rsid w:val="00010A11"/>
    <w:rsid w:val="00015903"/>
    <w:rsid w:val="00017850"/>
    <w:rsid w:val="000201AA"/>
    <w:rsid w:val="000227FD"/>
    <w:rsid w:val="00023A12"/>
    <w:rsid w:val="00025508"/>
    <w:rsid w:val="00025724"/>
    <w:rsid w:val="00025E30"/>
    <w:rsid w:val="000303B6"/>
    <w:rsid w:val="00031F0F"/>
    <w:rsid w:val="000329BA"/>
    <w:rsid w:val="000341A4"/>
    <w:rsid w:val="00037822"/>
    <w:rsid w:val="00040F0F"/>
    <w:rsid w:val="00043955"/>
    <w:rsid w:val="00050CC2"/>
    <w:rsid w:val="00053495"/>
    <w:rsid w:val="00053FF9"/>
    <w:rsid w:val="0005658F"/>
    <w:rsid w:val="00056E10"/>
    <w:rsid w:val="00057C1F"/>
    <w:rsid w:val="0006070E"/>
    <w:rsid w:val="00065DB0"/>
    <w:rsid w:val="00072DC0"/>
    <w:rsid w:val="00072E77"/>
    <w:rsid w:val="00074170"/>
    <w:rsid w:val="00075BED"/>
    <w:rsid w:val="00076043"/>
    <w:rsid w:val="00080950"/>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3E03"/>
    <w:rsid w:val="000C4E83"/>
    <w:rsid w:val="000D06BF"/>
    <w:rsid w:val="000E14A6"/>
    <w:rsid w:val="000E1BAE"/>
    <w:rsid w:val="000E29AE"/>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348"/>
    <w:rsid w:val="00163666"/>
    <w:rsid w:val="0016703A"/>
    <w:rsid w:val="001700F1"/>
    <w:rsid w:val="00173030"/>
    <w:rsid w:val="00173308"/>
    <w:rsid w:val="00180E23"/>
    <w:rsid w:val="00181367"/>
    <w:rsid w:val="00181784"/>
    <w:rsid w:val="00184444"/>
    <w:rsid w:val="00185516"/>
    <w:rsid w:val="00187FCB"/>
    <w:rsid w:val="00190DC3"/>
    <w:rsid w:val="0019297C"/>
    <w:rsid w:val="0019479B"/>
    <w:rsid w:val="00194FAA"/>
    <w:rsid w:val="0019552A"/>
    <w:rsid w:val="00197A32"/>
    <w:rsid w:val="001A1A0C"/>
    <w:rsid w:val="001A2C08"/>
    <w:rsid w:val="001A4E48"/>
    <w:rsid w:val="001A6119"/>
    <w:rsid w:val="001A6FD9"/>
    <w:rsid w:val="001B19E2"/>
    <w:rsid w:val="001B1C2B"/>
    <w:rsid w:val="001B2E7B"/>
    <w:rsid w:val="001B5CDE"/>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E5710"/>
    <w:rsid w:val="001F4171"/>
    <w:rsid w:val="001F4833"/>
    <w:rsid w:val="001F5220"/>
    <w:rsid w:val="001F5485"/>
    <w:rsid w:val="002021B2"/>
    <w:rsid w:val="00203146"/>
    <w:rsid w:val="00206222"/>
    <w:rsid w:val="00210165"/>
    <w:rsid w:val="00210FFE"/>
    <w:rsid w:val="00211CA2"/>
    <w:rsid w:val="0021509B"/>
    <w:rsid w:val="00221164"/>
    <w:rsid w:val="002219B0"/>
    <w:rsid w:val="00221E3C"/>
    <w:rsid w:val="002221D9"/>
    <w:rsid w:val="00223964"/>
    <w:rsid w:val="00226DB9"/>
    <w:rsid w:val="002313AB"/>
    <w:rsid w:val="00232054"/>
    <w:rsid w:val="00232114"/>
    <w:rsid w:val="00232267"/>
    <w:rsid w:val="00233543"/>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4D68"/>
    <w:rsid w:val="002D5755"/>
    <w:rsid w:val="002D6AC5"/>
    <w:rsid w:val="002D7167"/>
    <w:rsid w:val="002D7D52"/>
    <w:rsid w:val="002E464C"/>
    <w:rsid w:val="002F2037"/>
    <w:rsid w:val="002F56FD"/>
    <w:rsid w:val="00310439"/>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0C5"/>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3A57"/>
    <w:rsid w:val="00404BDC"/>
    <w:rsid w:val="00406BCF"/>
    <w:rsid w:val="00407368"/>
    <w:rsid w:val="0040773B"/>
    <w:rsid w:val="00407A18"/>
    <w:rsid w:val="004111C9"/>
    <w:rsid w:val="00411C9C"/>
    <w:rsid w:val="00414702"/>
    <w:rsid w:val="00417E39"/>
    <w:rsid w:val="004202DC"/>
    <w:rsid w:val="004205D2"/>
    <w:rsid w:val="004206EE"/>
    <w:rsid w:val="00426947"/>
    <w:rsid w:val="00427834"/>
    <w:rsid w:val="00430735"/>
    <w:rsid w:val="0044595E"/>
    <w:rsid w:val="00446F01"/>
    <w:rsid w:val="00454FD1"/>
    <w:rsid w:val="0045636B"/>
    <w:rsid w:val="004571A0"/>
    <w:rsid w:val="004646D6"/>
    <w:rsid w:val="00464821"/>
    <w:rsid w:val="00466D00"/>
    <w:rsid w:val="00467F3C"/>
    <w:rsid w:val="0047277D"/>
    <w:rsid w:val="004739D5"/>
    <w:rsid w:val="00480302"/>
    <w:rsid w:val="00481B0F"/>
    <w:rsid w:val="00482C24"/>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1A"/>
    <w:rsid w:val="004B4F66"/>
    <w:rsid w:val="004B6207"/>
    <w:rsid w:val="004B6665"/>
    <w:rsid w:val="004B7F72"/>
    <w:rsid w:val="004C0B81"/>
    <w:rsid w:val="004C7131"/>
    <w:rsid w:val="004D32FA"/>
    <w:rsid w:val="004E09C5"/>
    <w:rsid w:val="004E2072"/>
    <w:rsid w:val="004E2A3F"/>
    <w:rsid w:val="004F0094"/>
    <w:rsid w:val="004F1A61"/>
    <w:rsid w:val="004F3EBD"/>
    <w:rsid w:val="004F5873"/>
    <w:rsid w:val="00503030"/>
    <w:rsid w:val="00503F64"/>
    <w:rsid w:val="00524DC5"/>
    <w:rsid w:val="005303A9"/>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336"/>
    <w:rsid w:val="005745B9"/>
    <w:rsid w:val="00574E09"/>
    <w:rsid w:val="005805CF"/>
    <w:rsid w:val="00583138"/>
    <w:rsid w:val="00583AAA"/>
    <w:rsid w:val="00584164"/>
    <w:rsid w:val="00584BAE"/>
    <w:rsid w:val="00584D4D"/>
    <w:rsid w:val="00584F14"/>
    <w:rsid w:val="005865CA"/>
    <w:rsid w:val="00587B74"/>
    <w:rsid w:val="00587CC2"/>
    <w:rsid w:val="0059013F"/>
    <w:rsid w:val="005942BE"/>
    <w:rsid w:val="005945F7"/>
    <w:rsid w:val="00595511"/>
    <w:rsid w:val="005A1BF7"/>
    <w:rsid w:val="005A5404"/>
    <w:rsid w:val="005A5F3C"/>
    <w:rsid w:val="005A6F5E"/>
    <w:rsid w:val="005B1319"/>
    <w:rsid w:val="005B7527"/>
    <w:rsid w:val="005C2472"/>
    <w:rsid w:val="005D470E"/>
    <w:rsid w:val="005E0729"/>
    <w:rsid w:val="005E076E"/>
    <w:rsid w:val="005E455C"/>
    <w:rsid w:val="005E526B"/>
    <w:rsid w:val="005E6AC3"/>
    <w:rsid w:val="005E6AE4"/>
    <w:rsid w:val="005F28DE"/>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51DB4"/>
    <w:rsid w:val="006550D8"/>
    <w:rsid w:val="00655C05"/>
    <w:rsid w:val="00664D34"/>
    <w:rsid w:val="006677FB"/>
    <w:rsid w:val="006700A3"/>
    <w:rsid w:val="006712E8"/>
    <w:rsid w:val="00673E6F"/>
    <w:rsid w:val="00674D55"/>
    <w:rsid w:val="00676995"/>
    <w:rsid w:val="00681A20"/>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D4FA0"/>
    <w:rsid w:val="006D60CA"/>
    <w:rsid w:val="006E215D"/>
    <w:rsid w:val="006E5DDC"/>
    <w:rsid w:val="006F001C"/>
    <w:rsid w:val="006F309C"/>
    <w:rsid w:val="006F5F21"/>
    <w:rsid w:val="00706A1A"/>
    <w:rsid w:val="00711C57"/>
    <w:rsid w:val="0071399D"/>
    <w:rsid w:val="0071585D"/>
    <w:rsid w:val="00717281"/>
    <w:rsid w:val="00722F1A"/>
    <w:rsid w:val="007245C2"/>
    <w:rsid w:val="0072563C"/>
    <w:rsid w:val="00726106"/>
    <w:rsid w:val="0072788D"/>
    <w:rsid w:val="00734A73"/>
    <w:rsid w:val="00740529"/>
    <w:rsid w:val="00741BD2"/>
    <w:rsid w:val="00741FAE"/>
    <w:rsid w:val="00745323"/>
    <w:rsid w:val="00747942"/>
    <w:rsid w:val="007540D0"/>
    <w:rsid w:val="007649EE"/>
    <w:rsid w:val="00766307"/>
    <w:rsid w:val="00766E78"/>
    <w:rsid w:val="00767297"/>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3E34"/>
    <w:rsid w:val="007B4101"/>
    <w:rsid w:val="007B48E1"/>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4488"/>
    <w:rsid w:val="007F5817"/>
    <w:rsid w:val="007F5B4F"/>
    <w:rsid w:val="00801C5F"/>
    <w:rsid w:val="00803158"/>
    <w:rsid w:val="008041CD"/>
    <w:rsid w:val="008050AA"/>
    <w:rsid w:val="008054F9"/>
    <w:rsid w:val="00805B57"/>
    <w:rsid w:val="00806576"/>
    <w:rsid w:val="00814ECD"/>
    <w:rsid w:val="008156DD"/>
    <w:rsid w:val="0081637E"/>
    <w:rsid w:val="0081715A"/>
    <w:rsid w:val="00820F79"/>
    <w:rsid w:val="00826317"/>
    <w:rsid w:val="00830643"/>
    <w:rsid w:val="00831CCC"/>
    <w:rsid w:val="008371AD"/>
    <w:rsid w:val="00837965"/>
    <w:rsid w:val="00842964"/>
    <w:rsid w:val="008467F7"/>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80966"/>
    <w:rsid w:val="00880FE1"/>
    <w:rsid w:val="008813C6"/>
    <w:rsid w:val="008815C6"/>
    <w:rsid w:val="00884239"/>
    <w:rsid w:val="0088680E"/>
    <w:rsid w:val="00891422"/>
    <w:rsid w:val="0089374D"/>
    <w:rsid w:val="008953F2"/>
    <w:rsid w:val="008A29AF"/>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2F8A"/>
    <w:rsid w:val="0092351B"/>
    <w:rsid w:val="00923F4E"/>
    <w:rsid w:val="009278EB"/>
    <w:rsid w:val="009322AE"/>
    <w:rsid w:val="00936470"/>
    <w:rsid w:val="00937046"/>
    <w:rsid w:val="00940963"/>
    <w:rsid w:val="009437E1"/>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3BA5"/>
    <w:rsid w:val="00A151A2"/>
    <w:rsid w:val="00A17B8F"/>
    <w:rsid w:val="00A209BF"/>
    <w:rsid w:val="00A20CA1"/>
    <w:rsid w:val="00A2495F"/>
    <w:rsid w:val="00A265AA"/>
    <w:rsid w:val="00A27659"/>
    <w:rsid w:val="00A27C06"/>
    <w:rsid w:val="00A30166"/>
    <w:rsid w:val="00A32C5D"/>
    <w:rsid w:val="00A3337F"/>
    <w:rsid w:val="00A33AF1"/>
    <w:rsid w:val="00A3452D"/>
    <w:rsid w:val="00A36289"/>
    <w:rsid w:val="00A368F4"/>
    <w:rsid w:val="00A405FD"/>
    <w:rsid w:val="00A40FB5"/>
    <w:rsid w:val="00A47E1A"/>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A83"/>
    <w:rsid w:val="00A95D6E"/>
    <w:rsid w:val="00A96C6E"/>
    <w:rsid w:val="00A96EB1"/>
    <w:rsid w:val="00A97C02"/>
    <w:rsid w:val="00AA13DB"/>
    <w:rsid w:val="00AA2571"/>
    <w:rsid w:val="00AA2D27"/>
    <w:rsid w:val="00AA32FE"/>
    <w:rsid w:val="00AA41DA"/>
    <w:rsid w:val="00AA5EA6"/>
    <w:rsid w:val="00AB4A3C"/>
    <w:rsid w:val="00AB6141"/>
    <w:rsid w:val="00AB7740"/>
    <w:rsid w:val="00AC1B51"/>
    <w:rsid w:val="00AC37F0"/>
    <w:rsid w:val="00AC65B1"/>
    <w:rsid w:val="00AC7A61"/>
    <w:rsid w:val="00AD07E0"/>
    <w:rsid w:val="00AD28BA"/>
    <w:rsid w:val="00AD56AF"/>
    <w:rsid w:val="00AD5D04"/>
    <w:rsid w:val="00AD7E43"/>
    <w:rsid w:val="00AE3B71"/>
    <w:rsid w:val="00AE5BA1"/>
    <w:rsid w:val="00AE5C6D"/>
    <w:rsid w:val="00AE5CE3"/>
    <w:rsid w:val="00AF23F0"/>
    <w:rsid w:val="00AF51BE"/>
    <w:rsid w:val="00AF57F2"/>
    <w:rsid w:val="00AF7C02"/>
    <w:rsid w:val="00B008FB"/>
    <w:rsid w:val="00B0138B"/>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70FD"/>
    <w:rsid w:val="00B643AD"/>
    <w:rsid w:val="00B662AB"/>
    <w:rsid w:val="00B6630C"/>
    <w:rsid w:val="00B66439"/>
    <w:rsid w:val="00B67BB6"/>
    <w:rsid w:val="00B67BDE"/>
    <w:rsid w:val="00B7022C"/>
    <w:rsid w:val="00B70670"/>
    <w:rsid w:val="00B71411"/>
    <w:rsid w:val="00B75D55"/>
    <w:rsid w:val="00B81BC6"/>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63F9"/>
    <w:rsid w:val="00C36917"/>
    <w:rsid w:val="00C45618"/>
    <w:rsid w:val="00C4616E"/>
    <w:rsid w:val="00C472F3"/>
    <w:rsid w:val="00C5028F"/>
    <w:rsid w:val="00C52E1E"/>
    <w:rsid w:val="00C53313"/>
    <w:rsid w:val="00C537C3"/>
    <w:rsid w:val="00C53DBF"/>
    <w:rsid w:val="00C567DE"/>
    <w:rsid w:val="00C56F86"/>
    <w:rsid w:val="00C613E6"/>
    <w:rsid w:val="00C6288C"/>
    <w:rsid w:val="00C66D8C"/>
    <w:rsid w:val="00C73828"/>
    <w:rsid w:val="00C75095"/>
    <w:rsid w:val="00C75398"/>
    <w:rsid w:val="00C80567"/>
    <w:rsid w:val="00C84C97"/>
    <w:rsid w:val="00C87F2C"/>
    <w:rsid w:val="00C910DC"/>
    <w:rsid w:val="00C94E4D"/>
    <w:rsid w:val="00CA32FC"/>
    <w:rsid w:val="00CA3FDE"/>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29C1"/>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0383"/>
    <w:rsid w:val="00D437B1"/>
    <w:rsid w:val="00D450B5"/>
    <w:rsid w:val="00D4582A"/>
    <w:rsid w:val="00D5252C"/>
    <w:rsid w:val="00D52D69"/>
    <w:rsid w:val="00D53401"/>
    <w:rsid w:val="00D5553E"/>
    <w:rsid w:val="00D568BC"/>
    <w:rsid w:val="00D61CAB"/>
    <w:rsid w:val="00D63CFD"/>
    <w:rsid w:val="00D645CF"/>
    <w:rsid w:val="00D65868"/>
    <w:rsid w:val="00D66F3E"/>
    <w:rsid w:val="00D73368"/>
    <w:rsid w:val="00D75700"/>
    <w:rsid w:val="00D77FFB"/>
    <w:rsid w:val="00D80CF0"/>
    <w:rsid w:val="00D810BA"/>
    <w:rsid w:val="00D81343"/>
    <w:rsid w:val="00D841AD"/>
    <w:rsid w:val="00D855A4"/>
    <w:rsid w:val="00D874A8"/>
    <w:rsid w:val="00D90081"/>
    <w:rsid w:val="00D90777"/>
    <w:rsid w:val="00D92C30"/>
    <w:rsid w:val="00D93652"/>
    <w:rsid w:val="00D95994"/>
    <w:rsid w:val="00DA10E5"/>
    <w:rsid w:val="00DA1D06"/>
    <w:rsid w:val="00DA2065"/>
    <w:rsid w:val="00DA2B69"/>
    <w:rsid w:val="00DA2FE2"/>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0B51"/>
    <w:rsid w:val="00E319CE"/>
    <w:rsid w:val="00E31DD4"/>
    <w:rsid w:val="00E41357"/>
    <w:rsid w:val="00E437C2"/>
    <w:rsid w:val="00E4479E"/>
    <w:rsid w:val="00E55A3A"/>
    <w:rsid w:val="00E6025B"/>
    <w:rsid w:val="00E621CA"/>
    <w:rsid w:val="00E638CC"/>
    <w:rsid w:val="00E63DD9"/>
    <w:rsid w:val="00E67DCC"/>
    <w:rsid w:val="00E70F53"/>
    <w:rsid w:val="00E74388"/>
    <w:rsid w:val="00E74D95"/>
    <w:rsid w:val="00E75B16"/>
    <w:rsid w:val="00E81EAF"/>
    <w:rsid w:val="00E8336B"/>
    <w:rsid w:val="00E85DE4"/>
    <w:rsid w:val="00E86C86"/>
    <w:rsid w:val="00E920D1"/>
    <w:rsid w:val="00E92970"/>
    <w:rsid w:val="00E941E1"/>
    <w:rsid w:val="00E96B65"/>
    <w:rsid w:val="00E96D56"/>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394"/>
    <w:rsid w:val="00EC5417"/>
    <w:rsid w:val="00EC7F26"/>
    <w:rsid w:val="00ED0BEC"/>
    <w:rsid w:val="00ED3111"/>
    <w:rsid w:val="00ED63B0"/>
    <w:rsid w:val="00EE1375"/>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26229"/>
    <w:rsid w:val="00F263A9"/>
    <w:rsid w:val="00F278EA"/>
    <w:rsid w:val="00F307CA"/>
    <w:rsid w:val="00F329FB"/>
    <w:rsid w:val="00F3482B"/>
    <w:rsid w:val="00F374B2"/>
    <w:rsid w:val="00F407B9"/>
    <w:rsid w:val="00F408E6"/>
    <w:rsid w:val="00F41556"/>
    <w:rsid w:val="00F44939"/>
    <w:rsid w:val="00F464EC"/>
    <w:rsid w:val="00F52ADB"/>
    <w:rsid w:val="00F602CE"/>
    <w:rsid w:val="00F62CF6"/>
    <w:rsid w:val="00F66108"/>
    <w:rsid w:val="00F73787"/>
    <w:rsid w:val="00F778E2"/>
    <w:rsid w:val="00F80A3F"/>
    <w:rsid w:val="00F85750"/>
    <w:rsid w:val="00F8639B"/>
    <w:rsid w:val="00F86B44"/>
    <w:rsid w:val="00F873BF"/>
    <w:rsid w:val="00F94D3C"/>
    <w:rsid w:val="00F95A46"/>
    <w:rsid w:val="00F95FBF"/>
    <w:rsid w:val="00FA2432"/>
    <w:rsid w:val="00FA3490"/>
    <w:rsid w:val="00FA53FE"/>
    <w:rsid w:val="00FA57E1"/>
    <w:rsid w:val="00FB0D1D"/>
    <w:rsid w:val="00FB114A"/>
    <w:rsid w:val="00FB4AA4"/>
    <w:rsid w:val="00FB5D13"/>
    <w:rsid w:val="00FB695F"/>
    <w:rsid w:val="00FC50C5"/>
    <w:rsid w:val="00FC5226"/>
    <w:rsid w:val="00FC56D3"/>
    <w:rsid w:val="00FC7596"/>
    <w:rsid w:val="00FC79F6"/>
    <w:rsid w:val="00FD25A1"/>
    <w:rsid w:val="00FD48FC"/>
    <w:rsid w:val="00FE0AE9"/>
    <w:rsid w:val="00FE4167"/>
    <w:rsid w:val="00FE4A2F"/>
    <w:rsid w:val="00FE50F9"/>
    <w:rsid w:val="00FE5CEA"/>
    <w:rsid w:val="00FE6BAE"/>
    <w:rsid w:val="00FF0137"/>
    <w:rsid w:val="00FF2E3D"/>
    <w:rsid w:val="0B09AA51"/>
    <w:rsid w:val="0C208A6C"/>
    <w:rsid w:val="2601CBE3"/>
    <w:rsid w:val="35F9187B"/>
    <w:rsid w:val="3944E1E9"/>
    <w:rsid w:val="4E5961DD"/>
    <w:rsid w:val="5427902D"/>
    <w:rsid w:val="5F2492AC"/>
    <w:rsid w:val="6F5941A9"/>
    <w:rsid w:val="7A338E9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25130246">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195507699">
      <w:bodyDiv w:val="1"/>
      <w:marLeft w:val="0"/>
      <w:marRight w:val="0"/>
      <w:marTop w:val="0"/>
      <w:marBottom w:val="0"/>
      <w:divBdr>
        <w:top w:val="none" w:sz="0" w:space="0" w:color="auto"/>
        <w:left w:val="none" w:sz="0" w:space="0" w:color="auto"/>
        <w:bottom w:val="none" w:sz="0" w:space="0" w:color="auto"/>
        <w:right w:val="none" w:sz="0" w:space="0" w:color="auto"/>
      </w:divBdr>
    </w:div>
    <w:div w:id="241372873">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9820632">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397555354">
      <w:bodyDiv w:val="1"/>
      <w:marLeft w:val="0"/>
      <w:marRight w:val="0"/>
      <w:marTop w:val="0"/>
      <w:marBottom w:val="0"/>
      <w:divBdr>
        <w:top w:val="none" w:sz="0" w:space="0" w:color="auto"/>
        <w:left w:val="none" w:sz="0" w:space="0" w:color="auto"/>
        <w:bottom w:val="none" w:sz="0" w:space="0" w:color="auto"/>
        <w:right w:val="none" w:sz="0" w:space="0" w:color="auto"/>
      </w:divBdr>
    </w:div>
    <w:div w:id="398984847">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53948313">
      <w:bodyDiv w:val="1"/>
      <w:marLeft w:val="0"/>
      <w:marRight w:val="0"/>
      <w:marTop w:val="0"/>
      <w:marBottom w:val="0"/>
      <w:divBdr>
        <w:top w:val="none" w:sz="0" w:space="0" w:color="auto"/>
        <w:left w:val="none" w:sz="0" w:space="0" w:color="auto"/>
        <w:bottom w:val="none" w:sz="0" w:space="0" w:color="auto"/>
        <w:right w:val="none" w:sz="0" w:space="0" w:color="auto"/>
      </w:divBdr>
    </w:div>
    <w:div w:id="671761018">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54476291">
      <w:bodyDiv w:val="1"/>
      <w:marLeft w:val="0"/>
      <w:marRight w:val="0"/>
      <w:marTop w:val="0"/>
      <w:marBottom w:val="0"/>
      <w:divBdr>
        <w:top w:val="none" w:sz="0" w:space="0" w:color="auto"/>
        <w:left w:val="none" w:sz="0" w:space="0" w:color="auto"/>
        <w:bottom w:val="none" w:sz="0" w:space="0" w:color="auto"/>
        <w:right w:val="none" w:sz="0" w:space="0" w:color="auto"/>
      </w:divBdr>
    </w:div>
    <w:div w:id="762723423">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01986547">
      <w:bodyDiv w:val="1"/>
      <w:marLeft w:val="0"/>
      <w:marRight w:val="0"/>
      <w:marTop w:val="0"/>
      <w:marBottom w:val="0"/>
      <w:divBdr>
        <w:top w:val="none" w:sz="0" w:space="0" w:color="auto"/>
        <w:left w:val="none" w:sz="0" w:space="0" w:color="auto"/>
        <w:bottom w:val="none" w:sz="0" w:space="0" w:color="auto"/>
        <w:right w:val="none" w:sz="0" w:space="0" w:color="auto"/>
      </w:divBdr>
    </w:div>
    <w:div w:id="94037782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49304804">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098086">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25081220">
      <w:bodyDiv w:val="1"/>
      <w:marLeft w:val="0"/>
      <w:marRight w:val="0"/>
      <w:marTop w:val="0"/>
      <w:marBottom w:val="0"/>
      <w:divBdr>
        <w:top w:val="none" w:sz="0" w:space="0" w:color="auto"/>
        <w:left w:val="none" w:sz="0" w:space="0" w:color="auto"/>
        <w:bottom w:val="none" w:sz="0" w:space="0" w:color="auto"/>
        <w:right w:val="none" w:sz="0" w:space="0" w:color="auto"/>
      </w:divBdr>
    </w:div>
    <w:div w:id="1146242665">
      <w:bodyDiv w:val="1"/>
      <w:marLeft w:val="0"/>
      <w:marRight w:val="0"/>
      <w:marTop w:val="0"/>
      <w:marBottom w:val="0"/>
      <w:divBdr>
        <w:top w:val="none" w:sz="0" w:space="0" w:color="auto"/>
        <w:left w:val="none" w:sz="0" w:space="0" w:color="auto"/>
        <w:bottom w:val="none" w:sz="0" w:space="0" w:color="auto"/>
        <w:right w:val="none" w:sz="0" w:space="0" w:color="auto"/>
      </w:divBdr>
    </w:div>
    <w:div w:id="1154029575">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0059582">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83597674">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39913515">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83961523">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1653318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3790547">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3296943">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24380439">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35733130">
      <w:bodyDiv w:val="1"/>
      <w:marLeft w:val="0"/>
      <w:marRight w:val="0"/>
      <w:marTop w:val="0"/>
      <w:marBottom w:val="0"/>
      <w:divBdr>
        <w:top w:val="none" w:sz="0" w:space="0" w:color="auto"/>
        <w:left w:val="none" w:sz="0" w:space="0" w:color="auto"/>
        <w:bottom w:val="none" w:sz="0" w:space="0" w:color="auto"/>
        <w:right w:val="none" w:sz="0" w:space="0" w:color="auto"/>
      </w:divBdr>
    </w:div>
    <w:div w:id="1768689927">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3490133">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11963589">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03122551">
      <w:bodyDiv w:val="1"/>
      <w:marLeft w:val="0"/>
      <w:marRight w:val="0"/>
      <w:marTop w:val="0"/>
      <w:marBottom w:val="0"/>
      <w:divBdr>
        <w:top w:val="none" w:sz="0" w:space="0" w:color="auto"/>
        <w:left w:val="none" w:sz="0" w:space="0" w:color="auto"/>
        <w:bottom w:val="none" w:sz="0" w:space="0" w:color="auto"/>
        <w:right w:val="none" w:sz="0" w:space="0" w:color="auto"/>
      </w:divBdr>
    </w:div>
    <w:div w:id="2040085188">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51297407">
      <w:bodyDiv w:val="1"/>
      <w:marLeft w:val="0"/>
      <w:marRight w:val="0"/>
      <w:marTop w:val="0"/>
      <w:marBottom w:val="0"/>
      <w:divBdr>
        <w:top w:val="none" w:sz="0" w:space="0" w:color="auto"/>
        <w:left w:val="none" w:sz="0" w:space="0" w:color="auto"/>
        <w:bottom w:val="none" w:sz="0" w:space="0" w:color="auto"/>
        <w:right w:val="none" w:sz="0" w:space="0" w:color="auto"/>
      </w:divBdr>
    </w:div>
    <w:div w:id="2064519742">
      <w:bodyDiv w:val="1"/>
      <w:marLeft w:val="0"/>
      <w:marRight w:val="0"/>
      <w:marTop w:val="0"/>
      <w:marBottom w:val="0"/>
      <w:divBdr>
        <w:top w:val="none" w:sz="0" w:space="0" w:color="auto"/>
        <w:left w:val="none" w:sz="0" w:space="0" w:color="auto"/>
        <w:bottom w:val="none" w:sz="0" w:space="0" w:color="auto"/>
        <w:right w:val="none" w:sz="0" w:space="0" w:color="auto"/>
      </w:divBdr>
    </w:div>
    <w:div w:id="2065830715">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D99BF868-573F-4D2D-9672-8E4B75A39BDD}"/>
</file>

<file path=customXml/itemProps3.xml><?xml version="1.0" encoding="utf-8"?>
<ds:datastoreItem xmlns:ds="http://schemas.openxmlformats.org/officeDocument/2006/customXml" ds:itemID="{0186CBA0-208C-47FF-9521-FA7D09E68E75}"/>
</file>

<file path=customXml/itemProps4.xml><?xml version="1.0" encoding="utf-8"?>
<ds:datastoreItem xmlns:ds="http://schemas.openxmlformats.org/officeDocument/2006/customXml" ds:itemID="{76B5EA8B-E7AE-4155-9932-1BFAD3305EC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939</cp:revision>
  <cp:lastPrinted>2024-10-29T14:31:00Z</cp:lastPrinted>
  <dcterms:created xsi:type="dcterms:W3CDTF">2022-12-22T22:59:00Z</dcterms:created>
  <dcterms:modified xsi:type="dcterms:W3CDTF">2025-11-06T19:12:57Z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